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893D35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158D9">
                  <w:rPr>
                    <w:color w:val="002060"/>
                    <w:sz w:val="18"/>
                    <w:szCs w:val="18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893D35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1158D9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893D35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1158D9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893D35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1158D9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893D35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D83973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893D35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D83973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D83973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 19.01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893D35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D83973">
              <w:rPr>
                <w:color w:val="002060"/>
                <w:sz w:val="18"/>
                <w:szCs w:val="18"/>
              </w:rPr>
              <w:t>Process Terminal Illness Payment (</w:t>
            </w:r>
            <w:r w:rsidR="00EF3BB3">
              <w:rPr>
                <w:color w:val="002060"/>
                <w:sz w:val="18"/>
                <w:szCs w:val="18"/>
              </w:rPr>
              <w:t>100% balance</w:t>
            </w:r>
            <w:r w:rsidR="00D83973">
              <w:rPr>
                <w:color w:val="002060"/>
                <w:sz w:val="18"/>
                <w:szCs w:val="18"/>
              </w:rPr>
              <w:t>)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BB3" w:rsidRPr="00F22D56" w:rsidRDefault="00D83973" w:rsidP="00EF3BB3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That the payment will process, and member profile status will not change after the payment has processed</w:t>
            </w:r>
            <w:r w:rsidR="00EF3BB3">
              <w:rPr>
                <w:rFonts w:cs="Arial"/>
                <w:color w:val="002060"/>
                <w:sz w:val="18"/>
                <w:szCs w:val="18"/>
              </w:rPr>
              <w:t>, there will be no funds remaining in the account and that it will be taxed properly, according to the 10/20/30 rule.</w:t>
            </w:r>
          </w:p>
          <w:p w:rsidR="00D83973" w:rsidRPr="00F22D56" w:rsidRDefault="00D83973" w:rsidP="0054339C">
            <w:pPr>
              <w:rPr>
                <w:rFonts w:cs="Arial"/>
                <w:color w:val="002060"/>
                <w:sz w:val="18"/>
                <w:szCs w:val="18"/>
              </w:rPr>
            </w:pP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E4B0CFBBAFE74A2E96D1D01F3005E36F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254E09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D14446" w:rsidRDefault="00D14446" w:rsidP="006F4FF0">
      <w:pPr>
        <w:rPr>
          <w:color w:val="002060"/>
          <w:sz w:val="18"/>
          <w:szCs w:val="18"/>
        </w:rPr>
      </w:pPr>
    </w:p>
    <w:p w:rsidR="00D14446" w:rsidRDefault="00D1444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SID </w:t>
      </w:r>
      <w:r w:rsidR="00EF3BB3">
        <w:rPr>
          <w:color w:val="002060"/>
          <w:sz w:val="18"/>
          <w:szCs w:val="18"/>
        </w:rPr>
        <w:t>247509</w:t>
      </w:r>
      <w:r>
        <w:rPr>
          <w:color w:val="002060"/>
          <w:sz w:val="18"/>
          <w:szCs w:val="18"/>
        </w:rPr>
        <w:t>:</w:t>
      </w:r>
    </w:p>
    <w:p w:rsidR="00EF3BB3" w:rsidRDefault="00EF3BB3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Choose member with Active Employment and a balance greater than zero:</w:t>
      </w:r>
    </w:p>
    <w:p w:rsidR="00EF3BB3" w:rsidRDefault="00EF3BB3" w:rsidP="006F4FF0">
      <w:pPr>
        <w:rPr>
          <w:color w:val="002060"/>
          <w:sz w:val="18"/>
          <w:szCs w:val="18"/>
        </w:rPr>
      </w:pPr>
      <w:r w:rsidRPr="00EF3BB3">
        <w:rPr>
          <w:noProof/>
          <w:color w:val="002060"/>
          <w:sz w:val="18"/>
          <w:szCs w:val="18"/>
        </w:rPr>
        <w:drawing>
          <wp:inline distT="0" distB="0" distL="0" distR="0" wp14:anchorId="347798E3" wp14:editId="29366148">
            <wp:extent cx="6858000" cy="189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B3" w:rsidRDefault="00EF3BB3" w:rsidP="006F4FF0">
      <w:pPr>
        <w:rPr>
          <w:color w:val="002060"/>
          <w:sz w:val="18"/>
          <w:szCs w:val="18"/>
        </w:rPr>
      </w:pPr>
      <w:r w:rsidRPr="00EF3BB3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06CC025C" wp14:editId="51BC985E">
            <wp:extent cx="68580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B3" w:rsidRDefault="00EF3BB3" w:rsidP="006F4FF0">
      <w:pPr>
        <w:rPr>
          <w:color w:val="002060"/>
          <w:sz w:val="18"/>
          <w:szCs w:val="18"/>
        </w:rPr>
      </w:pPr>
    </w:p>
    <w:p w:rsidR="00D14446" w:rsidRDefault="00EF3BB3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Under Investments, add an Account Instruction for Terminal Illness payment, select 100% of balance. Added Payment Instruction and left Tax Instruction blank, then clicked Save.</w:t>
      </w:r>
    </w:p>
    <w:p w:rsidR="00EF3BB3" w:rsidRDefault="00EF3BB3" w:rsidP="006F4FF0">
      <w:pPr>
        <w:rPr>
          <w:color w:val="002060"/>
          <w:sz w:val="18"/>
          <w:szCs w:val="18"/>
        </w:rPr>
      </w:pPr>
      <w:r w:rsidRPr="00EF3BB3">
        <w:rPr>
          <w:noProof/>
          <w:color w:val="002060"/>
          <w:sz w:val="18"/>
          <w:szCs w:val="18"/>
        </w:rPr>
        <w:drawing>
          <wp:inline distT="0" distB="0" distL="0" distR="0" wp14:anchorId="3B41C375" wp14:editId="200488AF">
            <wp:extent cx="6858000" cy="244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46" w:rsidRDefault="00D14446" w:rsidP="006F4FF0">
      <w:pPr>
        <w:rPr>
          <w:color w:val="002060"/>
          <w:sz w:val="18"/>
          <w:szCs w:val="18"/>
        </w:rPr>
      </w:pPr>
    </w:p>
    <w:p w:rsidR="00EF3BB3" w:rsidRDefault="00EF3BB3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After PIT batch runs, check the payment is processed and the taxes are correct.</w:t>
      </w:r>
    </w:p>
    <w:p w:rsidR="00EF3BB3" w:rsidRDefault="00893D35" w:rsidP="006F4FF0">
      <w:pPr>
        <w:rPr>
          <w:color w:val="002060"/>
          <w:sz w:val="18"/>
          <w:szCs w:val="18"/>
        </w:rPr>
      </w:pPr>
      <w:r w:rsidRPr="00893D35">
        <w:rPr>
          <w:color w:val="002060"/>
          <w:sz w:val="18"/>
          <w:szCs w:val="18"/>
        </w:rPr>
        <w:lastRenderedPageBreak/>
        <w:drawing>
          <wp:inline distT="0" distB="0" distL="0" distR="0" wp14:anchorId="14975CBE" wp14:editId="72848BB3">
            <wp:extent cx="68580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35" w:rsidRDefault="00893D35" w:rsidP="006F4FF0">
      <w:pPr>
        <w:rPr>
          <w:color w:val="002060"/>
          <w:sz w:val="18"/>
          <w:szCs w:val="18"/>
        </w:rPr>
      </w:pPr>
    </w:p>
    <w:p w:rsidR="00254E09" w:rsidRDefault="00254E09" w:rsidP="006F4FF0">
      <w:pPr>
        <w:rPr>
          <w:color w:val="002060"/>
          <w:sz w:val="18"/>
          <w:szCs w:val="18"/>
        </w:rPr>
      </w:pPr>
      <w:bookmarkStart w:id="0" w:name="_GoBack"/>
      <w:bookmarkEnd w:id="0"/>
    </w:p>
    <w:p w:rsidR="00254E09" w:rsidRDefault="00254E09" w:rsidP="006F4FF0">
      <w:pPr>
        <w:rPr>
          <w:color w:val="002060"/>
          <w:sz w:val="18"/>
          <w:szCs w:val="18"/>
        </w:rPr>
      </w:pPr>
    </w:p>
    <w:p w:rsidR="00254E09" w:rsidRDefault="00254E09" w:rsidP="006F4FF0">
      <w:pPr>
        <w:rPr>
          <w:color w:val="002060"/>
          <w:sz w:val="18"/>
          <w:szCs w:val="18"/>
        </w:rPr>
      </w:pPr>
      <w:r w:rsidRPr="00254E09">
        <w:rPr>
          <w:noProof/>
          <w:color w:val="002060"/>
          <w:sz w:val="18"/>
          <w:szCs w:val="18"/>
        </w:rPr>
        <w:drawing>
          <wp:inline distT="0" distB="0" distL="0" distR="0" wp14:anchorId="4105A6E2" wp14:editId="1870F596">
            <wp:extent cx="6858000" cy="2299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09" w:rsidRDefault="00254E09" w:rsidP="006F4FF0">
      <w:pPr>
        <w:rPr>
          <w:color w:val="002060"/>
          <w:sz w:val="18"/>
          <w:szCs w:val="18"/>
        </w:rPr>
      </w:pPr>
    </w:p>
    <w:p w:rsidR="00254E09" w:rsidRDefault="00254E09" w:rsidP="006F4FF0">
      <w:pPr>
        <w:rPr>
          <w:color w:val="002060"/>
          <w:sz w:val="18"/>
          <w:szCs w:val="18"/>
        </w:rPr>
      </w:pPr>
      <w:r w:rsidRPr="00254E09">
        <w:rPr>
          <w:noProof/>
          <w:color w:val="002060"/>
          <w:sz w:val="18"/>
          <w:szCs w:val="18"/>
        </w:rPr>
        <w:drawing>
          <wp:inline distT="0" distB="0" distL="0" distR="0" wp14:anchorId="210CF928" wp14:editId="73FE1147">
            <wp:extent cx="6858000" cy="238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09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D5B" w:rsidRDefault="000D2D5B" w:rsidP="00667A53">
      <w:r>
        <w:separator/>
      </w:r>
    </w:p>
  </w:endnote>
  <w:endnote w:type="continuationSeparator" w:id="0">
    <w:p w:rsidR="000D2D5B" w:rsidRDefault="000D2D5B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D5B" w:rsidRDefault="000D2D5B" w:rsidP="00667A53">
      <w:r>
        <w:separator/>
      </w:r>
    </w:p>
  </w:footnote>
  <w:footnote w:type="continuationSeparator" w:id="0">
    <w:p w:rsidR="000D2D5B" w:rsidRDefault="000D2D5B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5B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2D5B"/>
    <w:rsid w:val="000D703A"/>
    <w:rsid w:val="000E33AE"/>
    <w:rsid w:val="000F34C8"/>
    <w:rsid w:val="0010075C"/>
    <w:rsid w:val="00111CAA"/>
    <w:rsid w:val="001158D9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4E09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3D3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07C30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446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3973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EF3BB3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1F0457D"/>
  <w15:docId w15:val="{04FDC4C7-AE54-4CA8-B66F-91A585E8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0CFBBAFE74A2E96D1D01F3005E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C093-9639-4CB3-AB60-7292CEDFEA6F}"/>
      </w:docPartPr>
      <w:docPartBody>
        <w:p w:rsidR="005261AC" w:rsidRDefault="005261AC">
          <w:pPr>
            <w:pStyle w:val="E4B0CFBBAFE74A2E96D1D01F3005E36F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AC"/>
    <w:rsid w:val="0052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B0CFBBAFE74A2E96D1D01F3005E36F">
    <w:name w:val="E4B0CFBBAFE74A2E96D1D01F3005E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3CE09-0783-46FA-92CA-3518FFBE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58</TotalTime>
  <Pages>3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2022-11-28T19:24:00Z</dcterms:created>
  <dcterms:modified xsi:type="dcterms:W3CDTF">2022-11-30T13:50:00Z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