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Aptos" w:hAnsi="Aptos"/>
          <w:b/>
          <w:color w:val="1F5FBF"/>
          <w:sz w:val="56"/>
        </w:rPr>
        <w:t>WORKFLEX BD</w:t>
      </w:r>
    </w:p>
    <w:p>
      <w:pPr>
        <w:jc w:val="center"/>
      </w:pPr>
      <w:r>
        <w:rPr>
          <w:rFonts w:ascii="Aptos" w:hAnsi="Aptos"/>
          <w:b/>
          <w:color w:val="1B2638"/>
          <w:sz w:val="44"/>
        </w:rPr>
        <w:t>Software Quality Assurance &amp; Testing Report</w:t>
      </w:r>
    </w:p>
    <w:p>
      <w:pPr>
        <w:jc w:val="center"/>
      </w:pPr>
      <w:r>
        <w:rPr>
          <w:rFonts w:ascii="Aptos" w:hAnsi="Aptos"/>
          <w:color w:val="6B7280"/>
          <w:sz w:val="22"/>
        </w:rPr>
        <w:t>Industry-Style Test Summary • Test Execution • Defect Report • CI/CD Verification</w:t>
      </w:r>
    </w:p>
    <w:p>
      <w:r>
        <w:rPr>
          <w:rFonts w:ascii="Aptos" w:hAnsi="Aptos"/>
        </w:rP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FFFFFF"/>
            <w:tcBorders>
              <w:top w:val="single" w:sz="14" w:color="1F5FBF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jc w:val="center"/>
            </w:pPr>
            <w:r>
              <w:rPr>
                <w:b/>
                <w:color w:val="1F5FBF"/>
                <w:sz w:val="40"/>
              </w:rPr>
              <w:t>164</w:t>
            </w:r>
          </w:p>
          <w:p>
            <w:pPr>
              <w:jc w:val="center"/>
            </w:pPr>
            <w:r>
              <w:rPr>
                <w:color w:val="6B7280"/>
                <w:sz w:val="17"/>
              </w:rPr>
              <w:t>Automated Tests</w:t>
            </w:r>
          </w:p>
        </w:tc>
        <w:tc>
          <w:tcPr>
            <w:tcW w:type="dxa" w:w="2592"/>
            <w:shd w:fill="FFFFFF"/>
            <w:tcBorders>
              <w:top w:val="single" w:sz="14" w:color="1F9D68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jc w:val="center"/>
            </w:pPr>
            <w:r>
              <w:rPr>
                <w:b/>
                <w:color w:val="1F9D68"/>
                <w:sz w:val="40"/>
              </w:rPr>
              <w:t>162</w:t>
            </w:r>
          </w:p>
          <w:p>
            <w:pPr>
              <w:jc w:val="center"/>
            </w:pPr>
            <w:r>
              <w:rPr>
                <w:color w:val="6B7280"/>
                <w:sz w:val="17"/>
              </w:rPr>
              <w:t>Passed</w:t>
            </w:r>
          </w:p>
        </w:tc>
        <w:tc>
          <w:tcPr>
            <w:tcW w:type="dxa" w:w="2592"/>
            <w:shd w:fill="FFFFFF"/>
            <w:tcBorders>
              <w:top w:val="single" w:sz="14" w:color="C83E3E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jc w:val="center"/>
            </w:pPr>
            <w:r>
              <w:rPr>
                <w:b/>
                <w:color w:val="C83E3E"/>
                <w:sz w:val="40"/>
              </w:rPr>
              <w:t>2</w:t>
            </w:r>
          </w:p>
          <w:p>
            <w:pPr>
              <w:jc w:val="center"/>
            </w:pPr>
            <w:r>
              <w:rPr>
                <w:color w:val="6B7280"/>
                <w:sz w:val="17"/>
              </w:rPr>
              <w:t>Failed</w:t>
            </w:r>
          </w:p>
        </w:tc>
        <w:tc>
          <w:tcPr>
            <w:tcW w:type="dxa" w:w="2592"/>
            <w:shd w:fill="FFFFFF"/>
            <w:tcBorders>
              <w:top w:val="single" w:sz="14" w:color="6B4EFF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jc w:val="center"/>
            </w:pPr>
            <w:r>
              <w:rPr>
                <w:b/>
                <w:color w:val="6B4EFF"/>
                <w:sz w:val="40"/>
              </w:rPr>
              <w:t>98.78%</w:t>
            </w:r>
          </w:p>
          <w:p>
            <w:pPr>
              <w:jc w:val="center"/>
            </w:pPr>
            <w:r>
              <w:rPr>
                <w:color w:val="6B7280"/>
                <w:sz w:val="17"/>
              </w:rPr>
              <w:t>Pass Rate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EF3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r>
              <w:rPr>
                <w:sz w:val="18"/>
              </w:rPr>
              <w:t>WorkFlex BD</w:t>
            </w:r>
          </w:p>
        </w:tc>
      </w:tr>
      <w:tr>
        <w:tc>
          <w:tcPr>
            <w:tcW w:type="dxa" w:w="5184"/>
            <w:shd w:fill="EEF3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r>
              <w:rPr>
                <w:b/>
                <w:sz w:val="18"/>
              </w:rPr>
              <w:t>Repository</w:t>
            </w:r>
          </w:p>
        </w:tc>
        <w:tc>
          <w:tcPr>
            <w:tcW w:type="dxa" w:w="5184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r>
              <w:rPr>
                <w:sz w:val="18"/>
              </w:rPr>
              <w:t>ssharkar-2000/workflex-bd</w:t>
            </w:r>
          </w:p>
        </w:tc>
      </w:tr>
      <w:tr>
        <w:tc>
          <w:tcPr>
            <w:tcW w:type="dxa" w:w="5184"/>
            <w:shd w:fill="EEF3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r>
              <w:rPr>
                <w:b/>
                <w:sz w:val="18"/>
              </w:rPr>
              <w:t>Current main commit</w:t>
            </w:r>
          </w:p>
        </w:tc>
        <w:tc>
          <w:tcPr>
            <w:tcW w:type="dxa" w:w="5184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r>
              <w:rPr>
                <w:sz w:val="18"/>
              </w:rPr>
              <w:t>5b8dc17153612f6b6b5f2bae05261b036f3e2fe3</w:t>
            </w:r>
          </w:p>
        </w:tc>
      </w:tr>
      <w:tr>
        <w:tc>
          <w:tcPr>
            <w:tcW w:type="dxa" w:w="5184"/>
            <w:shd w:fill="EEF3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r>
              <w:rPr>
                <w:b/>
                <w:sz w:val="18"/>
              </w:rPr>
              <w:t>Current CI status</w:t>
            </w:r>
          </w:p>
        </w:tc>
        <w:tc>
          <w:tcPr>
            <w:tcW w:type="dxa" w:w="5184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r>
              <w:rPr>
                <w:sz w:val="18"/>
              </w:rPr>
              <w:t>SUCCESS (latest inspected run)</w:t>
            </w:r>
          </w:p>
        </w:tc>
      </w:tr>
      <w:tr>
        <w:tc>
          <w:tcPr>
            <w:tcW w:type="dxa" w:w="5184"/>
            <w:shd w:fill="EEF3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r>
              <w:rPr>
                <w:b/>
                <w:sz w:val="18"/>
              </w:rPr>
              <w:t>Report status</w:t>
            </w:r>
          </w:p>
        </w:tc>
        <w:tc>
          <w:tcPr>
            <w:tcW w:type="dxa" w:w="5184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r>
              <w:rPr>
                <w:sz w:val="18"/>
              </w:rPr>
              <w:t>Draft v1 – automated/CI verified; manual UI evidence pending</w:t>
            </w:r>
          </w:p>
        </w:tc>
      </w:tr>
      <w:tr>
        <w:tc>
          <w:tcPr>
            <w:tcW w:type="dxa" w:w="5184"/>
            <w:shd w:fill="EEF3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r>
              <w:rPr>
                <w:b/>
                <w:sz w:val="18"/>
              </w:rPr>
              <w:t>Prepared</w:t>
            </w:r>
          </w:p>
        </w:tc>
        <w:tc>
          <w:tcPr>
            <w:tcW w:type="dxa" w:w="5184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r>
              <w:rPr>
                <w:sz w:val="18"/>
              </w:rPr>
              <w:t>30 September 2026</w:t>
            </w:r>
          </w:p>
        </w:tc>
      </w:tr>
    </w:tbl>
    <w:p>
      <w:r>
        <w:rPr>
          <w:rFonts w:ascii="Aptos" w:hAnsi="Aptos"/>
        </w:rPr>
        <w:br/>
      </w:r>
    </w:p>
    <w:p>
      <w:pPr>
        <w:jc w:val="center"/>
      </w:pPr>
      <w:r>
        <w:rPr>
          <w:rFonts w:ascii="Aptos" w:hAnsi="Aptos"/>
          <w:b/>
          <w:color w:val="6B7280"/>
          <w:sz w:val="16"/>
        </w:rPr>
        <w:t>CONFIDENTIAL • ACADEMIC / PROJECT QA DOCUMENTATION</w:t>
      </w:r>
    </w:p>
    <w:p>
      <w:r>
        <w:rPr>
          <w:rFonts w:ascii="Aptos" w:hAnsi="Aptos"/>
        </w:rPr>
        <w:br w:type="page"/>
      </w:r>
    </w:p>
    <w:p>
      <w:pPr>
        <w:pStyle w:val="Heading1"/>
      </w:pPr>
      <w:r>
        <w:rPr>
          <w:rFonts w:ascii="Aptos" w:hAnsi="Aptos"/>
        </w:rPr>
        <w:t>Contents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F"/>
            <w:tcBorders>
              <w:bottom w:val="single" w:sz="3" w:color="E5E7EB"/>
            </w:tcBorders>
          </w:tcPr>
          <w:p>
            <w:r>
              <w:rPr>
                <w:b/>
                <w:color w:val="1F5FBF"/>
                <w:sz w:val="20"/>
              </w:rPr>
              <w:t>1</w:t>
            </w:r>
          </w:p>
        </w:tc>
        <w:tc>
          <w:tcPr>
            <w:tcW w:type="dxa" w:w="5184"/>
            <w:tcBorders>
              <w:bottom w:val="single" w:sz="3" w:color="E5E7EB"/>
            </w:tcBorders>
          </w:tcPr>
          <w:p>
            <w:r>
              <w:rPr>
                <w:sz w:val="20"/>
              </w:rPr>
              <w:t>Executive Summary</w:t>
            </w:r>
          </w:p>
        </w:tc>
      </w:tr>
      <w:tr>
        <w:tc>
          <w:tcPr>
            <w:tcW w:type="dxa" w:w="5184"/>
            <w:shd w:fill="EAF2FF"/>
            <w:tcBorders>
              <w:bottom w:val="single" w:sz="3" w:color="E5E7EB"/>
            </w:tcBorders>
          </w:tcPr>
          <w:p>
            <w:r>
              <w:rPr>
                <w:b/>
                <w:color w:val="1F5FBF"/>
                <w:sz w:val="20"/>
              </w:rPr>
              <w:t>2</w:t>
            </w:r>
          </w:p>
        </w:tc>
        <w:tc>
          <w:tcPr>
            <w:tcW w:type="dxa" w:w="5184"/>
            <w:tcBorders>
              <w:bottom w:val="single" w:sz="3" w:color="E5E7EB"/>
            </w:tcBorders>
          </w:tcPr>
          <w:p>
            <w:r>
              <w:rPr>
                <w:sz w:val="20"/>
              </w:rPr>
              <w:t>Test Objectives</w:t>
            </w:r>
          </w:p>
        </w:tc>
      </w:tr>
      <w:tr>
        <w:tc>
          <w:tcPr>
            <w:tcW w:type="dxa" w:w="5184"/>
            <w:shd w:fill="EAF2FF"/>
            <w:tcBorders>
              <w:bottom w:val="single" w:sz="3" w:color="E5E7EB"/>
            </w:tcBorders>
          </w:tcPr>
          <w:p>
            <w:r>
              <w:rPr>
                <w:b/>
                <w:color w:val="1F5FBF"/>
                <w:sz w:val="20"/>
              </w:rPr>
              <w:t>3</w:t>
            </w:r>
          </w:p>
        </w:tc>
        <w:tc>
          <w:tcPr>
            <w:tcW w:type="dxa" w:w="5184"/>
            <w:tcBorders>
              <w:bottom w:val="single" w:sz="3" w:color="E5E7EB"/>
            </w:tcBorders>
          </w:tcPr>
          <w:p>
            <w:r>
              <w:rPr>
                <w:sz w:val="20"/>
              </w:rPr>
              <w:t>Test Scope</w:t>
            </w:r>
          </w:p>
        </w:tc>
      </w:tr>
      <w:tr>
        <w:tc>
          <w:tcPr>
            <w:tcW w:type="dxa" w:w="5184"/>
            <w:shd w:fill="EAF2FF"/>
            <w:tcBorders>
              <w:bottom w:val="single" w:sz="3" w:color="E5E7EB"/>
            </w:tcBorders>
          </w:tcPr>
          <w:p>
            <w:r>
              <w:rPr>
                <w:b/>
                <w:color w:val="1F5FBF"/>
                <w:sz w:val="20"/>
              </w:rPr>
              <w:t>4</w:t>
            </w:r>
          </w:p>
        </w:tc>
        <w:tc>
          <w:tcPr>
            <w:tcW w:type="dxa" w:w="5184"/>
            <w:tcBorders>
              <w:bottom w:val="single" w:sz="3" w:color="E5E7EB"/>
            </w:tcBorders>
          </w:tcPr>
          <w:p>
            <w:r>
              <w:rPr>
                <w:sz w:val="20"/>
              </w:rPr>
              <w:t>Test Environment &amp; Tooling</w:t>
            </w:r>
          </w:p>
        </w:tc>
      </w:tr>
      <w:tr>
        <w:tc>
          <w:tcPr>
            <w:tcW w:type="dxa" w:w="5184"/>
            <w:shd w:fill="EAF2FF"/>
            <w:tcBorders>
              <w:bottom w:val="single" w:sz="3" w:color="E5E7EB"/>
            </w:tcBorders>
          </w:tcPr>
          <w:p>
            <w:r>
              <w:rPr>
                <w:b/>
                <w:color w:val="1F5FBF"/>
                <w:sz w:val="20"/>
              </w:rPr>
              <w:t>5</w:t>
            </w:r>
          </w:p>
        </w:tc>
        <w:tc>
          <w:tcPr>
            <w:tcW w:type="dxa" w:w="5184"/>
            <w:tcBorders>
              <w:bottom w:val="single" w:sz="3" w:color="E5E7EB"/>
            </w:tcBorders>
          </w:tcPr>
          <w:p>
            <w:r>
              <w:rPr>
                <w:sz w:val="20"/>
              </w:rPr>
              <w:t>Test Strategy &amp; Test Types</w:t>
            </w:r>
          </w:p>
        </w:tc>
      </w:tr>
      <w:tr>
        <w:tc>
          <w:tcPr>
            <w:tcW w:type="dxa" w:w="5184"/>
            <w:shd w:fill="EAF2FF"/>
            <w:tcBorders>
              <w:bottom w:val="single" w:sz="3" w:color="E5E7EB"/>
            </w:tcBorders>
          </w:tcPr>
          <w:p>
            <w:r>
              <w:rPr>
                <w:b/>
                <w:color w:val="1F5FBF"/>
                <w:sz w:val="20"/>
              </w:rPr>
              <w:t>6</w:t>
            </w:r>
          </w:p>
        </w:tc>
        <w:tc>
          <w:tcPr>
            <w:tcW w:type="dxa" w:w="5184"/>
            <w:tcBorders>
              <w:bottom w:val="single" w:sz="3" w:color="E5E7EB"/>
            </w:tcBorders>
          </w:tcPr>
          <w:p>
            <w:r>
              <w:rPr>
                <w:sz w:val="20"/>
              </w:rPr>
              <w:t>Test Execution Report</w:t>
            </w:r>
          </w:p>
        </w:tc>
      </w:tr>
      <w:tr>
        <w:tc>
          <w:tcPr>
            <w:tcW w:type="dxa" w:w="5184"/>
            <w:shd w:fill="EAF2FF"/>
            <w:tcBorders>
              <w:bottom w:val="single" w:sz="3" w:color="E5E7EB"/>
            </w:tcBorders>
          </w:tcPr>
          <w:p>
            <w:r>
              <w:rPr>
                <w:b/>
                <w:color w:val="1F5FBF"/>
                <w:sz w:val="20"/>
              </w:rPr>
              <w:t>7</w:t>
            </w:r>
          </w:p>
        </w:tc>
        <w:tc>
          <w:tcPr>
            <w:tcW w:type="dxa" w:w="5184"/>
            <w:tcBorders>
              <w:bottom w:val="single" w:sz="3" w:color="E5E7EB"/>
            </w:tcBorders>
          </w:tcPr>
          <w:p>
            <w:r>
              <w:rPr>
                <w:sz w:val="20"/>
              </w:rPr>
              <w:t>Automated Test Suite Inventory</w:t>
            </w:r>
          </w:p>
        </w:tc>
      </w:tr>
      <w:tr>
        <w:tc>
          <w:tcPr>
            <w:tcW w:type="dxa" w:w="5184"/>
            <w:shd w:fill="EAF2FF"/>
            <w:tcBorders>
              <w:bottom w:val="single" w:sz="3" w:color="E5E7EB"/>
            </w:tcBorders>
          </w:tcPr>
          <w:p>
            <w:r>
              <w:rPr>
                <w:b/>
                <w:color w:val="1F5FBF"/>
                <w:sz w:val="20"/>
              </w:rPr>
              <w:t>8</w:t>
            </w:r>
          </w:p>
        </w:tc>
        <w:tc>
          <w:tcPr>
            <w:tcW w:type="dxa" w:w="5184"/>
            <w:tcBorders>
              <w:bottom w:val="single" w:sz="3" w:color="E5E7EB"/>
            </w:tcBorders>
          </w:tcPr>
          <w:p>
            <w:r>
              <w:rPr>
                <w:sz w:val="20"/>
              </w:rPr>
              <w:t>Defect Report &amp; Analysis</w:t>
            </w:r>
          </w:p>
        </w:tc>
      </w:tr>
      <w:tr>
        <w:tc>
          <w:tcPr>
            <w:tcW w:type="dxa" w:w="5184"/>
            <w:shd w:fill="EAF2FF"/>
            <w:tcBorders>
              <w:bottom w:val="single" w:sz="3" w:color="E5E7EB"/>
            </w:tcBorders>
          </w:tcPr>
          <w:p>
            <w:r>
              <w:rPr>
                <w:b/>
                <w:color w:val="1F5FBF"/>
                <w:sz w:val="20"/>
              </w:rPr>
              <w:t>9</w:t>
            </w:r>
          </w:p>
        </w:tc>
        <w:tc>
          <w:tcPr>
            <w:tcW w:type="dxa" w:w="5184"/>
            <w:tcBorders>
              <w:bottom w:val="single" w:sz="3" w:color="E5E7EB"/>
            </w:tcBorders>
          </w:tcPr>
          <w:p>
            <w:r>
              <w:rPr>
                <w:sz w:val="20"/>
              </w:rPr>
              <w:t>CI/CD Automated Report</w:t>
            </w:r>
          </w:p>
        </w:tc>
      </w:tr>
      <w:tr>
        <w:tc>
          <w:tcPr>
            <w:tcW w:type="dxa" w:w="5184"/>
            <w:shd w:fill="EAF2FF"/>
            <w:tcBorders>
              <w:bottom w:val="single" w:sz="3" w:color="E5E7EB"/>
            </w:tcBorders>
          </w:tcPr>
          <w:p>
            <w:r>
              <w:rPr>
                <w:b/>
                <w:color w:val="1F5FBF"/>
                <w:sz w:val="20"/>
              </w:rPr>
              <w:t>10</w:t>
            </w:r>
          </w:p>
        </w:tc>
        <w:tc>
          <w:tcPr>
            <w:tcW w:type="dxa" w:w="5184"/>
            <w:tcBorders>
              <w:bottom w:val="single" w:sz="3" w:color="E5E7EB"/>
            </w:tcBorders>
          </w:tcPr>
          <w:p>
            <w:r>
              <w:rPr>
                <w:sz w:val="20"/>
              </w:rPr>
              <w:t>Risk Assessment</w:t>
            </w:r>
          </w:p>
        </w:tc>
      </w:tr>
      <w:tr>
        <w:tc>
          <w:tcPr>
            <w:tcW w:type="dxa" w:w="5184"/>
            <w:shd w:fill="EAF2FF"/>
            <w:tcBorders>
              <w:bottom w:val="single" w:sz="3" w:color="E5E7EB"/>
            </w:tcBorders>
          </w:tcPr>
          <w:p>
            <w:r>
              <w:rPr>
                <w:b/>
                <w:color w:val="1F5FBF"/>
                <w:sz w:val="20"/>
              </w:rPr>
              <w:t>11</w:t>
            </w:r>
          </w:p>
        </w:tc>
        <w:tc>
          <w:tcPr>
            <w:tcW w:type="dxa" w:w="5184"/>
            <w:tcBorders>
              <w:bottom w:val="single" w:sz="3" w:color="E5E7EB"/>
            </w:tcBorders>
          </w:tcPr>
          <w:p>
            <w:r>
              <w:rPr>
                <w:sz w:val="20"/>
              </w:rPr>
              <w:t>Recommendations &amp; Release Assessment</w:t>
            </w:r>
          </w:p>
        </w:tc>
      </w:tr>
      <w:tr>
        <w:tc>
          <w:tcPr>
            <w:tcW w:type="dxa" w:w="5184"/>
            <w:shd w:fill="EAF2FF"/>
            <w:tcBorders>
              <w:bottom w:val="single" w:sz="3" w:color="E5E7EB"/>
            </w:tcBorders>
          </w:tcPr>
          <w:p>
            <w:r>
              <w:rPr>
                <w:b/>
                <w:color w:val="1F5FBF"/>
                <w:sz w:val="20"/>
              </w:rPr>
              <w:t>12</w:t>
            </w:r>
          </w:p>
        </w:tc>
        <w:tc>
          <w:tcPr>
            <w:tcW w:type="dxa" w:w="5184"/>
            <w:tcBorders>
              <w:bottom w:val="single" w:sz="3" w:color="E5E7EB"/>
            </w:tcBorders>
          </w:tcPr>
          <w:p>
            <w:r>
              <w:rPr>
                <w:sz w:val="20"/>
              </w:rPr>
              <w:t>Manual Test Plan / Evidence Register</w:t>
            </w:r>
          </w:p>
        </w:tc>
      </w:tr>
      <w:tr>
        <w:tc>
          <w:tcPr>
            <w:tcW w:type="dxa" w:w="5184"/>
            <w:shd w:fill="EAF2FF"/>
            <w:tcBorders>
              <w:bottom w:val="single" w:sz="3" w:color="E5E7EB"/>
            </w:tcBorders>
          </w:tcPr>
          <w:p>
            <w:r>
              <w:rPr>
                <w:b/>
                <w:color w:val="1F5FBF"/>
                <w:sz w:val="20"/>
              </w:rPr>
              <w:t>Appendix A</w:t>
            </w:r>
          </w:p>
        </w:tc>
        <w:tc>
          <w:tcPr>
            <w:tcW w:type="dxa" w:w="5184"/>
            <w:tcBorders>
              <w:bottom w:val="single" w:sz="3" w:color="E5E7EB"/>
            </w:tcBorders>
          </w:tcPr>
          <w:p>
            <w:r>
              <w:rPr>
                <w:sz w:val="20"/>
              </w:rPr>
              <w:t>Traceability &amp; Evidence Index</w:t>
            </w:r>
          </w:p>
        </w:tc>
      </w:tr>
    </w:tbl>
    <w:p>
      <w:r>
        <w:rPr>
          <w:rFonts w:ascii="Aptos" w:hAnsi="Aptos"/>
        </w:rPr>
        <w:br w:type="page"/>
      </w:r>
    </w:p>
    <w:p>
      <w:pPr>
        <w:pStyle w:val="Heading1"/>
      </w:pPr>
      <w:r>
        <w:rPr>
          <w:rFonts w:ascii="Aptos" w:hAnsi="Aptos"/>
        </w:rPr>
        <w:t>1. Executive Summary</w:t>
      </w:r>
    </w:p>
    <w:p>
      <w:pPr>
        <w:spacing w:after="160"/>
      </w:pPr>
      <w:r>
        <w:rPr>
          <w:rFonts w:ascii="Aptos" w:hAnsi="Aptos"/>
        </w:rPr>
        <w:t>This report presents the quality-assurance status of WorkFlex BD using an industry-style structure that separates executive test summary, detailed execution evidence, defect tracking, CI/CD health, risk assessment and release recommendations. Results are only labelled as verified where evidence was available.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FFFFFF"/>
            <w:tcBorders>
              <w:top w:val="single" w:sz="14" w:color="1F5FBF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jc w:val="center"/>
            </w:pPr>
            <w:r>
              <w:rPr>
                <w:b/>
                <w:color w:val="1F5FBF"/>
                <w:sz w:val="40"/>
              </w:rPr>
              <w:t>164</w:t>
            </w:r>
          </w:p>
          <w:p>
            <w:pPr>
              <w:jc w:val="center"/>
            </w:pPr>
            <w:r>
              <w:rPr>
                <w:color w:val="6B7280"/>
                <w:sz w:val="17"/>
              </w:rPr>
              <w:t>Executed</w:t>
            </w:r>
          </w:p>
        </w:tc>
        <w:tc>
          <w:tcPr>
            <w:tcW w:type="dxa" w:w="2592"/>
            <w:shd w:fill="FFFFFF"/>
            <w:tcBorders>
              <w:top w:val="single" w:sz="14" w:color="1F9D68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jc w:val="center"/>
            </w:pPr>
            <w:r>
              <w:rPr>
                <w:b/>
                <w:color w:val="1F9D68"/>
                <w:sz w:val="40"/>
              </w:rPr>
              <w:t>162</w:t>
            </w:r>
          </w:p>
          <w:p>
            <w:pPr>
              <w:jc w:val="center"/>
            </w:pPr>
            <w:r>
              <w:rPr>
                <w:color w:val="6B7280"/>
                <w:sz w:val="17"/>
              </w:rPr>
              <w:t>Pass</w:t>
            </w:r>
          </w:p>
        </w:tc>
        <w:tc>
          <w:tcPr>
            <w:tcW w:type="dxa" w:w="2592"/>
            <w:shd w:fill="FFFFFF"/>
            <w:tcBorders>
              <w:top w:val="single" w:sz="14" w:color="C83E3E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jc w:val="center"/>
            </w:pPr>
            <w:r>
              <w:rPr>
                <w:b/>
                <w:color w:val="C83E3E"/>
                <w:sz w:val="40"/>
              </w:rPr>
              <w:t>2</w:t>
            </w:r>
          </w:p>
          <w:p>
            <w:pPr>
              <w:jc w:val="center"/>
            </w:pPr>
            <w:r>
              <w:rPr>
                <w:color w:val="6B7280"/>
                <w:sz w:val="17"/>
              </w:rPr>
              <w:t>Fail</w:t>
            </w:r>
          </w:p>
        </w:tc>
        <w:tc>
          <w:tcPr>
            <w:tcW w:type="dxa" w:w="2592"/>
            <w:shd w:fill="FFFFFF"/>
            <w:tcBorders>
              <w:top w:val="single" w:sz="14" w:color="D98C10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jc w:val="center"/>
            </w:pPr>
            <w:r>
              <w:rPr>
                <w:b/>
                <w:color w:val="D98C10"/>
                <w:sz w:val="40"/>
              </w:rPr>
              <w:t>~12.5%</w:t>
            </w:r>
          </w:p>
          <w:p>
            <w:pPr>
              <w:jc w:val="center"/>
            </w:pPr>
            <w:r>
              <w:rPr>
                <w:color w:val="6B7280"/>
                <w:sz w:val="17"/>
              </w:rPr>
              <w:t>Coverage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1F5FB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1F5FB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Current status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1F5FB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Evidence basis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1F5FB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QA interpretation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Automated unit/service tests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Mostly Pass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Earlier test execution: 162/164 passed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Strong pass rate in tested code, but limited overall coverage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Current workspace CI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Pass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Latest inspected GitHub Actions run completed successfully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Build, typecheck, tests and migrations passed for CI-scoped workspace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Standalone backend/mobile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Attention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Earlier compilation/type issues were identified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Not fully represented by the current workspace CI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Lint/static style check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Blocked / incomplete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ESLint configuration did not provide reliable end-to-end lint evidence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Do not claim lint passed until configuration is corrected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Manual functional/UI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Pending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Screenshots and phone-based execution not yet supplied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Required to complete end-user workflow evidence</w:t>
            </w:r>
          </w:p>
        </w:tc>
      </w:tr>
    </w:tbl>
    <w:p>
      <w:pPr>
        <w:jc w:val="center"/>
      </w:pPr>
      <w:r>
        <w:rPr>
          <w:rFonts w:ascii="Aptos" w:hAnsi="Aptos"/>
        </w:rPr>
        <w:drawing>
          <wp:inline xmlns:a="http://schemas.openxmlformats.org/drawingml/2006/main" xmlns:pic="http://schemas.openxmlformats.org/drawingml/2006/picture">
            <wp:extent cx="4480560" cy="29393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a_pass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93937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tcBorders>
              <w:top w:val="single" w:sz="2" w:color="E5E7EB"/>
              <w:left w:val="single" w:sz="24" w:color="D98C10"/>
              <w:bottom w:val="single" w:sz="2" w:color="E5E7EB"/>
              <w:right w:val="single" w:sz="2" w:color="E5E7EB"/>
            </w:tcBorders>
          </w:tcPr>
          <w:p>
            <w:r>
              <w:rPr>
                <w:b/>
                <w:color w:val="D98C10"/>
                <w:sz w:val="19"/>
              </w:rPr>
              <w:t xml:space="preserve">Release posture  </w:t>
            </w:r>
            <w:r>
              <w:rPr>
                <w:sz w:val="18"/>
              </w:rPr>
              <w:t>Conditional / not final. The workspace CI is healthy, but manual end-user evidence remains pending and known findings should be tracked. This report intentionally does not label the entire product as fully tested.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ptos" w:hAnsi="Aptos"/>
        </w:rPr>
        <w:t>2. Test Objectives</w:t>
      </w:r>
    </w:p>
    <w:p>
      <w:pPr>
        <w:pStyle w:val="ListBullet"/>
      </w:pPr>
      <w:r>
        <w:rPr>
          <w:rFonts w:ascii="Aptos" w:hAnsi="Aptos"/>
        </w:rPr>
        <w:t>Validate core backend business logic and helper functions through automated tests.</w:t>
      </w:r>
    </w:p>
    <w:p>
      <w:pPr>
        <w:pStyle w:val="ListBullet"/>
      </w:pPr>
      <w:r>
        <w:rPr>
          <w:rFonts w:ascii="Aptos" w:hAnsi="Aptos"/>
        </w:rPr>
        <w:t>Verify workspace build, TypeScript type-checking, test execution and database migration health in CI.</w:t>
      </w:r>
    </w:p>
    <w:p>
      <w:pPr>
        <w:pStyle w:val="ListBullet"/>
      </w:pPr>
      <w:r>
        <w:rPr>
          <w:rFonts w:ascii="Aptos" w:hAnsi="Aptos"/>
        </w:rPr>
        <w:t>Identify regressions, failed automated cases, compilation risks and gaps in pipeline coverage.</w:t>
      </w:r>
    </w:p>
    <w:p>
      <w:pPr>
        <w:pStyle w:val="ListBullet"/>
      </w:pPr>
      <w:r>
        <w:rPr>
          <w:rFonts w:ascii="Aptos" w:hAnsi="Aptos"/>
        </w:rPr>
        <w:t>Provide traceable QA evidence suitable for an academic submission and professional review.</w:t>
      </w:r>
    </w:p>
    <w:p>
      <w:pPr>
        <w:pStyle w:val="ListBullet"/>
      </w:pPr>
      <w:r>
        <w:rPr>
          <w:rFonts w:ascii="Aptos" w:hAnsi="Aptos"/>
        </w:rPr>
        <w:t>Define a manual test plan for critical user journeys that require real device/UI interaction.</w:t>
      </w:r>
    </w:p>
    <w:p>
      <w:pPr>
        <w:pStyle w:val="Heading1"/>
      </w:pPr>
      <w:r>
        <w:rPr>
          <w:rFonts w:ascii="Aptos" w:hAnsi="Aptos"/>
        </w:rPr>
        <w:t>3. Test Scope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1F5FB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Scope category</w:t>
            </w:r>
          </w:p>
        </w:tc>
        <w:tc>
          <w:tcPr>
            <w:tcW w:type="dxa" w:w="345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1F5FB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Included</w:t>
            </w:r>
          </w:p>
        </w:tc>
        <w:tc>
          <w:tcPr>
            <w:tcW w:type="dxa" w:w="345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1F5FB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In scope</w:t>
            </w:r>
          </w:p>
        </w:tc>
        <w:tc>
          <w:tcPr>
            <w:tcW w:type="dxa" w:w="345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Workspace API unit/service tests; root workspace build/typecheck/test; DB migration CI; selected configuration and repository quality checks</w:t>
            </w:r>
          </w:p>
        </w:tc>
        <w:tc>
          <w:tcPr>
            <w:tcW w:type="dxa" w:w="345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Evidence obtained from repository configuration, test inventory, earlier execution results and GitHub Actions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Partially in scope</w:t>
            </w:r>
          </w:p>
        </w:tc>
        <w:tc>
          <w:tcPr>
            <w:tcW w:type="dxa" w:w="345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Standalone `backend/` and `mobile/`</w:t>
            </w:r>
          </w:p>
        </w:tc>
        <w:tc>
          <w:tcPr>
            <w:tcW w:type="dxa" w:w="345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Earlier issues were identified, but they are not equivalently covered by the current root workspace CI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Pending manual scope</w:t>
            </w:r>
          </w:p>
        </w:tc>
        <w:tc>
          <w:tcPr>
            <w:tcW w:type="dxa" w:w="345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Authentication, onboarding/profile, jobs, wallet/payment, subscription, messaging, navigation, UI/validation</w:t>
            </w:r>
          </w:p>
        </w:tc>
        <w:tc>
          <w:tcPr>
            <w:tcW w:type="dxa" w:w="345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Requires real app execution and screenshots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Out of scope for this draft</w:t>
            </w:r>
          </w:p>
        </w:tc>
        <w:tc>
          <w:tcPr>
            <w:tcW w:type="dxa" w:w="345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Performance/load benchmarking, penetration testing, accessibility audit, production payment transaction, production disaster recovery</w:t>
            </w:r>
          </w:p>
        </w:tc>
        <w:tc>
          <w:tcPr>
            <w:tcW w:type="dxa" w:w="345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No verified evidence supplied for these areas</w:t>
            </w:r>
          </w:p>
        </w:tc>
      </w:tr>
    </w:tbl>
    <w:p>
      <w:pPr>
        <w:pStyle w:val="Heading1"/>
      </w:pPr>
      <w:r>
        <w:rPr>
          <w:rFonts w:ascii="Aptos" w:hAnsi="Aptos"/>
        </w:rPr>
        <w:t>4. Test Environment &amp; Tooling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1F5FB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345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1F5FB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Verified configuration / tool</w:t>
            </w:r>
          </w:p>
        </w:tc>
        <w:tc>
          <w:tcPr>
            <w:tcW w:type="dxa" w:w="345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1F5FB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Repository</w:t>
            </w:r>
          </w:p>
        </w:tc>
        <w:tc>
          <w:tcPr>
            <w:tcW w:type="dxa" w:w="345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GitHub – ssharkar-2000/workflex-bd</w:t>
            </w:r>
          </w:p>
        </w:tc>
        <w:tc>
          <w:tcPr>
            <w:tcW w:type="dxa" w:w="345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Source, branches, CI and traceability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Runtime</w:t>
            </w:r>
          </w:p>
        </w:tc>
        <w:tc>
          <w:tcPr>
            <w:tcW w:type="dxa" w:w="345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Node.js 22 in GitHub Actions; project requires Node &gt;=20</w:t>
            </w:r>
          </w:p>
        </w:tc>
        <w:tc>
          <w:tcPr>
            <w:tcW w:type="dxa" w:w="345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Build/test runtime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Package manager</w:t>
            </w:r>
          </w:p>
        </w:tc>
        <w:tc>
          <w:tcPr>
            <w:tcW w:type="dxa" w:w="345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npm 11.13.0 declared at root</w:t>
            </w:r>
          </w:p>
        </w:tc>
        <w:tc>
          <w:tcPr>
            <w:tcW w:type="dxa" w:w="345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Workspace dependency management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Workspace orchestration</w:t>
            </w:r>
          </w:p>
        </w:tc>
        <w:tc>
          <w:tcPr>
            <w:tcW w:type="dxa" w:w="345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Turborepo</w:t>
            </w:r>
          </w:p>
        </w:tc>
        <w:tc>
          <w:tcPr>
            <w:tcW w:type="dxa" w:w="345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Root build/typecheck/test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Backend API</w:t>
            </w:r>
          </w:p>
        </w:tc>
        <w:tc>
          <w:tcPr>
            <w:tcW w:type="dxa" w:w="345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NestJS + TypeScript + Jest</w:t>
            </w:r>
          </w:p>
        </w:tc>
        <w:tc>
          <w:tcPr>
            <w:tcW w:type="dxa" w:w="345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API/business logic and unit/service testing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Database layer</w:t>
            </w:r>
          </w:p>
        </w:tc>
        <w:tc>
          <w:tcPr>
            <w:tcW w:type="dxa" w:w="345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Prisma + PostgreSQL/PostGIS 16-3.4 in CI</w:t>
            </w:r>
          </w:p>
        </w:tc>
        <w:tc>
          <w:tcPr>
            <w:tcW w:type="dxa" w:w="345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Schema/migration verification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Integration tooling</w:t>
            </w:r>
          </w:p>
        </w:tc>
        <w:tc>
          <w:tcPr>
            <w:tcW w:type="dxa" w:w="345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Supertest available in API dev dependencies</w:t>
            </w:r>
          </w:p>
        </w:tc>
        <w:tc>
          <w:tcPr>
            <w:tcW w:type="dxa" w:w="345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HTTP/API integration testing capability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Mobile client</w:t>
            </w:r>
          </w:p>
        </w:tc>
        <w:tc>
          <w:tcPr>
            <w:tcW w:type="dxa" w:w="345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React Native / Expo workspace</w:t>
            </w:r>
          </w:p>
        </w:tc>
        <w:tc>
          <w:tcPr>
            <w:tcW w:type="dxa" w:w="345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Manual device/UI verification pending</w:t>
            </w:r>
          </w:p>
        </w:tc>
      </w:tr>
    </w:tbl>
    <w:p>
      <w:pPr>
        <w:pStyle w:val="Heading1"/>
      </w:pPr>
      <w:r>
        <w:rPr>
          <w:rFonts w:ascii="Aptos" w:hAnsi="Aptos"/>
        </w:rPr>
        <w:t>5. Test Strategy &amp; Test Types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1F5FB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Test type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1F5FB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Objective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1F5FB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Execution mode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1F5FB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Unit / service testing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Verify isolated business logic and utilities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Jest automated tests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Executed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API / integration testing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Verify service interaction and HTTP behaviour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Jest/Supertest capability; earlier integration additions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Executed / evidence partially available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Build verification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Confirm workspace compiles/builds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npm + Turborepo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Verified in CI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Type checking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Detect TypeScript errors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tsc / workspace typecheck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Verified in CI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Migration verification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Ensure committed migrations apply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Prisma deploy against PostGIS service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Verified in CI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Lint / static style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Enforce code quality rules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ESLint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Incomplete / configuration issue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Manual functional testing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Validate user journeys on real app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Phone + screenshots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Pending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Regression testing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Re-run automated checks after changes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GitHub Actions CI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Active for CI-scoped workspace</w:t>
            </w:r>
          </w:p>
        </w:tc>
      </w:tr>
    </w:tbl>
    <w:p>
      <w:pPr>
        <w:pStyle w:val="Heading1"/>
      </w:pPr>
      <w:r>
        <w:rPr>
          <w:rFonts w:ascii="Aptos" w:hAnsi="Aptos"/>
        </w:rPr>
        <w:t>6. Test Execution Report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FFFFFF"/>
            <w:tcBorders>
              <w:top w:val="single" w:sz="14" w:color="1F5FBF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jc w:val="center"/>
            </w:pPr>
            <w:r>
              <w:rPr>
                <w:b/>
                <w:color w:val="1F5FBF"/>
                <w:sz w:val="40"/>
              </w:rPr>
              <w:t>164</w:t>
            </w:r>
          </w:p>
          <w:p>
            <w:pPr>
              <w:jc w:val="center"/>
            </w:pPr>
            <w:r>
              <w:rPr>
                <w:color w:val="6B7280"/>
                <w:sz w:val="17"/>
              </w:rPr>
              <w:t>Total</w:t>
            </w:r>
          </w:p>
        </w:tc>
        <w:tc>
          <w:tcPr>
            <w:tcW w:type="dxa" w:w="2074"/>
            <w:shd w:fill="FFFFFF"/>
            <w:tcBorders>
              <w:top w:val="single" w:sz="14" w:color="1F9D68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jc w:val="center"/>
            </w:pPr>
            <w:r>
              <w:rPr>
                <w:b/>
                <w:color w:val="1F9D68"/>
                <w:sz w:val="40"/>
              </w:rPr>
              <w:t>162</w:t>
            </w:r>
          </w:p>
          <w:p>
            <w:pPr>
              <w:jc w:val="center"/>
            </w:pPr>
            <w:r>
              <w:rPr>
                <w:color w:val="6B7280"/>
                <w:sz w:val="17"/>
              </w:rPr>
              <w:t>Passed</w:t>
            </w:r>
          </w:p>
        </w:tc>
        <w:tc>
          <w:tcPr>
            <w:tcW w:type="dxa" w:w="2074"/>
            <w:shd w:fill="FFFFFF"/>
            <w:tcBorders>
              <w:top w:val="single" w:sz="14" w:color="C83E3E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jc w:val="center"/>
            </w:pPr>
            <w:r>
              <w:rPr>
                <w:b/>
                <w:color w:val="C83E3E"/>
                <w:sz w:val="40"/>
              </w:rPr>
              <w:t>2</w:t>
            </w:r>
          </w:p>
          <w:p>
            <w:pPr>
              <w:jc w:val="center"/>
            </w:pPr>
            <w:r>
              <w:rPr>
                <w:color w:val="6B7280"/>
                <w:sz w:val="17"/>
              </w:rPr>
              <w:t>Failed</w:t>
            </w:r>
          </w:p>
        </w:tc>
        <w:tc>
          <w:tcPr>
            <w:tcW w:type="dxa" w:w="2074"/>
            <w:shd w:fill="FFFFFF"/>
            <w:tcBorders>
              <w:top w:val="single" w:sz="14" w:color="6B4EFF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jc w:val="center"/>
            </w:pPr>
            <w:r>
              <w:rPr>
                <w:b/>
                <w:color w:val="6B4EFF"/>
                <w:sz w:val="40"/>
              </w:rPr>
              <w:t>98.78%</w:t>
            </w:r>
          </w:p>
          <w:p>
            <w:pPr>
              <w:jc w:val="center"/>
            </w:pPr>
            <w:r>
              <w:rPr>
                <w:color w:val="6B7280"/>
                <w:sz w:val="17"/>
              </w:rPr>
              <w:t>Pass Rate</w:t>
            </w:r>
          </w:p>
        </w:tc>
        <w:tc>
          <w:tcPr>
            <w:tcW w:type="dxa" w:w="2074"/>
            <w:shd w:fill="FFFFFF"/>
            <w:tcBorders>
              <w:top w:val="single" w:sz="14" w:color="D98C10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jc w:val="center"/>
            </w:pPr>
            <w:r>
              <w:rPr>
                <w:b/>
                <w:color w:val="D98C10"/>
                <w:sz w:val="40"/>
              </w:rPr>
              <w:t>~12.5%</w:t>
            </w:r>
          </w:p>
          <w:p>
            <w:pPr>
              <w:jc w:val="center"/>
            </w:pPr>
            <w:r>
              <w:rPr>
                <w:color w:val="6B7280"/>
                <w:sz w:val="17"/>
              </w:rPr>
              <w:t>Coverage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tcBorders>
              <w:top w:val="single" w:sz="2" w:color="E5E7EB"/>
              <w:left w:val="single" w:sz="24" w:color="1F5FBF"/>
              <w:bottom w:val="single" w:sz="2" w:color="E5E7EB"/>
              <w:right w:val="single" w:sz="2" w:color="E5E7EB"/>
            </w:tcBorders>
          </w:tcPr>
          <w:p>
            <w:r>
              <w:rPr>
                <w:b/>
                <w:color w:val="1F5FBF"/>
                <w:sz w:val="19"/>
              </w:rPr>
              <w:t xml:space="preserve">Traceability note  </w:t>
            </w:r>
            <w:r>
              <w:rPr>
                <w:sz w:val="18"/>
              </w:rPr>
              <w:t>The 162/164 result belongs to the earlier tested build. The repository has since changed. The current main commit inspected for CI is 5b8dc17; its latest inspected CI run is successful. Do not present the earlier 164-test count as a fresh rerun on the latest commit.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1F5FB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Exec ID</w:t>
            </w:r>
          </w:p>
        </w:tc>
        <w:tc>
          <w:tcPr>
            <w:tcW w:type="dxa" w:w="1728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1F5FB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1728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1F5FB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1728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1F5FB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Expected</w:t>
            </w:r>
          </w:p>
        </w:tc>
        <w:tc>
          <w:tcPr>
            <w:tcW w:type="dxa" w:w="1728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1F5FB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Observed</w:t>
            </w:r>
          </w:p>
        </w:tc>
        <w:tc>
          <w:tcPr>
            <w:tcW w:type="dxa" w:w="1728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1F5FB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EX-001</w:t>
            </w:r>
          </w:p>
        </w:tc>
        <w:tc>
          <w:tcPr>
            <w:tcW w:type="dxa" w:w="1728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Automated suite</w:t>
            </w:r>
          </w:p>
        </w:tc>
        <w:tc>
          <w:tcPr>
            <w:tcW w:type="dxa" w:w="1728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Run Jest automated tests</w:t>
            </w:r>
          </w:p>
        </w:tc>
        <w:tc>
          <w:tcPr>
            <w:tcW w:type="dxa" w:w="1728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All tests execute and defects are surfaced</w:t>
            </w:r>
          </w:p>
        </w:tc>
        <w:tc>
          <w:tcPr>
            <w:tcW w:type="dxa" w:w="1728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164 executed; 162 pass; 2 fail</w:t>
            </w:r>
          </w:p>
        </w:tc>
        <w:tc>
          <w:tcPr>
            <w:tcW w:type="dxa" w:w="1728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FAIL / Findings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EX-002</w:t>
            </w:r>
          </w:p>
        </w:tc>
        <w:tc>
          <w:tcPr>
            <w:tcW w:type="dxa" w:w="1728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Workspace build</w:t>
            </w:r>
          </w:p>
        </w:tc>
        <w:tc>
          <w:tcPr>
            <w:tcW w:type="dxa" w:w="1728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Run root build</w:t>
            </w:r>
          </w:p>
        </w:tc>
        <w:tc>
          <w:tcPr>
            <w:tcW w:type="dxa" w:w="1728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All workspace build tasks complete</w:t>
            </w:r>
          </w:p>
        </w:tc>
        <w:tc>
          <w:tcPr>
            <w:tcW w:type="dxa" w:w="1728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Current CI: success</w:t>
            </w:r>
          </w:p>
        </w:tc>
        <w:tc>
          <w:tcPr>
            <w:tcW w:type="dxa" w:w="1728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PASS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EX-003</w:t>
            </w:r>
          </w:p>
        </w:tc>
        <w:tc>
          <w:tcPr>
            <w:tcW w:type="dxa" w:w="1728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Typecheck</w:t>
            </w:r>
          </w:p>
        </w:tc>
        <w:tc>
          <w:tcPr>
            <w:tcW w:type="dxa" w:w="1728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Run root typecheck</w:t>
            </w:r>
          </w:p>
        </w:tc>
        <w:tc>
          <w:tcPr>
            <w:tcW w:type="dxa" w:w="1728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No blocking TypeScript errors in CI-scoped workspace</w:t>
            </w:r>
          </w:p>
        </w:tc>
        <w:tc>
          <w:tcPr>
            <w:tcW w:type="dxa" w:w="1728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Current CI: success</w:t>
            </w:r>
          </w:p>
        </w:tc>
        <w:tc>
          <w:tcPr>
            <w:tcW w:type="dxa" w:w="1728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PASS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EX-004</w:t>
            </w:r>
          </w:p>
        </w:tc>
        <w:tc>
          <w:tcPr>
            <w:tcW w:type="dxa" w:w="1728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CI test stage</w:t>
            </w:r>
          </w:p>
        </w:tc>
        <w:tc>
          <w:tcPr>
            <w:tcW w:type="dxa" w:w="1728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Run root test command in GitHub Actions</w:t>
            </w:r>
          </w:p>
        </w:tc>
        <w:tc>
          <w:tcPr>
            <w:tcW w:type="dxa" w:w="1728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Tests complete successfully for current CI build</w:t>
            </w:r>
          </w:p>
        </w:tc>
        <w:tc>
          <w:tcPr>
            <w:tcW w:type="dxa" w:w="1728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Current CI: success</w:t>
            </w:r>
          </w:p>
        </w:tc>
        <w:tc>
          <w:tcPr>
            <w:tcW w:type="dxa" w:w="1728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PASS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EX-005</w:t>
            </w:r>
          </w:p>
        </w:tc>
        <w:tc>
          <w:tcPr>
            <w:tcW w:type="dxa" w:w="1728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DB migrations</w:t>
            </w:r>
          </w:p>
        </w:tc>
        <w:tc>
          <w:tcPr>
            <w:tcW w:type="dxa" w:w="1728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Apply committed migrations to PostGIS service</w:t>
            </w:r>
          </w:p>
        </w:tc>
        <w:tc>
          <w:tcPr>
            <w:tcW w:type="dxa" w:w="1728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Migration deploy completes</w:t>
            </w:r>
          </w:p>
        </w:tc>
        <w:tc>
          <w:tcPr>
            <w:tcW w:type="dxa" w:w="1728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Current CI: success</w:t>
            </w:r>
          </w:p>
        </w:tc>
        <w:tc>
          <w:tcPr>
            <w:tcW w:type="dxa" w:w="1728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PASS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EX-006</w:t>
            </w:r>
          </w:p>
        </w:tc>
        <w:tc>
          <w:tcPr>
            <w:tcW w:type="dxa" w:w="1728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Standalone compile</w:t>
            </w:r>
          </w:p>
        </w:tc>
        <w:tc>
          <w:tcPr>
            <w:tcW w:type="dxa" w:w="1728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Validate standalone backend/mobile</w:t>
            </w:r>
          </w:p>
        </w:tc>
        <w:tc>
          <w:tcPr>
            <w:tcW w:type="dxa" w:w="1728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Components compile without blocking issues</w:t>
            </w:r>
          </w:p>
        </w:tc>
        <w:tc>
          <w:tcPr>
            <w:tcW w:type="dxa" w:w="1728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Earlier compilation/type issues identified</w:t>
            </w:r>
          </w:p>
        </w:tc>
        <w:tc>
          <w:tcPr>
            <w:tcW w:type="dxa" w:w="1728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ATTENTION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EX-007</w:t>
            </w:r>
          </w:p>
        </w:tc>
        <w:tc>
          <w:tcPr>
            <w:tcW w:type="dxa" w:w="1728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Lint</w:t>
            </w:r>
          </w:p>
        </w:tc>
        <w:tc>
          <w:tcPr>
            <w:tcW w:type="dxa" w:w="1728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Run repository lint checks</w:t>
            </w:r>
          </w:p>
        </w:tc>
        <w:tc>
          <w:tcPr>
            <w:tcW w:type="dxa" w:w="1728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Static analysis completes</w:t>
            </w:r>
          </w:p>
        </w:tc>
        <w:tc>
          <w:tcPr>
            <w:tcW w:type="dxa" w:w="1728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Reliable full lint evidence unavailable</w:t>
            </w:r>
          </w:p>
        </w:tc>
        <w:tc>
          <w:tcPr>
            <w:tcW w:type="dxa" w:w="1728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BLOCKED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EX-008</w:t>
            </w:r>
          </w:p>
        </w:tc>
        <w:tc>
          <w:tcPr>
            <w:tcW w:type="dxa" w:w="1728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Manual mobile/UI</w:t>
            </w:r>
          </w:p>
        </w:tc>
        <w:tc>
          <w:tcPr>
            <w:tcW w:type="dxa" w:w="1728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Execute critical end-user workflows</w:t>
            </w:r>
          </w:p>
        </w:tc>
        <w:tc>
          <w:tcPr>
            <w:tcW w:type="dxa" w:w="1728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Screenshots + actual results collected</w:t>
            </w:r>
          </w:p>
        </w:tc>
        <w:tc>
          <w:tcPr>
            <w:tcW w:type="dxa" w:w="1728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Not yet executed in this report</w:t>
            </w:r>
          </w:p>
        </w:tc>
        <w:tc>
          <w:tcPr>
            <w:tcW w:type="dxa" w:w="1728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PENDING</w:t>
            </w:r>
          </w:p>
        </w:tc>
      </w:tr>
    </w:tbl>
    <w:p>
      <w:pPr>
        <w:pStyle w:val="Heading1"/>
      </w:pPr>
      <w:r>
        <w:rPr>
          <w:rFonts w:ascii="Aptos" w:hAnsi="Aptos"/>
        </w:rPr>
        <w:t>7. Automated Test Suite Inventory</w:t>
      </w:r>
    </w:p>
    <w:p>
      <w:r>
        <w:rPr>
          <w:rFonts w:ascii="Aptos" w:hAnsi="Aptos"/>
        </w:rPr>
        <w:t>The current repository exposes eight Jest specification files in the API workspace. These files represent the directly discoverable automated unit/service test inventory at the time of inspection.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1F5FB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Suite ID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1F5FB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Specification file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1F5FB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Functional area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1F5FB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Evidence status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UT-01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apps/api/src/auth/phone.spec.ts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Phone/authentication logic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Present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UT-02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apps/api/src/auth/password.spec.ts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Password/authentication logic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Present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UT-03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apps/api/src/sms/dev-outbox.spec.ts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Development SMS outbox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Present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UT-04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apps/api/src/wallet/return-url.spec.ts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Wallet/payment return URL handling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Present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UT-05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apps/api/src/onboarding/sanitize.spec.ts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Onboarding input sanitization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Present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UT-06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apps/api/src/common/otp-code.util.spec.ts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OTP code utility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Present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UT-07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apps/api/src/wallet/wallet-features.spec.ts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Wallet feature logic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Present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UT-08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apps/api/src/wallet/gateway/sslcommerz.gateway.spec.ts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SSLCommerz gateway integration logic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Present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tcBorders>
              <w:top w:val="single" w:sz="2" w:color="E5E7EB"/>
              <w:left w:val="single" w:sz="24" w:color="D98C10"/>
              <w:bottom w:val="single" w:sz="2" w:color="E5E7EB"/>
              <w:right w:val="single" w:sz="2" w:color="E5E7EB"/>
            </w:tcBorders>
          </w:tcPr>
          <w:p>
            <w:r>
              <w:rPr>
                <w:b/>
                <w:color w:val="D98C10"/>
                <w:sz w:val="19"/>
              </w:rPr>
              <w:t xml:space="preserve">Coverage interpretation  </w:t>
            </w:r>
            <w:r>
              <w:rPr>
                <w:sz w:val="18"/>
              </w:rPr>
              <w:t>~12.5% coverage is relatively low for a whole-product assurance claim. A high pass rate shows that executed tests mostly passed; it does not mean 98.78% of all application behaviour is verified.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ptos" w:hAnsi="Aptos"/>
        </w:rPr>
        <w:t>8. Defect Report &amp; Analysis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1F5FB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1F5FB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1F5FB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1F5FB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Severity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1F5FB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1F5FB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1F5FB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1F5FB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Next action</w:t>
            </w:r>
          </w:p>
        </w:tc>
      </w:tr>
      <w:tr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DEF-001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Subscription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Subscription cancellation automated scenario failed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High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High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Open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Earlier automated output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Reproduce, inspect service state and retest</w:t>
            </w:r>
          </w:p>
        </w:tc>
      </w:tr>
      <w:tr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DEF-002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Payment / Subscription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Payment/subscription save-related scenario failed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High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High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Open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Earlier automated output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Trace persistence flow; add regression test</w:t>
            </w:r>
          </w:p>
        </w:tc>
      </w:tr>
      <w:tr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DEF-003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Standalone backend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Compilation/type issues identified outside workspace CI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High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Medium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Open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Earlier compile verification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Run clean install + build and fix blockers</w:t>
            </w:r>
          </w:p>
        </w:tc>
      </w:tr>
      <w:tr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DEF-004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Standalone mobile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Compilation/type issues identified outside workspace CI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High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Medium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Open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Earlier compile verification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Run clean Expo/TypeScript verification</w:t>
            </w:r>
          </w:p>
        </w:tc>
      </w:tr>
      <w:tr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DEF-005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CI scope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CI does not equivalently validate standalone backend/mobile trees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Medium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Medium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Open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ci.yml + repository layout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Add explicit jobs or remove obsolete duplicate stacks</w:t>
            </w:r>
          </w:p>
        </w:tc>
      </w:tr>
      <w:tr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DEF-006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Lint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End-to-end lint evidence unavailable due configuration mismatch/incompleteness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Medium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Medium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Open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Lint attempt / config review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Standardize ESLint config and add lint to CI</w:t>
            </w:r>
          </w:p>
        </w:tc>
      </w:tr>
    </w:tbl>
    <w:p>
      <w:pPr>
        <w:jc w:val="center"/>
      </w:pPr>
      <w:r>
        <w:rPr>
          <w:rFonts w:ascii="Aptos" w:hAnsi="Aptos"/>
        </w:rPr>
        <w:drawing>
          <wp:inline xmlns:a="http://schemas.openxmlformats.org/drawingml/2006/main" xmlns:pic="http://schemas.openxmlformats.org/drawingml/2006/picture">
            <wp:extent cx="4572000" cy="26605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a_defect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60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ptos" w:hAnsi="Aptos"/>
        </w:rPr>
        <w:t>8.1 Defect Analysis</w:t>
      </w:r>
    </w:p>
    <w:p>
      <w:pPr>
        <w:pStyle w:val="ListBullet"/>
      </w:pPr>
      <w:r>
        <w:rPr>
          <w:rFonts w:ascii="Aptos" w:hAnsi="Aptos"/>
        </w:rPr>
        <w:t>The two observed automated failures are functionally important because they affect subscription/payment lifecycle behaviour.</w:t>
      </w:r>
    </w:p>
    <w:p>
      <w:pPr>
        <w:pStyle w:val="ListBullet"/>
      </w:pPr>
      <w:r>
        <w:rPr>
          <w:rFonts w:ascii="Aptos" w:hAnsi="Aptos"/>
        </w:rPr>
        <w:t>The build/CI findings are quality-system risks: a green CI badge may not represent every code tree in the repository.</w:t>
      </w:r>
    </w:p>
    <w:p>
      <w:pPr>
        <w:pStyle w:val="ListBullet"/>
      </w:pPr>
      <w:r>
        <w:rPr>
          <w:rFonts w:ascii="Aptos" w:hAnsi="Aptos"/>
        </w:rPr>
        <w:t>The lint issue reduces preventive defect detection and should be treated as a tooling/configuration gap rather than a passed test.</w:t>
      </w:r>
    </w:p>
    <w:p>
      <w:pPr>
        <w:pStyle w:val="ListBullet"/>
      </w:pPr>
      <w:r>
        <w:rPr>
          <w:rFonts w:ascii="Aptos" w:hAnsi="Aptos"/>
        </w:rPr>
        <w:t>No Critical severity defect is claimed in this draft because no verified evidence demonstrated complete service outage, irreversible data loss or a production security compromise.</w:t>
      </w:r>
    </w:p>
    <w:p>
      <w:pPr>
        <w:pStyle w:val="Heading1"/>
      </w:pPr>
      <w:r>
        <w:rPr>
          <w:rFonts w:ascii="Aptos" w:hAnsi="Aptos"/>
        </w:rPr>
        <w:t>9. CI/CD Automated Report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FFFFFF"/>
            <w:tcBorders>
              <w:top w:val="single" w:sz="14" w:color="1F5FBF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jc w:val="center"/>
            </w:pPr>
            <w:r>
              <w:rPr>
                <w:b/>
                <w:color w:val="1F5FBF"/>
                <w:sz w:val="40"/>
              </w:rPr>
              <w:t>CI</w:t>
            </w:r>
          </w:p>
          <w:p>
            <w:pPr>
              <w:jc w:val="center"/>
            </w:pPr>
            <w:r>
              <w:rPr>
                <w:color w:val="6B7280"/>
                <w:sz w:val="17"/>
              </w:rPr>
              <w:t>Workflow</w:t>
            </w:r>
          </w:p>
        </w:tc>
        <w:tc>
          <w:tcPr>
            <w:tcW w:type="dxa" w:w="2592"/>
            <w:shd w:fill="FFFFFF"/>
            <w:tcBorders>
              <w:top w:val="single" w:sz="14" w:color="1F9D68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jc w:val="center"/>
            </w:pPr>
            <w:r>
              <w:rPr>
                <w:b/>
                <w:color w:val="1F9D68"/>
                <w:sz w:val="40"/>
              </w:rPr>
              <w:t>PASS</w:t>
            </w:r>
          </w:p>
          <w:p>
            <w:pPr>
              <w:jc w:val="center"/>
            </w:pPr>
            <w:r>
              <w:rPr>
                <w:color w:val="6B7280"/>
                <w:sz w:val="17"/>
              </w:rPr>
              <w:t>Verify job</w:t>
            </w:r>
          </w:p>
        </w:tc>
        <w:tc>
          <w:tcPr>
            <w:tcW w:type="dxa" w:w="2592"/>
            <w:shd w:fill="FFFFFF"/>
            <w:tcBorders>
              <w:top w:val="single" w:sz="14" w:color="1F9D68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jc w:val="center"/>
            </w:pPr>
            <w:r>
              <w:rPr>
                <w:b/>
                <w:color w:val="1F9D68"/>
                <w:sz w:val="40"/>
              </w:rPr>
              <w:t>PASS</w:t>
            </w:r>
          </w:p>
          <w:p>
            <w:pPr>
              <w:jc w:val="center"/>
            </w:pPr>
            <w:r>
              <w:rPr>
                <w:color w:val="6B7280"/>
                <w:sz w:val="17"/>
              </w:rPr>
              <w:t>Migration job</w:t>
            </w:r>
          </w:p>
        </w:tc>
        <w:tc>
          <w:tcPr>
            <w:tcW w:type="dxa" w:w="2592"/>
            <w:shd w:fill="FFFFFF"/>
            <w:tcBorders>
              <w:top w:val="single" w:sz="14" w:color="6B4EFF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jc w:val="center"/>
            </w:pPr>
            <w:r>
              <w:rPr>
                <w:b/>
                <w:color w:val="6B4EFF"/>
                <w:sz w:val="40"/>
              </w:rPr>
              <w:t>5b8dc17</w:t>
            </w:r>
          </w:p>
          <w:p>
            <w:pPr>
              <w:jc w:val="center"/>
            </w:pPr>
            <w:r>
              <w:rPr>
                <w:color w:val="6B7280"/>
                <w:sz w:val="17"/>
              </w:rPr>
              <w:t>Current main</w:t>
            </w:r>
          </w:p>
        </w:tc>
      </w:tr>
    </w:tbl>
    <w:p>
      <w:pPr>
        <w:spacing w:after="0"/>
      </w:pPr>
    </w:p>
    <w:p>
      <w:r>
        <w:rPr>
          <w:rFonts w:ascii="Aptos" w:hAnsi="Aptos"/>
        </w:rPr>
        <w:t>The inspected GitHub Actions workflow is triggered on pushes to main and pull requests. It contains a verification job and a database migration job.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1F5FB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CI stage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1F5FB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Command / mechanism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1F5FB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1F5FB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Current inspected result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Install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npm ci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Reproducible dependency installation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Success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Build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npm run build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Build all root workspaces through Turborepo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Success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Typecheck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npm run typecheck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TypeScript validation for workspace packages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Success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Test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npm run test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Run configured workspace tests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Success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Migration service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postgis/postgis:16-3.4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Provide PostgreSQL/PostGIS test database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Healthy / job success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Migration deploy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npm run db:deploy -w @workflex/api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Verify committed migrations apply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Success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tcBorders>
              <w:top w:val="single" w:sz="2" w:color="E5E7EB"/>
              <w:left w:val="single" w:sz="24" w:color="D98C10"/>
              <w:bottom w:val="single" w:sz="2" w:color="E5E7EB"/>
              <w:right w:val="single" w:sz="2" w:color="E5E7EB"/>
            </w:tcBorders>
          </w:tcPr>
          <w:p>
            <w:r>
              <w:rPr>
                <w:b/>
                <w:color w:val="D98C10"/>
                <w:sz w:val="19"/>
              </w:rPr>
              <w:t xml:space="preserve">CI gap  </w:t>
            </w:r>
            <w:r>
              <w:rPr>
                <w:sz w:val="18"/>
              </w:rPr>
              <w:t>Root workspaces are defined as apps/* and packages/*. Standalone top-level `backend/` and `mobile/` are therefore not automatically equivalent to the workspace scope. A successful root CI run should not be used as evidence that those separate trees are clean.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ptos" w:hAnsi="Aptos"/>
        </w:rPr>
        <w:t>10. Risk Assessment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1F5FB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Risk ID</w:t>
            </w:r>
          </w:p>
        </w:tc>
        <w:tc>
          <w:tcPr>
            <w:tcW w:type="dxa" w:w="207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1F5FB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207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1F5FB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Likelihood</w:t>
            </w:r>
          </w:p>
        </w:tc>
        <w:tc>
          <w:tcPr>
            <w:tcW w:type="dxa" w:w="207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1F5FB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207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1F5FB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207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R-01</w:t>
            </w:r>
          </w:p>
        </w:tc>
        <w:tc>
          <w:tcPr>
            <w:tcW w:type="dxa" w:w="207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Low automated code coverage leaves untested behaviours</w:t>
            </w:r>
          </w:p>
        </w:tc>
        <w:tc>
          <w:tcPr>
            <w:tcW w:type="dxa" w:w="207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High</w:t>
            </w:r>
          </w:p>
        </w:tc>
        <w:tc>
          <w:tcPr>
            <w:tcW w:type="dxa" w:w="207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High</w:t>
            </w:r>
          </w:p>
        </w:tc>
        <w:tc>
          <w:tcPr>
            <w:tcW w:type="dxa" w:w="207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Increase tests around auth, jobs, payments, messaging, validation and failure paths</w:t>
            </w:r>
          </w:p>
        </w:tc>
      </w:tr>
      <w:tr>
        <w:tc>
          <w:tcPr>
            <w:tcW w:type="dxa" w:w="207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R-02</w:t>
            </w:r>
          </w:p>
        </w:tc>
        <w:tc>
          <w:tcPr>
            <w:tcW w:type="dxa" w:w="207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Manual critical workflows are not yet evidenced</w:t>
            </w:r>
          </w:p>
        </w:tc>
        <w:tc>
          <w:tcPr>
            <w:tcW w:type="dxa" w:w="207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High</w:t>
            </w:r>
          </w:p>
        </w:tc>
        <w:tc>
          <w:tcPr>
            <w:tcW w:type="dxa" w:w="207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High</w:t>
            </w:r>
          </w:p>
        </w:tc>
        <w:tc>
          <w:tcPr>
            <w:tcW w:type="dxa" w:w="207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Execute phone-based manual test run and attach screenshots</w:t>
            </w:r>
          </w:p>
        </w:tc>
      </w:tr>
      <w:tr>
        <w:tc>
          <w:tcPr>
            <w:tcW w:type="dxa" w:w="207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R-03</w:t>
            </w:r>
          </w:p>
        </w:tc>
        <w:tc>
          <w:tcPr>
            <w:tcW w:type="dxa" w:w="207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Subscription/payment failures can affect transaction lifecycle</w:t>
            </w:r>
          </w:p>
        </w:tc>
        <w:tc>
          <w:tcPr>
            <w:tcW w:type="dxa" w:w="207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Medium</w:t>
            </w:r>
          </w:p>
        </w:tc>
        <w:tc>
          <w:tcPr>
            <w:tcW w:type="dxa" w:w="207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High</w:t>
            </w:r>
          </w:p>
        </w:tc>
        <w:tc>
          <w:tcPr>
            <w:tcW w:type="dxa" w:w="207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Fix DEF-001/002 and add regression coverage</w:t>
            </w:r>
          </w:p>
        </w:tc>
      </w:tr>
      <w:tr>
        <w:tc>
          <w:tcPr>
            <w:tcW w:type="dxa" w:w="207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R-04</w:t>
            </w:r>
          </w:p>
        </w:tc>
        <w:tc>
          <w:tcPr>
            <w:tcW w:type="dxa" w:w="207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Green CI may hide issues in standalone trees</w:t>
            </w:r>
          </w:p>
        </w:tc>
        <w:tc>
          <w:tcPr>
            <w:tcW w:type="dxa" w:w="207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Medium</w:t>
            </w:r>
          </w:p>
        </w:tc>
        <w:tc>
          <w:tcPr>
            <w:tcW w:type="dxa" w:w="207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High</w:t>
            </w:r>
          </w:p>
        </w:tc>
        <w:tc>
          <w:tcPr>
            <w:tcW w:type="dxa" w:w="207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Expand CI scope or remove/deprecate duplicate application structures</w:t>
            </w:r>
          </w:p>
        </w:tc>
      </w:tr>
      <w:tr>
        <w:tc>
          <w:tcPr>
            <w:tcW w:type="dxa" w:w="207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R-05</w:t>
            </w:r>
          </w:p>
        </w:tc>
        <w:tc>
          <w:tcPr>
            <w:tcW w:type="dxa" w:w="207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Lint configuration gap allows style/static issues to escape</w:t>
            </w:r>
          </w:p>
        </w:tc>
        <w:tc>
          <w:tcPr>
            <w:tcW w:type="dxa" w:w="207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Medium</w:t>
            </w:r>
          </w:p>
        </w:tc>
        <w:tc>
          <w:tcPr>
            <w:tcW w:type="dxa" w:w="207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Medium</w:t>
            </w:r>
          </w:p>
        </w:tc>
        <w:tc>
          <w:tcPr>
            <w:tcW w:type="dxa" w:w="207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Standardize ESLint and make lint a required CI stage</w:t>
            </w:r>
          </w:p>
        </w:tc>
      </w:tr>
      <w:tr>
        <w:tc>
          <w:tcPr>
            <w:tcW w:type="dxa" w:w="207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R-06</w:t>
            </w:r>
          </w:p>
        </w:tc>
        <w:tc>
          <w:tcPr>
            <w:tcW w:type="dxa" w:w="207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Repository changed after earlier 164-test execution</w:t>
            </w:r>
          </w:p>
        </w:tc>
        <w:tc>
          <w:tcPr>
            <w:tcW w:type="dxa" w:w="207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High</w:t>
            </w:r>
          </w:p>
        </w:tc>
        <w:tc>
          <w:tcPr>
            <w:tcW w:type="dxa" w:w="207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Medium</w:t>
            </w:r>
          </w:p>
        </w:tc>
        <w:tc>
          <w:tcPr>
            <w:tcW w:type="dxa" w:w="207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Rerun full suite against final submission commit and archive output</w:t>
            </w:r>
          </w:p>
        </w:tc>
      </w:tr>
    </w:tbl>
    <w:p>
      <w:pPr>
        <w:pStyle w:val="Heading1"/>
      </w:pPr>
      <w:r>
        <w:rPr>
          <w:rFonts w:ascii="Aptos" w:hAnsi="Aptos"/>
        </w:rPr>
        <w:t>11. Recommendations &amp; Release Assessment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tcBorders>
              <w:top w:val="single" w:sz="2" w:color="E5E7EB"/>
              <w:left w:val="single" w:sz="24" w:color="D98C10"/>
              <w:bottom w:val="single" w:sz="2" w:color="E5E7EB"/>
              <w:right w:val="single" w:sz="2" w:color="E5E7EB"/>
            </w:tcBorders>
          </w:tcPr>
          <w:p>
            <w:r>
              <w:rPr>
                <w:b/>
                <w:color w:val="D98C10"/>
                <w:sz w:val="19"/>
              </w:rPr>
              <w:t xml:space="preserve">Current assessment  </w:t>
            </w:r>
            <w:r>
              <w:rPr>
                <w:sz w:val="18"/>
              </w:rPr>
              <w:t>CONDITIONAL GO for demonstration/development use, subject to manual critical-path verification and documented known issues. This is not a production-readiness certification.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1F5FB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518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1F5FB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Recommendation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P0 – Before final submission</w:t>
            </w:r>
          </w:p>
        </w:tc>
        <w:tc>
          <w:tcPr>
            <w:tcW w:type="dxa" w:w="518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Rerun automated tests on the final commit; capture terminal/CI screenshots; manually test authentication, job workflow, wallet/subscription and messaging.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P0 – Defect closure</w:t>
            </w:r>
          </w:p>
        </w:tc>
        <w:tc>
          <w:tcPr>
            <w:tcW w:type="dxa" w:w="518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Investigate and retest the two subscription/payment failures. Record actual cause, fix commit and regression result.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P1 – CI improvement</w:t>
            </w:r>
          </w:p>
        </w:tc>
        <w:tc>
          <w:tcPr>
            <w:tcW w:type="dxa" w:w="518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Add lint and explicit verification for any standalone backend/mobile code that remains part of the submitted product.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P1 – Coverage improvement</w:t>
            </w:r>
          </w:p>
        </w:tc>
        <w:tc>
          <w:tcPr>
            <w:tcW w:type="dxa" w:w="518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Raise automated coverage in critical modules; prioritize negative/edge cases rather than only happy paths.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P2 – Test management</w:t>
            </w:r>
          </w:p>
        </w:tc>
        <w:tc>
          <w:tcPr>
            <w:tcW w:type="dxa" w:w="518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Maintain test cases with stable IDs, priorities, owners, environment, expected/actual results and evidence links.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P2 – Future quality</w:t>
            </w:r>
          </w:p>
        </w:tc>
        <w:tc>
          <w:tcPr>
            <w:tcW w:type="dxa" w:w="5184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Add API integration/E2E tests and optionally performance/accessibility/security testing if required by course scope.</w:t>
            </w:r>
          </w:p>
        </w:tc>
      </w:tr>
    </w:tbl>
    <w:p>
      <w:pPr>
        <w:pStyle w:val="Heading1"/>
      </w:pPr>
      <w:r>
        <w:rPr>
          <w:rFonts w:ascii="Aptos" w:hAnsi="Aptos"/>
        </w:rPr>
        <w:t>12. Manual Test Plan / Evidence Register</w:t>
      </w:r>
    </w:p>
    <w:p>
      <w:r>
        <w:rPr>
          <w:rFonts w:ascii="Aptos" w:hAnsi="Aptos"/>
        </w:rPr>
        <w:t>The following cases are intentionally marked Pending. They should be executed on the final mobile/web build. For each case, capture at least one screenshot showing the resulting UI; for a failure, capture the error state and record reproduction steps.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1F5FB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TC ID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1F5FB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1F5FB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Test scenario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1F5FB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1F5FB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1F5FB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Actual result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1F5FB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1F5FB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Evidence</w:t>
            </w:r>
          </w:p>
        </w:tc>
      </w:tr>
      <w:tr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MTC-001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Authentication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Register a new valid user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High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Account created and user proceeds to onboarding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Pending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Screenshot required</w:t>
            </w:r>
          </w:p>
        </w:tc>
      </w:tr>
      <w:tr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MTC-002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Authentication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Login with valid credentials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Critical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User enters authenticated home/dashboard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Pending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Screenshot required</w:t>
            </w:r>
          </w:p>
        </w:tc>
      </w:tr>
      <w:tr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MTC-003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Authentication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Login with invalid password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High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Clear validation/error; no login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Pending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Screenshot required</w:t>
            </w:r>
          </w:p>
        </w:tc>
      </w:tr>
      <w:tr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MTC-004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Profile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View and update profile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Medium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Updated data persists after refresh/reopen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Pending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Before/after screenshot</w:t>
            </w:r>
          </w:p>
        </w:tc>
      </w:tr>
      <w:tr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MTC-005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Jobs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Browse/search available jobs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High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Relevant job list renders without crash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Pending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Screenshot required</w:t>
            </w:r>
          </w:p>
        </w:tc>
      </w:tr>
      <w:tr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MTC-006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Jobs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Open job details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High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Correct details and available actions display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Pending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Screenshot required</w:t>
            </w:r>
          </w:p>
        </w:tc>
      </w:tr>
      <w:tr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MTC-007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Jobs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Perform primary job action (apply/create as supported)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Critical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Action succeeds and state updates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Pending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Screenshot required</w:t>
            </w:r>
          </w:p>
        </w:tc>
      </w:tr>
      <w:tr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MTC-008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Wallet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Open wallet and history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High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Balance/history page renders correctly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Pending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Screenshot required</w:t>
            </w:r>
          </w:p>
        </w:tc>
      </w:tr>
      <w:tr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MTC-009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Subscription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View subscription state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High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Current plan/status is displayed correctly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Pending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Screenshot required</w:t>
            </w:r>
          </w:p>
        </w:tc>
      </w:tr>
      <w:tr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MTC-010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Subscription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Cancel subscription in safe test mode if available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Critical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Cancellation state updates or safe expected response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Pending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Screenshot/video recommended</w:t>
            </w:r>
          </w:p>
        </w:tc>
      </w:tr>
      <w:tr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MTC-011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Messaging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Open conversation and send message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High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Message appears/sends without duplicate or crash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Pending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Screenshot required</w:t>
            </w:r>
          </w:p>
        </w:tc>
      </w:tr>
      <w:tr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MTC-012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Navigation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Navigate all primary tabs/screens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Medium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No dead links, blank pages or loops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Pending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Representative screenshots</w:t>
            </w:r>
          </w:p>
        </w:tc>
      </w:tr>
      <w:tr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MTC-013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Validation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Submit required form with missing/invalid inputs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High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Field-level validation appears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Pending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Screenshot required</w:t>
            </w:r>
          </w:p>
        </w:tc>
      </w:tr>
      <w:tr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MTC-014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Session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Logout and attempt protected navigation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High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Session ends; protected screen inaccessible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Pending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Screenshot required</w:t>
            </w:r>
          </w:p>
        </w:tc>
      </w:tr>
      <w:tr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MTC-015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Basic UI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Check key screens on target phone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Medium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Readable, non-overlapping layout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Pending</w:t>
            </w:r>
          </w:p>
        </w:tc>
        <w:tc>
          <w:tcPr>
            <w:tcW w:type="dxa" w:w="1296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Screenshots required</w:t>
            </w:r>
          </w:p>
        </w:tc>
      </w:tr>
    </w:tbl>
    <w:p>
      <w:r>
        <w:rPr>
          <w:rFonts w:ascii="Aptos" w:hAnsi="Aptos"/>
        </w:rPr>
        <w:br w:type="page"/>
      </w:r>
    </w:p>
    <w:p>
      <w:pPr>
        <w:pStyle w:val="Heading1"/>
      </w:pPr>
      <w:r>
        <w:rPr>
          <w:rFonts w:ascii="Aptos" w:hAnsi="Aptos"/>
        </w:rPr>
        <w:t>Appendix A – Traceability &amp; Evidence Index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1F5FB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Evidence ID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1F5FB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1F5FB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Current state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1F5FB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How to include in final submission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EV-01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Automated test terminal output showing 164 / 162 / 2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Earlier result available from prior test cycle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Insert screenshot immediately after Section 6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EV-02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Coverage output (~12.5%)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Earlier result available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Insert screenshot or coverage summary file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EV-03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GitHub Actions latest successful CI run for main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Verified in repository inspection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Insert Actions page screenshot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EV-04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CI workflow configuration (`.github/workflows/ci.yml`)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Verified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Optional code screenshot in CI section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EV-05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Automated Jest spec files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Verified – 8 discoverable spec files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Use code screenshots for 2–4 representative tests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EV-06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Manual mobile authentication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Pending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Add MTC-001 to MTC-003 screenshots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EV-07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Manual jobs/wallet/subscription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Pending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Add MTC-005 to MTC-010 screenshots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EV-08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Manual messaging/navigation/UI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Pending</w:t>
            </w:r>
          </w:p>
        </w:tc>
        <w:tc>
          <w:tcPr>
            <w:tcW w:type="dxa" w:w="2592"/>
            <w:vAlign w:val="center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shd w:fill="F8FAFC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Add MTC-011 to MTC-015 screenshots</w:t>
            </w:r>
          </w:p>
        </w:tc>
      </w:tr>
    </w:tbl>
    <w:p>
      <w:pPr>
        <w:pStyle w:val="Heading2"/>
      </w:pPr>
      <w:r>
        <w:rPr>
          <w:rFonts w:ascii="Aptos" w:hAnsi="Aptos"/>
        </w:rPr>
        <w:t>Document Control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AF2FF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592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r>
              <w:t>1.0 Draft</w:t>
            </w:r>
          </w:p>
        </w:tc>
        <w:tc>
          <w:tcPr>
            <w:tcW w:type="dxa" w:w="2592"/>
            <w:shd w:fill="EAF2FF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r>
              <w:rPr>
                <w:b/>
              </w:rPr>
              <w:t>Date</w:t>
            </w:r>
          </w:p>
        </w:tc>
        <w:tc>
          <w:tcPr>
            <w:tcW w:type="dxa" w:w="2592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r>
              <w:t>30 Sep 2026</w:t>
            </w:r>
          </w:p>
        </w:tc>
      </w:tr>
      <w:tr>
        <w:tc>
          <w:tcPr>
            <w:tcW w:type="dxa" w:w="2592"/>
            <w:shd w:fill="EAF2FF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r>
              <w:rPr>
                <w:b/>
              </w:rPr>
              <w:t>Prepared for</w:t>
            </w:r>
          </w:p>
        </w:tc>
        <w:tc>
          <w:tcPr>
            <w:tcW w:type="dxa" w:w="2592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r>
              <w:t>WorkFlex BD project</w:t>
            </w:r>
          </w:p>
        </w:tc>
        <w:tc>
          <w:tcPr>
            <w:tcW w:type="dxa" w:w="2592"/>
            <w:shd w:fill="EAF2FF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2592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r>
              <w:t>Project QA / Test Documentation</w:t>
            </w:r>
          </w:p>
        </w:tc>
      </w:tr>
      <w:tr>
        <w:tc>
          <w:tcPr>
            <w:tcW w:type="dxa" w:w="2592"/>
            <w:shd w:fill="EAF2FF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592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r>
              <w:t>Automated + CI documented</w:t>
            </w:r>
          </w:p>
        </w:tc>
        <w:tc>
          <w:tcPr>
            <w:tcW w:type="dxa" w:w="2592"/>
            <w:shd w:fill="EAF2FF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r>
              <w:rPr>
                <w:b/>
              </w:rPr>
              <w:t>Manual evidence</w:t>
            </w:r>
          </w:p>
        </w:tc>
        <w:tc>
          <w:tcPr>
            <w:tcW w:type="dxa" w:w="2592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r>
              <w:t>Pending</w:t>
            </w:r>
          </w:p>
        </w:tc>
      </w:tr>
      <w:tr>
        <w:tc>
          <w:tcPr>
            <w:tcW w:type="dxa" w:w="2592"/>
            <w:shd w:fill="EAF2FF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r>
              <w:rPr>
                <w:b/>
              </w:rPr>
              <w:t>Next revision</w:t>
            </w:r>
          </w:p>
        </w:tc>
        <w:tc>
          <w:tcPr>
            <w:tcW w:type="dxa" w:w="2592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r>
              <w:t>After manual test execution</w:t>
            </w:r>
          </w:p>
        </w:tc>
        <w:tc>
          <w:tcPr>
            <w:tcW w:type="dxa" w:w="2592"/>
            <w:shd w:fill="EAF2FF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r>
              <w:rPr>
                <w:b/>
              </w:rPr>
              <w:t>Finalization</w:t>
            </w:r>
          </w:p>
        </w:tc>
        <w:tc>
          <w:tcPr>
            <w:tcW w:type="dxa" w:w="2592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</w:tcPr>
          <w:p>
            <w:r>
              <w:t>Update results, defects and evidence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  <w:sz w:val="15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B7280"/>
        <w:sz w:val="15"/>
      </w:rPr>
      <w:t>WORKFLEX BD  |  SOFTWARE QUALITY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B263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5F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6B4EF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Label">
    <w:name w:val="Small Label"/>
    <w:rPr>
      <w:rFonts w:ascii="Aptos" w:hAnsi="Aptos"/>
      <w:b/>
      <w:color w:val="6B728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