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A7E52" w:rsidRDefault="00000000">
      <w:pPr>
        <w:rPr>
          <w:rFonts w:ascii="Georgia" w:eastAsia="Georgia" w:hAnsi="Georgia" w:cs="Georgia"/>
          <w:b/>
          <w:bCs/>
        </w:rPr>
      </w:pPr>
      <w:r>
        <w:rPr>
          <w:rFonts w:ascii="Georgia" w:eastAsia="Georgia" w:hAnsi="Georgia" w:cs="Georgia"/>
          <w:b/>
          <w:bCs/>
        </w:rPr>
        <w:t>To what extent did ‘containment’ and ‘peaceful coexistence’ change the nature of the Cold War?</w:t>
      </w:r>
    </w:p>
    <w:p w14:paraId="00000002" w14:textId="77777777" w:rsidR="005A7E52" w:rsidRDefault="005A7E52"/>
    <w:p w14:paraId="00000003" w14:textId="77777777" w:rsidR="005A7E52" w:rsidRDefault="00000000">
      <w:pPr>
        <w:ind w:firstLine="720"/>
        <w:rPr>
          <w:rFonts w:ascii="Georgia" w:eastAsia="Georgia" w:hAnsi="Georgia" w:cs="Georgia"/>
        </w:rPr>
      </w:pPr>
      <w:commentRangeStart w:id="0"/>
      <w:r>
        <w:rPr>
          <w:rFonts w:ascii="Georgia" w:eastAsia="Georgia" w:hAnsi="Georgia" w:cs="Georgia"/>
        </w:rPr>
        <w:t>“Containment” and “peaceful coexistence” only marginally changed the nature of the Cold War because the underlying threat of nuclear weapons ultimately ensured “no-go zones” for each party regarding its opponent’s key interests in respective “spheres of influence.</w:t>
      </w:r>
      <w:commentRangeEnd w:id="0"/>
      <w:r w:rsidR="00305B72">
        <w:rPr>
          <w:rStyle w:val="CommentReference"/>
          <w:rFonts w:ascii="Georgia" w:eastAsia="Georgia" w:hAnsi="Georgia" w:cs="Georgia"/>
          <w:sz w:val="22"/>
          <w:szCs w:val="22"/>
        </w:rPr>
        <w:commentReference w:id="0"/>
      </w:r>
      <w:r>
        <w:rPr>
          <w:rFonts w:ascii="Georgia" w:eastAsia="Georgia" w:hAnsi="Georgia" w:cs="Georgia"/>
        </w:rPr>
        <w:t xml:space="preserve">” With the European continent firmly divided as a result (despite nominal attempts from the Soviets seeking a thaw), both superpowers were </w:t>
      </w:r>
      <w:r>
        <w:rPr>
          <w:rFonts w:ascii="Georgia" w:eastAsia="Georgia" w:hAnsi="Georgia" w:cs="Georgia"/>
          <w:i/>
          <w:iCs/>
        </w:rPr>
        <w:t>forced</w:t>
      </w:r>
      <w:r>
        <w:rPr>
          <w:rFonts w:ascii="Georgia" w:eastAsia="Georgia" w:hAnsi="Georgia" w:cs="Georgia"/>
        </w:rPr>
        <w:t xml:space="preserve"> to pivot to the Third World.</w:t>
      </w:r>
    </w:p>
    <w:p w14:paraId="00000004" w14:textId="77777777" w:rsidR="005A7E52" w:rsidRDefault="00000000">
      <w:pPr>
        <w:ind w:firstLine="720"/>
        <w:rPr>
          <w:rFonts w:ascii="Georgia" w:eastAsia="Georgia" w:hAnsi="Georgia" w:cs="Georgia"/>
        </w:rPr>
      </w:pPr>
      <w:r>
        <w:rPr>
          <w:rFonts w:ascii="Georgia" w:eastAsia="Georgia" w:hAnsi="Georgia" w:cs="Georgia"/>
        </w:rPr>
        <w:t xml:space="preserve">The key change in the nature of the Cold War between 1953-68 was the fading of fears of a continental European land war. Everything other change was marginal in comparison. Eisenhower’s “containment” was associated with this, while Kennedy/Johnson’s Third World ventures were </w:t>
      </w:r>
      <w:r>
        <w:rPr>
          <w:rFonts w:ascii="Georgia" w:eastAsia="Georgia" w:hAnsi="Georgia" w:cs="Georgia"/>
          <w:i/>
          <w:iCs/>
        </w:rPr>
        <w:t xml:space="preserve">because </w:t>
      </w:r>
      <w:r>
        <w:rPr>
          <w:rFonts w:ascii="Georgia" w:eastAsia="Georgia" w:hAnsi="Georgia" w:cs="Georgia"/>
        </w:rPr>
        <w:t xml:space="preserve">of this.  And “peaceful coexistence” only </w:t>
      </w:r>
      <w:r>
        <w:rPr>
          <w:rFonts w:ascii="Georgia" w:eastAsia="Georgia" w:hAnsi="Georgia" w:cs="Georgia"/>
          <w:i/>
          <w:iCs/>
        </w:rPr>
        <w:t>maintained</w:t>
      </w:r>
      <w:r>
        <w:rPr>
          <w:rFonts w:ascii="Georgia" w:eastAsia="Georgia" w:hAnsi="Georgia" w:cs="Georgia"/>
        </w:rPr>
        <w:t xml:space="preserve"> the game theory equilibrium of nuclear weapons, rather than causing it. Even Khrushchev’s eventual belligerent rhetoric did not change the calculus for the Americans. “Peaceful coexistence” contributed to the Sino-Soviet split, but that was not exploited between 1953-68 to constitute a change in nature.</w:t>
      </w:r>
    </w:p>
    <w:p w14:paraId="00000005" w14:textId="77777777" w:rsidR="005A7E52" w:rsidRDefault="00000000">
      <w:pPr>
        <w:ind w:firstLine="720"/>
        <w:rPr>
          <w:rFonts w:ascii="Georgia" w:eastAsia="Georgia" w:hAnsi="Georgia" w:cs="Georgia"/>
        </w:rPr>
      </w:pPr>
      <w:r>
        <w:rPr>
          <w:rFonts w:ascii="Georgia" w:eastAsia="Georgia" w:hAnsi="Georgia" w:cs="Georgia"/>
        </w:rPr>
        <w:t xml:space="preserve">Each superpower shifted their focus </w:t>
      </w:r>
      <w:r>
        <w:rPr>
          <w:rFonts w:ascii="Georgia" w:eastAsia="Georgia" w:hAnsi="Georgia" w:cs="Georgia"/>
          <w:i/>
          <w:iCs/>
        </w:rPr>
        <w:t xml:space="preserve">because </w:t>
      </w:r>
      <w:r>
        <w:rPr>
          <w:rFonts w:ascii="Georgia" w:eastAsia="Georgia" w:hAnsi="Georgia" w:cs="Georgia"/>
        </w:rPr>
        <w:t>the European situation was so stable. Eisenhower’s variant of containment, “New Look,” achieved its goal in retrospect (though it was derided at the time), but Kennedy and Johnson’s “flexible responses” made containment extremely explicit rather than murky. For the Americans, this clarification changed the nature of the Cold War into one centered around the Global South, with economic aid, coups, counterinsurgency, and war. Yet nonetheless, the central relationship of the Cold War, with the Soviet Union, remained stable because of nuclear weapons. Only the periphery changed.</w:t>
      </w:r>
    </w:p>
    <w:p w14:paraId="00000006" w14:textId="77777777" w:rsidR="005A7E52" w:rsidRDefault="00000000">
      <w:pPr>
        <w:ind w:firstLine="720"/>
        <w:rPr>
          <w:rFonts w:ascii="Georgia" w:eastAsia="Georgia" w:hAnsi="Georgia" w:cs="Georgia"/>
        </w:rPr>
      </w:pPr>
      <w:r>
        <w:rPr>
          <w:rFonts w:ascii="Georgia" w:eastAsia="Georgia" w:hAnsi="Georgia" w:cs="Georgia"/>
        </w:rPr>
        <w:t xml:space="preserve">Then, the Soviet “peaceful coexistence” doctrine can be broken down into Khrushchev’s attempts at detente in Europe, coinciding with and preceding increased greater Soviet involvement in the Third World. The Cold War became nominally ideological but truly realist, sometimes attempting to capture the “hearts and minds” of the Third World, but ultimately yielding expensive but middling results for both parties, especially for the US. To conclude, the doctrines themselves were so deeply shaped/evolved by the new nuclear reality, that the relatively minor changes (for each superpower, that is) that they caused in the Third World hardly changed the central dynamic </w:t>
      </w:r>
      <w:r>
        <w:rPr>
          <w:rFonts w:ascii="Georgia" w:eastAsia="Georgia" w:hAnsi="Georgia" w:cs="Georgia"/>
          <w:i/>
          <w:iCs/>
        </w:rPr>
        <w:t>between</w:t>
      </w:r>
      <w:r>
        <w:rPr>
          <w:rFonts w:ascii="Georgia" w:eastAsia="Georgia" w:hAnsi="Georgia" w:cs="Georgia"/>
        </w:rPr>
        <w:t xml:space="preserve"> the two countries during 1953-68.</w:t>
      </w:r>
    </w:p>
    <w:p w14:paraId="00000007" w14:textId="77777777" w:rsidR="005A7E52" w:rsidRDefault="005A7E52">
      <w:pPr>
        <w:ind w:firstLine="720"/>
        <w:rPr>
          <w:rFonts w:ascii="Georgia" w:eastAsia="Georgia" w:hAnsi="Georgia" w:cs="Georgia"/>
        </w:rPr>
      </w:pPr>
    </w:p>
    <w:p w14:paraId="00000008" w14:textId="77777777" w:rsidR="005A7E52" w:rsidRDefault="00000000">
      <w:pPr>
        <w:ind w:firstLine="720"/>
        <w:rPr>
          <w:rFonts w:ascii="Georgia" w:eastAsia="Georgia" w:hAnsi="Georgia" w:cs="Georgia"/>
        </w:rPr>
      </w:pPr>
      <w:r>
        <w:rPr>
          <w:rFonts w:ascii="Georgia" w:eastAsia="Georgia" w:hAnsi="Georgia" w:cs="Georgia"/>
        </w:rPr>
        <w:t xml:space="preserve">First, I must define the two terms. </w:t>
      </w:r>
      <w:commentRangeStart w:id="1"/>
      <w:r>
        <w:rPr>
          <w:rFonts w:ascii="Georgia" w:eastAsia="Georgia" w:hAnsi="Georgia" w:cs="Georgia"/>
        </w:rPr>
        <w:t xml:space="preserve">“Peaceful coexistence” was centered about Khrushchev's “rejection of the ‘inevitability of global war’ and of the violent revolutionary transition of the world from capitalist to Socialist order” </w:t>
      </w:r>
      <w:commentRangeEnd w:id="1"/>
      <w:r w:rsidR="003B5047">
        <w:rPr>
          <w:rStyle w:val="CommentReference"/>
          <w:rFonts w:ascii="Georgia" w:eastAsia="Georgia" w:hAnsi="Georgia" w:cs="Georgia"/>
          <w:sz w:val="22"/>
          <w:szCs w:val="22"/>
        </w:rPr>
        <w:commentReference w:id="1"/>
      </w:r>
      <w:r>
        <w:rPr>
          <w:rFonts w:ascii="Georgia" w:eastAsia="Georgia" w:hAnsi="Georgia" w:cs="Georgia"/>
        </w:rPr>
        <w:t>(Zubok and Pleshakov 1996, 184). Khrushchev saw “the Cold War as a transitory period between the era of imperialist wars and an era of peaceful economic competition between the two social systems” (Zubok and Pleshakov 1996, 184-185). The authors reinforce my thesis when they write how Khrushchev was deeply moved by the power of thermonuclear weapons and “his realization of the impossibility of war,” which especially contributed to his establishment of “peaceful coexistence” (Zubok and Pleshakov 1996, 184). Note that the same was true for Eisenhower.</w:t>
      </w:r>
    </w:p>
    <w:p w14:paraId="00000009" w14:textId="77777777" w:rsidR="005A7E52" w:rsidRDefault="00000000">
      <w:pPr>
        <w:ind w:firstLine="720"/>
        <w:rPr>
          <w:rFonts w:ascii="Georgia" w:eastAsia="Georgia" w:hAnsi="Georgia" w:cs="Georgia"/>
        </w:rPr>
      </w:pPr>
      <w:r>
        <w:rPr>
          <w:rFonts w:ascii="Georgia" w:eastAsia="Georgia" w:hAnsi="Georgia" w:cs="Georgia"/>
        </w:rPr>
        <w:t xml:space="preserve">The American policy of “containment” is much broader. It was invented before the scope of 1953-68, by Kennan. </w:t>
      </w:r>
      <w:commentRangeStart w:id="2"/>
      <w:r>
        <w:rPr>
          <w:rFonts w:ascii="Georgia" w:eastAsia="Georgia" w:hAnsi="Georgia" w:cs="Georgia"/>
        </w:rPr>
        <w:t xml:space="preserve">He considered “universalism as an inappropriate framework for American interests,” instead limiting the scope of the project to America’s most necessary geographies, such as Western Europe </w:t>
      </w:r>
      <w:commentRangeEnd w:id="2"/>
      <w:r w:rsidR="00D914F6">
        <w:rPr>
          <w:rStyle w:val="CommentReference"/>
          <w:rFonts w:ascii="Georgia" w:eastAsia="Georgia" w:hAnsi="Georgia" w:cs="Georgia"/>
          <w:sz w:val="22"/>
          <w:szCs w:val="22"/>
        </w:rPr>
        <w:commentReference w:id="2"/>
      </w:r>
      <w:r>
        <w:rPr>
          <w:rFonts w:ascii="Georgia" w:eastAsia="Georgia" w:hAnsi="Georgia" w:cs="Georgia"/>
        </w:rPr>
        <w:t xml:space="preserve">(Gaddis 1982, 27-29). While Kennan focused on economic aid, Eisenhower and Dulles expanded it to championing asymmetry on terrains favorable to US </w:t>
      </w:r>
      <w:r>
        <w:rPr>
          <w:rFonts w:ascii="Georgia" w:eastAsia="Georgia" w:hAnsi="Georgia" w:cs="Georgia"/>
        </w:rPr>
        <w:lastRenderedPageBreak/>
        <w:t>and unfavorable to adversaries, continuing Kennan’s economic aid while maximizing the nuclear deterrent (Gaddis 1982, 212). Eisenhower's New Look focused on cost-cutting measures across conventional military forces, with "an increased reliance on the role of espionage, sabotage, and covert operations” (McMahon 2010, 294).</w:t>
      </w:r>
    </w:p>
    <w:p w14:paraId="0000000A" w14:textId="77777777" w:rsidR="005A7E52" w:rsidRDefault="00000000">
      <w:pPr>
        <w:ind w:firstLine="720"/>
        <w:rPr>
          <w:rFonts w:ascii="Georgia" w:eastAsia="Georgia" w:hAnsi="Georgia" w:cs="Georgia"/>
        </w:rPr>
      </w:pPr>
      <w:r>
        <w:rPr>
          <w:rFonts w:ascii="Georgia" w:eastAsia="Georgia" w:hAnsi="Georgia" w:cs="Georgia"/>
        </w:rPr>
        <w:t xml:space="preserve">Nonetheless, these aspects were viewed as trivial, because the policy of nuclear weapons as an offensive tool of limited war underpinned the </w:t>
      </w:r>
      <w:r>
        <w:rPr>
          <w:rFonts w:ascii="Georgia" w:eastAsia="Georgia" w:hAnsi="Georgia" w:cs="Georgia"/>
          <w:i/>
          <w:iCs/>
        </w:rPr>
        <w:t>perception</w:t>
      </w:r>
      <w:r>
        <w:rPr>
          <w:rFonts w:ascii="Georgia" w:eastAsia="Georgia" w:hAnsi="Georgia" w:cs="Georgia"/>
        </w:rPr>
        <w:t xml:space="preserve"> of containment. Eisenhower’s policy “was widely criticized in the United States for lacking credibility against all but the most extreme threats…respond[ing] to limited aggression by choosing between doing nothing and starting a general war” (Holloway 2010, 386). Then, Kennedy and Johnson dramatically adapted containment around “flexible response” to deal with the blind spots–limited wars, elevating counterinsurgency to top status. I argue that this is </w:t>
      </w:r>
      <w:r>
        <w:rPr>
          <w:rFonts w:ascii="Georgia" w:eastAsia="Georgia" w:hAnsi="Georgia" w:cs="Georgia"/>
          <w:i/>
          <w:iCs/>
        </w:rPr>
        <w:t xml:space="preserve">because </w:t>
      </w:r>
      <w:r>
        <w:rPr>
          <w:rFonts w:ascii="Georgia" w:eastAsia="Georgia" w:hAnsi="Georgia" w:cs="Georgia"/>
        </w:rPr>
        <w:t xml:space="preserve">the nuclear deterrent reinforced Europe as off-limits, and the nuclear bomb’s lack of credibility as a general tool of war. </w:t>
      </w:r>
      <w:commentRangeStart w:id="3"/>
      <w:r>
        <w:rPr>
          <w:rFonts w:ascii="Georgia" w:eastAsia="Georgia" w:hAnsi="Georgia" w:cs="Georgia"/>
        </w:rPr>
        <w:t>Aside, economic aid was a favorite of Kennedy’s to buy over the Third World to the American camp when a “carrot” was preferred to the “stick.”</w:t>
      </w:r>
      <w:commentRangeEnd w:id="3"/>
      <w:r w:rsidR="008F5009">
        <w:rPr>
          <w:rStyle w:val="CommentReference"/>
          <w:rFonts w:ascii="Georgia" w:eastAsia="Georgia" w:hAnsi="Georgia" w:cs="Georgia"/>
          <w:sz w:val="22"/>
          <w:szCs w:val="22"/>
        </w:rPr>
        <w:commentReference w:id="3"/>
      </w:r>
    </w:p>
    <w:p w14:paraId="0000000B" w14:textId="77777777" w:rsidR="005A7E52" w:rsidRDefault="005A7E52">
      <w:pPr>
        <w:ind w:firstLine="720"/>
        <w:rPr>
          <w:rFonts w:ascii="Georgia" w:eastAsia="Georgia" w:hAnsi="Georgia" w:cs="Georgia"/>
        </w:rPr>
      </w:pPr>
    </w:p>
    <w:p w14:paraId="0000000C" w14:textId="77777777" w:rsidR="005A7E52" w:rsidRDefault="00000000">
      <w:pPr>
        <w:ind w:firstLine="720"/>
        <w:rPr>
          <w:rFonts w:ascii="Georgia" w:eastAsia="Georgia" w:hAnsi="Georgia" w:cs="Georgia"/>
        </w:rPr>
      </w:pPr>
      <w:r>
        <w:rPr>
          <w:rFonts w:ascii="Georgia" w:eastAsia="Georgia" w:hAnsi="Georgia" w:cs="Georgia"/>
        </w:rPr>
        <w:t>Gaddis delineates the game-theoretic aspects of the Cold War regarding primary and secondary interests for each superpower. First, Eisenhower’s futile attempt of containment in Vietnam highlights the impotence of containment without nuclear weapons. (Though Gaddis caveats that the situation was solidified against him by inauguration.) While Eisenhower’s public position was that there was “no reason why [nuclear weapons] shouldn't be used just exactly as you would use a bullet or anything else,” he repeatedly rejected their use in limited war situations: "We can't use those awful things against Asians for the second time in less than ten years. My God" (Gaddis 1986, 137).</w:t>
      </w:r>
    </w:p>
    <w:p w14:paraId="0000000D" w14:textId="77777777" w:rsidR="005A7E52" w:rsidRDefault="00000000">
      <w:pPr>
        <w:ind w:firstLine="720"/>
        <w:rPr>
          <w:rFonts w:ascii="Georgia" w:eastAsia="Georgia" w:hAnsi="Georgia" w:cs="Georgia"/>
        </w:rPr>
      </w:pPr>
      <w:commentRangeStart w:id="4"/>
      <w:r>
        <w:rPr>
          <w:rFonts w:ascii="Georgia" w:eastAsia="Georgia" w:hAnsi="Georgia" w:cs="Georgia"/>
        </w:rPr>
        <w:t>The “game” is a product of past decisions and norms</w:t>
      </w:r>
      <w:commentRangeEnd w:id="4"/>
      <w:r w:rsidR="000961AE">
        <w:rPr>
          <w:rStyle w:val="CommentReference"/>
          <w:rFonts w:ascii="Georgia" w:eastAsia="Georgia" w:hAnsi="Georgia" w:cs="Georgia"/>
          <w:sz w:val="22"/>
          <w:szCs w:val="22"/>
        </w:rPr>
        <w:commentReference w:id="4"/>
      </w:r>
      <w:r>
        <w:rPr>
          <w:rFonts w:ascii="Georgia" w:eastAsia="Georgia" w:hAnsi="Georgia" w:cs="Georgia"/>
        </w:rPr>
        <w:t xml:space="preserve">. </w:t>
      </w:r>
      <w:commentRangeStart w:id="5"/>
      <w:r>
        <w:rPr>
          <w:rFonts w:ascii="Georgia" w:eastAsia="Georgia" w:hAnsi="Georgia" w:cs="Georgia"/>
        </w:rPr>
        <w:t>By demurring, Eisenhower clearly demarcated the norm of not using the atomic bomb in all but the most severe situations</w:t>
      </w:r>
      <w:commentRangeEnd w:id="5"/>
      <w:r w:rsidR="00F11B93">
        <w:rPr>
          <w:rStyle w:val="CommentReference"/>
          <w:rFonts w:ascii="Georgia" w:eastAsia="Georgia" w:hAnsi="Georgia" w:cs="Georgia"/>
          <w:sz w:val="22"/>
          <w:szCs w:val="22"/>
        </w:rPr>
        <w:commentReference w:id="5"/>
      </w:r>
      <w:r>
        <w:rPr>
          <w:rFonts w:ascii="Georgia" w:eastAsia="Georgia" w:hAnsi="Georgia" w:cs="Georgia"/>
        </w:rPr>
        <w:t xml:space="preserve">. It did not matter what he said in public, because his inaction revealed much more to the Soviets. They, too, perpetuated this norm. This norm, too, in turn, must have influenced Khrushchev as he backed away during the Missile Crisis, because he realized that it was such an aforementioned “severe situation.” (I.e., he did not back away </w:t>
      </w:r>
      <w:r>
        <w:rPr>
          <w:rFonts w:ascii="Georgia" w:eastAsia="Georgia" w:hAnsi="Georgia" w:cs="Georgia"/>
          <w:i/>
          <w:iCs/>
        </w:rPr>
        <w:t>because of</w:t>
      </w:r>
      <w:r>
        <w:rPr>
          <w:rFonts w:ascii="Georgia" w:eastAsia="Georgia" w:hAnsi="Georgia" w:cs="Georgia"/>
        </w:rPr>
        <w:t xml:space="preserve"> “peaceful coexistence.”) Nuclear weapons, then, are the primary reason why there was no “rollback” in Eastern Europe. It would have changed the nature of the War–violating norms. Thus, “despite publicly condemning it, the United States never attempted seriously to undo Soviet control in Eastern Europe” and Moscow did the parallel (Gaddis 1986, 134).</w:t>
      </w:r>
    </w:p>
    <w:p w14:paraId="0000000E" w14:textId="77777777" w:rsidR="005A7E52" w:rsidRDefault="00000000">
      <w:pPr>
        <w:ind w:firstLine="720"/>
        <w:rPr>
          <w:rFonts w:ascii="Georgia" w:eastAsia="Georgia" w:hAnsi="Georgia" w:cs="Georgia"/>
        </w:rPr>
      </w:pPr>
      <w:r>
        <w:rPr>
          <w:rFonts w:ascii="Georgia" w:eastAsia="Georgia" w:hAnsi="Georgia" w:cs="Georgia"/>
        </w:rPr>
        <w:t>Next, norms prior to 1953 persisted through 1953-68. For example, there was ambiguity as to Western commitment in Berlin (1948) and South Korea (1950), so “attempts…to exploit the situation could not be ruled out” (Gaddis 1986, 134). And while Khrushchev’s “peaceful coexistence” yielded zero hot wars à la Korea, the norm of poking at ambiguous situations culminated in his escalation of the Cuban Missile Crisis. Gaddis notes that “the resulting probes would be conducted cautiously, and that they would not be pursued to the point of risking war if resistance was encountered” (Gaddis 1986, 134). Just like in Berlin, the Soviets retracted their aggression in Cuba, not risking war. Thus, the Third World became the one place where the superpowers could compete to assert their influence, having a fresh slate with few norms inhibiting progress.</w:t>
      </w:r>
    </w:p>
    <w:p w14:paraId="0000000F" w14:textId="77777777" w:rsidR="005A7E52" w:rsidRDefault="00000000">
      <w:pPr>
        <w:ind w:firstLine="720"/>
        <w:rPr>
          <w:rFonts w:ascii="Georgia" w:eastAsia="Georgia" w:hAnsi="Georgia" w:cs="Georgia"/>
        </w:rPr>
      </w:pPr>
      <w:r>
        <w:rPr>
          <w:rFonts w:ascii="Georgia" w:eastAsia="Georgia" w:hAnsi="Georgia" w:cs="Georgia"/>
        </w:rPr>
        <w:t xml:space="preserve">Finally, the last crucial norm was that “Defections from one sphere would be exploited by the other only when it was clear that the first either could not or would not reassert control”; </w:t>
      </w:r>
      <w:r>
        <w:rPr>
          <w:rFonts w:ascii="Georgia" w:eastAsia="Georgia" w:hAnsi="Georgia" w:cs="Georgia"/>
        </w:rPr>
        <w:lastRenderedPageBreak/>
        <w:t xml:space="preserve">thus the US did not exploit the attempted defections of Hungary in 1956 or Czechoslovakia in 1968 (Gaddis 1986, 134). Similarly, the Soviet Union did not exploit the series of attempted Latin American defections around the same period. Was this norm a product of “peaceful coexistence?” That is hard to argue if we compare it with “what would Stalin do?” Stalin’s 1945-53 was also marked by a remarkably tame disposition regarding peripheral interests as he was “knocking at the doors' in search of weak points,” yet also coincided with an eventual crackdown on Eastern European external sovereignty. So “peaceful coexistence” did not truly change the nature for Eastern European countries; when push came to shove, they were stifled as before, with little the West could do. </w:t>
      </w:r>
      <w:commentRangeStart w:id="6"/>
      <w:r>
        <w:rPr>
          <w:rFonts w:ascii="Georgia" w:eastAsia="Georgia" w:hAnsi="Georgia" w:cs="Georgia"/>
        </w:rPr>
        <w:t xml:space="preserve">Similarly, American “containment” could not work in places so firmly under Soviet control. </w:t>
      </w:r>
      <w:commentRangeEnd w:id="6"/>
      <w:r w:rsidR="00846F2C">
        <w:rPr>
          <w:rStyle w:val="CommentReference"/>
          <w:rFonts w:ascii="Georgia" w:eastAsia="Georgia" w:hAnsi="Georgia" w:cs="Georgia"/>
          <w:sz w:val="22"/>
          <w:szCs w:val="22"/>
        </w:rPr>
        <w:commentReference w:id="6"/>
      </w:r>
      <w:r>
        <w:rPr>
          <w:rFonts w:ascii="Georgia" w:eastAsia="Georgia" w:hAnsi="Georgia" w:cs="Georgia"/>
        </w:rPr>
        <w:t>The nature of the Cold War was stalemated on the continent.</w:t>
      </w:r>
    </w:p>
    <w:p w14:paraId="00000010" w14:textId="77777777" w:rsidR="005A7E52" w:rsidRDefault="005A7E52">
      <w:pPr>
        <w:ind w:firstLine="720"/>
        <w:rPr>
          <w:rFonts w:ascii="Georgia" w:eastAsia="Georgia" w:hAnsi="Georgia" w:cs="Georgia"/>
        </w:rPr>
      </w:pPr>
    </w:p>
    <w:p w14:paraId="00000011" w14:textId="77777777" w:rsidR="005A7E52" w:rsidRDefault="00000000">
      <w:pPr>
        <w:ind w:firstLine="720"/>
        <w:rPr>
          <w:rFonts w:ascii="Georgia" w:eastAsia="Georgia" w:hAnsi="Georgia" w:cs="Georgia"/>
        </w:rPr>
      </w:pPr>
      <w:r>
        <w:rPr>
          <w:rFonts w:ascii="Georgia" w:eastAsia="Georgia" w:hAnsi="Georgia" w:cs="Georgia"/>
        </w:rPr>
        <w:t xml:space="preserve">Now, I argue that Third World change was actually quite limited. </w:t>
      </w:r>
      <w:commentRangeStart w:id="7"/>
      <w:r>
        <w:rPr>
          <w:rFonts w:ascii="Georgia" w:eastAsia="Georgia" w:hAnsi="Georgia" w:cs="Georgia"/>
        </w:rPr>
        <w:t xml:space="preserve">To summarize, Third World alliances frequently worked at cross-purposes with the US, providing negligible contribution to collective defense efforts while eagerly reaping economic and military assistance </w:t>
      </w:r>
      <w:commentRangeEnd w:id="7"/>
      <w:r w:rsidR="000961AE">
        <w:rPr>
          <w:rStyle w:val="CommentReference"/>
          <w:rFonts w:ascii="Georgia" w:eastAsia="Georgia" w:hAnsi="Georgia" w:cs="Georgia"/>
          <w:sz w:val="22"/>
          <w:szCs w:val="22"/>
        </w:rPr>
        <w:commentReference w:id="7"/>
      </w:r>
      <w:r>
        <w:rPr>
          <w:rFonts w:ascii="Georgia" w:eastAsia="Georgia" w:hAnsi="Georgia" w:cs="Georgia"/>
        </w:rPr>
        <w:t xml:space="preserve">(McMahon 2010, 299). For example, what did Americans gain in return for Pakistani aid? They got “a ‘team player’ willing to join American-sponsored alliances, but also a valuable air base for U-2 overflights” (Engerman 2013, 77). This, like every other Third World alliance, was entirely negligible in terms of the Cold War’s key relationship between superpowers. The Soviets did not have to change their overall defense strategy: everything was still held in balance by nuclear weapons. Similarly for the Soviets, their “tour of three South Asian countries over six weeks was more about symbolism than substance…The American press gave extensive coverage to the Soviets’ public events. </w:t>
      </w:r>
      <w:r>
        <w:rPr>
          <w:rFonts w:ascii="Georgia" w:eastAsia="Georgia" w:hAnsi="Georgia" w:cs="Georgia"/>
          <w:i/>
          <w:iCs/>
        </w:rPr>
        <w:t xml:space="preserve">Time </w:t>
      </w:r>
      <w:r>
        <w:rPr>
          <w:rFonts w:ascii="Georgia" w:eastAsia="Georgia" w:hAnsi="Georgia" w:cs="Georgia"/>
        </w:rPr>
        <w:t xml:space="preserve">magazine fretted about the Soviets’ ‘lunge to the south’” (Engerman 2013, 73). Then, in response to this “Soviet economic offensive,” American efforts accelerated (Engerman 2013, 74). </w:t>
      </w:r>
    </w:p>
    <w:p w14:paraId="00000012" w14:textId="77777777" w:rsidR="005A7E52" w:rsidRDefault="00000000">
      <w:pPr>
        <w:ind w:firstLine="720"/>
        <w:rPr>
          <w:rFonts w:ascii="Georgia" w:eastAsia="Georgia" w:hAnsi="Georgia" w:cs="Georgia"/>
        </w:rPr>
      </w:pPr>
      <w:r>
        <w:rPr>
          <w:rFonts w:ascii="Georgia" w:eastAsia="Georgia" w:hAnsi="Georgia" w:cs="Georgia"/>
        </w:rPr>
        <w:t xml:space="preserve">Most of the evidence points towards ineffectual outcomes of American and Soviet actions  in the Third World. Nehru deliberately sought this, seeking economic aid from a wide range of sources (Lawrence 2013, 142). American officials continued its military and economic aid programs </w:t>
      </w:r>
      <w:r>
        <w:rPr>
          <w:rFonts w:ascii="Georgia" w:eastAsia="Georgia" w:hAnsi="Georgia" w:cs="Georgia"/>
          <w:i/>
          <w:iCs/>
        </w:rPr>
        <w:t>in parallel with</w:t>
      </w:r>
      <w:r>
        <w:rPr>
          <w:rFonts w:ascii="Georgia" w:eastAsia="Georgia" w:hAnsi="Georgia" w:cs="Georgia"/>
        </w:rPr>
        <w:t xml:space="preserve"> the Soviets in the same countries, like India (Engerman 2013, 77). The Soviets were remarkably flexible ideologically, continuing their support despite Nehru acting against the Indian Communists (Engerman 2013, 78). But this was not </w:t>
      </w:r>
      <w:r>
        <w:rPr>
          <w:rFonts w:ascii="Georgia" w:eastAsia="Georgia" w:hAnsi="Georgia" w:cs="Georgia"/>
          <w:i/>
          <w:iCs/>
        </w:rPr>
        <w:t xml:space="preserve">because of </w:t>
      </w:r>
      <w:r>
        <w:rPr>
          <w:rFonts w:ascii="Georgia" w:eastAsia="Georgia" w:hAnsi="Georgia" w:cs="Georgia"/>
        </w:rPr>
        <w:t>“peaceful coexistence.” The Soviets lacked the capacity to be heavy-handed with India, just like the United States realized.</w:t>
      </w:r>
    </w:p>
    <w:p w14:paraId="00000013" w14:textId="77777777" w:rsidR="005A7E52" w:rsidRDefault="00000000">
      <w:pPr>
        <w:ind w:firstLine="720"/>
        <w:rPr>
          <w:rFonts w:ascii="Georgia" w:eastAsia="Georgia" w:hAnsi="Georgia" w:cs="Georgia"/>
        </w:rPr>
      </w:pPr>
      <w:r>
        <w:rPr>
          <w:rFonts w:ascii="Georgia" w:eastAsia="Georgia" w:hAnsi="Georgia" w:cs="Georgia"/>
        </w:rPr>
        <w:t xml:space="preserve">Nonetheless, all of this competitive aid did not change the most crucial nature of the Cold War–the balance of power. For example, for all the aid that the Soviet Union provided India, it stood aside during the Sino-Indian War; </w:t>
      </w:r>
      <w:r>
        <w:rPr>
          <w:rFonts w:ascii="Georgia" w:eastAsia="Georgia" w:hAnsi="Georgia" w:cs="Georgia"/>
          <w:i/>
          <w:iCs/>
        </w:rPr>
        <w:t xml:space="preserve">because of </w:t>
      </w:r>
      <w:r>
        <w:rPr>
          <w:rFonts w:ascii="Georgia" w:eastAsia="Georgia" w:hAnsi="Georgia" w:cs="Georgia"/>
        </w:rPr>
        <w:t xml:space="preserve">all the aid the United States provided India, Pakistan grew closer to China, and America then quadrupled its arms transfers to Pakistan to appease them (Engerman 2013, 79-80). Ultimately, “Neither Western nor Eastern models of development met the needs of extractive economies suffering a dearth of infrastructure and trained personnel,” and all of these aid programs only seemed to balance against one another (Costigiola 2010, 122). One might argue that this changed the nature of the Cold War by diverting attention and resources. But while both superpowers felt compelled to provide resources to the Third World, it only amounted to a percentage of American GDP between 1953-68 (Ingram 2024). Likewise, peak Soviet aid in 1960 accounted for a similar proportion of GNP (Goldman 1965). </w:t>
      </w:r>
      <w:commentRangeStart w:id="8"/>
      <w:r>
        <w:rPr>
          <w:rFonts w:ascii="Georgia" w:eastAsia="Georgia" w:hAnsi="Georgia" w:cs="Georgia"/>
        </w:rPr>
        <w:t>As such, these were peripheral headaches for superpower lawmakers. The central nature of the Cold War was still the nuclear stalemate</w:t>
      </w:r>
      <w:commentRangeEnd w:id="8"/>
      <w:r w:rsidR="00A41B02">
        <w:rPr>
          <w:rStyle w:val="CommentReference"/>
          <w:rFonts w:ascii="Georgia" w:eastAsia="Georgia" w:hAnsi="Georgia" w:cs="Georgia"/>
          <w:sz w:val="22"/>
          <w:szCs w:val="22"/>
        </w:rPr>
        <w:commentReference w:id="8"/>
      </w:r>
      <w:r>
        <w:rPr>
          <w:rFonts w:ascii="Georgia" w:eastAsia="Georgia" w:hAnsi="Georgia" w:cs="Georgia"/>
        </w:rPr>
        <w:t>.</w:t>
      </w:r>
    </w:p>
    <w:p w14:paraId="00000014" w14:textId="77777777" w:rsidR="005A7E52" w:rsidRDefault="00000000">
      <w:pPr>
        <w:rPr>
          <w:rFonts w:ascii="Georgia" w:eastAsia="Georgia" w:hAnsi="Georgia" w:cs="Georgia"/>
        </w:rPr>
      </w:pPr>
      <w:r>
        <w:rPr>
          <w:rFonts w:ascii="Georgia" w:eastAsia="Georgia" w:hAnsi="Georgia" w:cs="Georgia"/>
        </w:rPr>
        <w:lastRenderedPageBreak/>
        <w:tab/>
        <w:t>Outside of South Asia, SEATO was a paper alliance, with no capacity to deal with internal or external aggression (McMahon 2010, 300). The Baghdad Pact was a misguided strategy as it alienated the most powerful Arab state, Egypt, pushing it toward the Soviet orbit (McMahon 2010, 300). The Eisenhower administration "confused nationalism with Communism, sided with European allies in their disputes with colonies" (see Katanga/Belgium vs. Lumumba) and alienated non-aligned states by harshly condemning neutrality and building untactful Third World alliance networks (McMahon 2010, 301). Again, alliance-building was to some extent futile in the world of nuclear stalemate. Even if nations were to commit to one party or another, each was individually or collectively incapable of changing the nuclear calculus for either superpower. Third World nations instead sought to collect all the bounty, itself an insignificant portion of each superpower’s economy. These generally occurred in the IR background, even the all-important American intervention in Vietnam, which arguably played a more important role in the nation’s domestic self-reckoning rather than crippling it in the stalemate against the USSR.</w:t>
      </w:r>
    </w:p>
    <w:p w14:paraId="00000015" w14:textId="77777777" w:rsidR="005A7E52" w:rsidRDefault="00000000">
      <w:pPr>
        <w:rPr>
          <w:rFonts w:ascii="Georgia" w:eastAsia="Georgia" w:hAnsi="Georgia" w:cs="Georgia"/>
        </w:rPr>
      </w:pPr>
      <w:r>
        <w:rPr>
          <w:rFonts w:ascii="Georgia" w:eastAsia="Georgia" w:hAnsi="Georgia" w:cs="Georgia"/>
        </w:rPr>
        <w:tab/>
        <w:t xml:space="preserve">“Peaceful coexistence” had more multi-dimensional consequences for the Soviet Union than meets the eye. </w:t>
      </w:r>
      <w:commentRangeStart w:id="9"/>
      <w:r>
        <w:rPr>
          <w:rFonts w:ascii="Georgia" w:eastAsia="Georgia" w:hAnsi="Georgia" w:cs="Georgia"/>
        </w:rPr>
        <w:t xml:space="preserve">Most importantly, “by the end of the 1950s Moscow was more inclined to manage international relations in its own interests than to stick to the principles of revolutionarism” </w:t>
      </w:r>
      <w:commentRangeEnd w:id="9"/>
      <w:r w:rsidR="00A41B02">
        <w:rPr>
          <w:rStyle w:val="CommentReference"/>
          <w:rFonts w:ascii="Georgia" w:eastAsia="Georgia" w:hAnsi="Georgia" w:cs="Georgia"/>
          <w:sz w:val="22"/>
          <w:szCs w:val="22"/>
        </w:rPr>
        <w:commentReference w:id="9"/>
      </w:r>
      <w:r>
        <w:rPr>
          <w:rFonts w:ascii="Georgia" w:eastAsia="Georgia" w:hAnsi="Georgia" w:cs="Georgia"/>
        </w:rPr>
        <w:t xml:space="preserve">(Zubok and Pleshakov 1996, 214). But despite a more blatant interests-based strategy from the USSR, we cannot identify that “peaceful coexistence” </w:t>
      </w:r>
      <w:r>
        <w:rPr>
          <w:rFonts w:ascii="Georgia" w:eastAsia="Georgia" w:hAnsi="Georgia" w:cs="Georgia"/>
          <w:i/>
          <w:iCs/>
        </w:rPr>
        <w:t>itself</w:t>
      </w:r>
      <w:r>
        <w:rPr>
          <w:rFonts w:ascii="Georgia" w:eastAsia="Georgia" w:hAnsi="Georgia" w:cs="Georgia"/>
        </w:rPr>
        <w:t xml:space="preserve"> improved the Soviet bargaining position, changing its fundamental security relationship with the US, and thereby the Cold War. In addition, “peaceful coexistence” appears as almost a historical necessity; Stalin was the irreplaceable force of nature binding together the USSR at its most menacing: a complete domestic stranglehold via terror and control over even the outer spheres of influence (Zubok and Pleshakov 1996, 214). So, the “peaceful coexistence” policy was not really so novel, changing the nature of the Cold War. It was </w:t>
      </w:r>
      <w:r>
        <w:rPr>
          <w:rFonts w:ascii="Georgia" w:eastAsia="Georgia" w:hAnsi="Georgia" w:cs="Georgia"/>
          <w:i/>
          <w:iCs/>
        </w:rPr>
        <w:t>expected</w:t>
      </w:r>
      <w:r>
        <w:rPr>
          <w:rFonts w:ascii="Georgia" w:eastAsia="Georgia" w:hAnsi="Georgia" w:cs="Georgia"/>
        </w:rPr>
        <w:t xml:space="preserve">, as American officials already predicted this around Stalin’s death. Khrushchev was merely “a party bureaucrat and one of the new elites who had not participated in the Revolution" (Zubok and Pleshakov 1996, p.215). Despite these domestic changes–reducing the fear and terror </w:t>
      </w:r>
      <w:r>
        <w:rPr>
          <w:rFonts w:ascii="Georgia" w:eastAsia="Georgia" w:hAnsi="Georgia" w:cs="Georgia"/>
          <w:i/>
          <w:iCs/>
        </w:rPr>
        <w:t>within</w:t>
      </w:r>
      <w:r>
        <w:rPr>
          <w:rFonts w:ascii="Georgia" w:eastAsia="Georgia" w:hAnsi="Georgia" w:cs="Georgia"/>
        </w:rPr>
        <w:t xml:space="preserve"> the USSR–the nature of the Cold War remained a nuclear stalemate. </w:t>
      </w:r>
    </w:p>
    <w:p w14:paraId="00000016" w14:textId="77777777" w:rsidR="005A7E52" w:rsidRDefault="00000000">
      <w:pPr>
        <w:ind w:firstLine="720"/>
        <w:rPr>
          <w:rFonts w:ascii="Georgia" w:eastAsia="Georgia" w:hAnsi="Georgia" w:cs="Georgia"/>
        </w:rPr>
      </w:pPr>
      <w:r>
        <w:rPr>
          <w:rFonts w:ascii="Georgia" w:eastAsia="Georgia" w:hAnsi="Georgia" w:cs="Georgia"/>
        </w:rPr>
        <w:t>“Peaceful coexistence” in Europe, too, was more of a response to Soviet interests than a shift in the nature of the Cold War. For example, Khrushchev decided to pull out of Austria because his “thinking derived from his belief that the Soviet Union could afford to reduce its reliance on military power and benefit from a demilitarization of the Cold War” (Mastny 2010, 317). In other words, Eisenhower cutting back the American convention military presence meant the Soviets could match this too. After all, any European land war would not be decided by the number of soldiers. To reiterate, this doctrine was not novel–it was just putting words to a behavior that could and would be predicted because of nuclear weapons.</w:t>
      </w:r>
    </w:p>
    <w:p w14:paraId="00000017" w14:textId="77777777" w:rsidR="005A7E52" w:rsidRDefault="00000000">
      <w:pPr>
        <w:ind w:firstLine="720"/>
        <w:rPr>
          <w:rFonts w:ascii="Georgia" w:eastAsia="Georgia" w:hAnsi="Georgia" w:cs="Georgia"/>
        </w:rPr>
      </w:pPr>
      <w:r>
        <w:rPr>
          <w:rFonts w:ascii="Georgia" w:eastAsia="Georgia" w:hAnsi="Georgia" w:cs="Georgia"/>
        </w:rPr>
        <w:t xml:space="preserve">Ironically, “peaceful coexistence” lost the Soviets ground in terms of relationships with the second power in the Eastern Bloc, and thus unilateral control over their periphery. For example, Poland was able to forge ties with China, so a Soviet “military intervention” or “showing patience” depended on what the Chinese wanted (Haslam 2011, 167). And Khrushchev sent missiles to Cuba in part because he believed the Cubans were aligning more with the Chinese brand of Communism (Hershberg 2010, 70). In addition, during “peaceful coexistence” Albania switched over to the Chinese camp in a “brazen defiance of Soviet authority” (Mastny 2010, 331). But these changes were all marginal, with such cracks in the Soviet facade not </w:t>
      </w:r>
      <w:r>
        <w:rPr>
          <w:rFonts w:ascii="Georgia" w:eastAsia="Georgia" w:hAnsi="Georgia" w:cs="Georgia"/>
        </w:rPr>
        <w:lastRenderedPageBreak/>
        <w:t>changing the Cold War’s stalemate, and certainly they were not exploited by the US. China’s increased legitimacy in the Communist space did not change the nature of the Cold War between 1953-68, at least not yet.</w:t>
      </w:r>
    </w:p>
    <w:p w14:paraId="277B071F" w14:textId="77777777" w:rsidR="00846F2C" w:rsidRDefault="00000000">
      <w:pPr>
        <w:ind w:firstLine="720"/>
        <w:rPr>
          <w:rFonts w:ascii="Georgia" w:eastAsia="Georgia" w:hAnsi="Georgia" w:cs="Georgia"/>
        </w:rPr>
      </w:pPr>
      <w:commentRangeStart w:id="10"/>
      <w:r>
        <w:rPr>
          <w:rFonts w:ascii="Georgia" w:eastAsia="Georgia" w:hAnsi="Georgia" w:cs="Georgia"/>
        </w:rPr>
        <w:t>To conclude, it was really the norms from the superpowers that were acknowledged and prolonged by their military and nuclear behavior (and lack thereof). “Containment” and “peaceful coexistence” filled in the gaps, where the nuclear threat was unnecessary (i.e., Soviets and Austria) or incapable (i.e., Americans and Vietnam). Even if these ideologies changed the nature of the Cold War (which I argue against), I then argued that these changes were minimal in changing the relationship between the superpowers–forcing them into different behavior. This was because the aid to the Third World did not tip either country’s security in any way, nor was the economic cost substantial.</w:t>
      </w:r>
      <w:commentRangeEnd w:id="10"/>
      <w:r w:rsidR="00846F2C">
        <w:rPr>
          <w:rStyle w:val="CommentReference"/>
          <w:rFonts w:ascii="Georgia" w:eastAsia="Georgia" w:hAnsi="Georgia" w:cs="Georgia"/>
          <w:sz w:val="22"/>
          <w:szCs w:val="22"/>
        </w:rPr>
        <w:commentReference w:id="10"/>
      </w:r>
    </w:p>
    <w:p w14:paraId="161A9858" w14:textId="77777777" w:rsidR="00846F2C" w:rsidRDefault="00846F2C">
      <w:pPr>
        <w:ind w:firstLine="720"/>
        <w:rPr>
          <w:rFonts w:ascii="Georgia" w:eastAsia="Georgia" w:hAnsi="Georgia" w:cs="Georgia"/>
        </w:rPr>
      </w:pPr>
    </w:p>
    <w:p w14:paraId="324A9F53" w14:textId="77777777" w:rsidR="00846F2C" w:rsidRDefault="00846F2C">
      <w:pPr>
        <w:ind w:firstLine="720"/>
        <w:rPr>
          <w:rFonts w:ascii="Georgia" w:eastAsia="Georgia" w:hAnsi="Georgia" w:cs="Georgia"/>
        </w:rPr>
      </w:pPr>
    </w:p>
    <w:p w14:paraId="00000018" w14:textId="155328A3" w:rsidR="005A7E52" w:rsidRDefault="00000000">
      <w:pPr>
        <w:ind w:firstLine="720"/>
        <w:rPr>
          <w:rFonts w:ascii="Georgia" w:eastAsia="Georgia" w:hAnsi="Georgia" w:cs="Georgia"/>
        </w:rPr>
      </w:pPr>
      <w:r>
        <w:br w:type="page"/>
      </w:r>
    </w:p>
    <w:p w14:paraId="00000019" w14:textId="77777777" w:rsidR="005A7E52" w:rsidRDefault="00000000">
      <w:pPr>
        <w:rPr>
          <w:rFonts w:ascii="Georgia" w:eastAsia="Georgia" w:hAnsi="Georgia" w:cs="Georgia"/>
          <w:b/>
          <w:bCs/>
        </w:rPr>
      </w:pPr>
      <w:r>
        <w:rPr>
          <w:rFonts w:ascii="Georgia" w:eastAsia="Georgia" w:hAnsi="Georgia" w:cs="Georgia"/>
          <w:b/>
          <w:bCs/>
        </w:rPr>
        <w:lastRenderedPageBreak/>
        <w:t>References</w:t>
      </w:r>
    </w:p>
    <w:p w14:paraId="0000001A" w14:textId="77777777" w:rsidR="005A7E52" w:rsidRDefault="005A7E52">
      <w:pPr>
        <w:rPr>
          <w:rFonts w:ascii="Georgia" w:eastAsia="Georgia" w:hAnsi="Georgia" w:cs="Georgia"/>
        </w:rPr>
      </w:pPr>
    </w:p>
    <w:p w14:paraId="0000001B" w14:textId="77777777" w:rsidR="005A7E52" w:rsidRDefault="00000000">
      <w:pPr>
        <w:ind w:left="720" w:hanging="720"/>
        <w:rPr>
          <w:rFonts w:ascii="Georgia" w:eastAsia="Georgia" w:hAnsi="Georgia" w:cs="Georgia"/>
          <w:i/>
          <w:iCs/>
        </w:rPr>
      </w:pPr>
      <w:r>
        <w:rPr>
          <w:rFonts w:ascii="Georgia" w:eastAsia="Georgia" w:hAnsi="Georgia" w:cs="Georgia"/>
        </w:rPr>
        <w:t xml:space="preserve">Costigliola, Frank, ‘US Foreign Policy from Kennedy to Johnson’, in Leffler, M, and Westad, O A, </w:t>
      </w:r>
      <w:r>
        <w:rPr>
          <w:rFonts w:ascii="Georgia" w:eastAsia="Georgia" w:hAnsi="Georgia" w:cs="Georgia"/>
          <w:i/>
          <w:iCs/>
        </w:rPr>
        <w:t>The Cambridge History of the Cold War, vol.2</w:t>
      </w:r>
    </w:p>
    <w:p w14:paraId="0000001C" w14:textId="77777777" w:rsidR="005A7E52" w:rsidRDefault="00000000">
      <w:pPr>
        <w:ind w:left="720" w:hanging="720"/>
        <w:rPr>
          <w:rFonts w:ascii="Georgia" w:eastAsia="Georgia" w:hAnsi="Georgia" w:cs="Georgia"/>
        </w:rPr>
      </w:pPr>
      <w:r>
        <w:rPr>
          <w:rFonts w:ascii="Georgia" w:eastAsia="Georgia" w:hAnsi="Georgia" w:cs="Georgia"/>
        </w:rPr>
        <w:t xml:space="preserve">Engerman, David C., “South Asia and the Cold War”, in R. McMahon, </w:t>
      </w:r>
      <w:r>
        <w:rPr>
          <w:rFonts w:ascii="Georgia" w:eastAsia="Georgia" w:hAnsi="Georgia" w:cs="Georgia"/>
          <w:i/>
          <w:iCs/>
        </w:rPr>
        <w:t>The Cold War in the Third World</w:t>
      </w:r>
      <w:r>
        <w:rPr>
          <w:rFonts w:ascii="Georgia" w:eastAsia="Georgia" w:hAnsi="Georgia" w:cs="Georgia"/>
        </w:rPr>
        <w:t>, 2013</w:t>
      </w:r>
    </w:p>
    <w:p w14:paraId="0000001D" w14:textId="77777777" w:rsidR="005A7E52" w:rsidRDefault="00000000">
      <w:pPr>
        <w:ind w:left="720" w:hanging="720"/>
        <w:rPr>
          <w:rFonts w:ascii="Georgia" w:eastAsia="Georgia" w:hAnsi="Georgia" w:cs="Georgia"/>
        </w:rPr>
      </w:pPr>
      <w:r>
        <w:rPr>
          <w:rFonts w:ascii="Georgia" w:eastAsia="Georgia" w:hAnsi="Georgia" w:cs="Georgia"/>
        </w:rPr>
        <w:t xml:space="preserve">Gaddis, John L., </w:t>
      </w:r>
      <w:r>
        <w:rPr>
          <w:rFonts w:ascii="Georgia" w:eastAsia="Georgia" w:hAnsi="Georgia" w:cs="Georgia"/>
          <w:i/>
          <w:iCs/>
        </w:rPr>
        <w:t>Strategies of Containment: a Critical Appraisal of post-War American National Security Policy</w:t>
      </w:r>
      <w:r>
        <w:rPr>
          <w:rFonts w:ascii="Georgia" w:eastAsia="Georgia" w:hAnsi="Georgia" w:cs="Georgia"/>
        </w:rPr>
        <w:t>, 1982</w:t>
      </w:r>
    </w:p>
    <w:p w14:paraId="0000001E" w14:textId="77777777" w:rsidR="005A7E52" w:rsidRDefault="00000000">
      <w:pPr>
        <w:ind w:left="720" w:hanging="720"/>
        <w:rPr>
          <w:rFonts w:ascii="Georgia" w:eastAsia="Georgia" w:hAnsi="Georgia" w:cs="Georgia"/>
        </w:rPr>
      </w:pPr>
      <w:r>
        <w:rPr>
          <w:rFonts w:ascii="Georgia" w:eastAsia="Georgia" w:hAnsi="Georgia" w:cs="Georgia"/>
        </w:rPr>
        <w:t>Gaddis, John Lewis, ‘The Long Peace: Elements of Stability in the Postwar International System’, International Security, 10(4), 1986, 99-142</w:t>
      </w:r>
    </w:p>
    <w:p w14:paraId="0000001F" w14:textId="77777777" w:rsidR="005A7E52" w:rsidRDefault="00000000">
      <w:pPr>
        <w:ind w:left="720" w:hanging="720"/>
        <w:rPr>
          <w:rFonts w:ascii="Georgia" w:eastAsia="Georgia" w:hAnsi="Georgia" w:cs="Georgia"/>
        </w:rPr>
      </w:pPr>
      <w:r>
        <w:rPr>
          <w:rFonts w:ascii="Georgia" w:eastAsia="Georgia" w:hAnsi="Georgia" w:cs="Georgia"/>
        </w:rPr>
        <w:t>Goldman, Marshall I., ‘A Balance Sheet of Soviet Foreign Aid’, Foreign Affairs, 43(2), 1965, 349-360</w:t>
      </w:r>
    </w:p>
    <w:p w14:paraId="00000020" w14:textId="77777777" w:rsidR="005A7E52" w:rsidRDefault="00000000">
      <w:pPr>
        <w:ind w:left="720" w:hanging="720"/>
        <w:rPr>
          <w:rFonts w:ascii="Georgia" w:eastAsia="Georgia" w:hAnsi="Georgia" w:cs="Georgia"/>
        </w:rPr>
      </w:pPr>
      <w:r>
        <w:rPr>
          <w:rFonts w:ascii="Georgia" w:eastAsia="Georgia" w:hAnsi="Georgia" w:cs="Georgia"/>
        </w:rPr>
        <w:t xml:space="preserve">Haslam, Jonathan, </w:t>
      </w:r>
      <w:r>
        <w:rPr>
          <w:rFonts w:ascii="Georgia" w:eastAsia="Georgia" w:hAnsi="Georgia" w:cs="Georgia"/>
          <w:i/>
          <w:iCs/>
        </w:rPr>
        <w:t>Russia's Cold War: From the October Revolution to the Fall of the Wall,</w:t>
      </w:r>
      <w:r>
        <w:rPr>
          <w:rFonts w:ascii="Georgia" w:eastAsia="Georgia" w:hAnsi="Georgia" w:cs="Georgia"/>
        </w:rPr>
        <w:t xml:space="preserve"> 2011</w:t>
      </w:r>
    </w:p>
    <w:p w14:paraId="00000021" w14:textId="77777777" w:rsidR="005A7E52" w:rsidRDefault="00000000">
      <w:pPr>
        <w:ind w:left="720" w:hanging="720"/>
        <w:rPr>
          <w:rFonts w:ascii="Georgia" w:eastAsia="Georgia" w:hAnsi="Georgia" w:cs="Georgia"/>
          <w:i/>
          <w:iCs/>
        </w:rPr>
      </w:pPr>
      <w:r>
        <w:rPr>
          <w:rFonts w:ascii="Georgia" w:eastAsia="Georgia" w:hAnsi="Georgia" w:cs="Georgia"/>
        </w:rPr>
        <w:t xml:space="preserve">Hershberg, James G., ‘The Cuban Missile Crisis’, in Leffler, M, and Westad, O A, </w:t>
      </w:r>
      <w:r>
        <w:rPr>
          <w:rFonts w:ascii="Georgia" w:eastAsia="Georgia" w:hAnsi="Georgia" w:cs="Georgia"/>
          <w:i/>
          <w:iCs/>
        </w:rPr>
        <w:t>The</w:t>
      </w:r>
    </w:p>
    <w:p w14:paraId="00000022" w14:textId="77777777" w:rsidR="005A7E52" w:rsidRDefault="00000000">
      <w:pPr>
        <w:ind w:left="720" w:hanging="720"/>
        <w:rPr>
          <w:rFonts w:ascii="Georgia" w:eastAsia="Georgia" w:hAnsi="Georgia" w:cs="Georgia"/>
          <w:i/>
          <w:iCs/>
        </w:rPr>
      </w:pPr>
      <w:r>
        <w:rPr>
          <w:rFonts w:ascii="Georgia" w:eastAsia="Georgia" w:hAnsi="Georgia" w:cs="Georgia"/>
          <w:i/>
          <w:iCs/>
        </w:rPr>
        <w:t>Cambridge History of the Cold War, vol.2</w:t>
      </w:r>
    </w:p>
    <w:p w14:paraId="00000023" w14:textId="77777777" w:rsidR="005A7E52" w:rsidRDefault="00000000">
      <w:pPr>
        <w:ind w:left="720" w:hanging="720"/>
        <w:rPr>
          <w:rFonts w:ascii="Georgia" w:eastAsia="Georgia" w:hAnsi="Georgia" w:cs="Georgia"/>
          <w:i/>
          <w:iCs/>
        </w:rPr>
      </w:pPr>
      <w:r>
        <w:rPr>
          <w:rFonts w:ascii="Georgia" w:eastAsia="Georgia" w:hAnsi="Georgia" w:cs="Georgia"/>
        </w:rPr>
        <w:t xml:space="preserve">Holloway, David, ‘Nuclear Weapons and the escalation of the Cold War, 1945-1962’, in Leffler, M, and Westad, O A, </w:t>
      </w:r>
      <w:r>
        <w:rPr>
          <w:rFonts w:ascii="Georgia" w:eastAsia="Georgia" w:hAnsi="Georgia" w:cs="Georgia"/>
          <w:i/>
          <w:iCs/>
        </w:rPr>
        <w:t>The Cambridge History of the Cold War, vol.1</w:t>
      </w:r>
    </w:p>
    <w:p w14:paraId="00000024" w14:textId="77777777" w:rsidR="005A7E52" w:rsidRDefault="00000000">
      <w:pPr>
        <w:ind w:left="720" w:hanging="720"/>
        <w:rPr>
          <w:rFonts w:ascii="Georgia" w:eastAsia="Georgia" w:hAnsi="Georgia" w:cs="Georgia"/>
        </w:rPr>
      </w:pPr>
      <w:r>
        <w:rPr>
          <w:rFonts w:ascii="Georgia" w:eastAsia="Georgia" w:hAnsi="Georgia" w:cs="Georgia"/>
        </w:rPr>
        <w:t>Ingram, George M., ‘What is US foreign assistance?’, Brookings Institution, 2024, https://www.brookings.edu/articles/what-is-us-foreign-assistance/</w:t>
      </w:r>
    </w:p>
    <w:p w14:paraId="00000025" w14:textId="77777777" w:rsidR="005A7E52" w:rsidRDefault="00000000">
      <w:pPr>
        <w:ind w:left="720" w:hanging="720"/>
        <w:rPr>
          <w:rFonts w:ascii="Georgia" w:eastAsia="Georgia" w:hAnsi="Georgia" w:cs="Georgia"/>
        </w:rPr>
      </w:pPr>
      <w:r>
        <w:rPr>
          <w:rFonts w:ascii="Georgia" w:eastAsia="Georgia" w:hAnsi="Georgia" w:cs="Georgia"/>
        </w:rPr>
        <w:t xml:space="preserve">Lawrence, Mark Atwood, “South Asia and the Cold War”, in R. McMahon, </w:t>
      </w:r>
      <w:r>
        <w:rPr>
          <w:rFonts w:ascii="Georgia" w:eastAsia="Georgia" w:hAnsi="Georgia" w:cs="Georgia"/>
          <w:i/>
          <w:iCs/>
        </w:rPr>
        <w:t>The Cold War in the Third World</w:t>
      </w:r>
      <w:r>
        <w:rPr>
          <w:rFonts w:ascii="Georgia" w:eastAsia="Georgia" w:hAnsi="Georgia" w:cs="Georgia"/>
        </w:rPr>
        <w:t>, 2013</w:t>
      </w:r>
    </w:p>
    <w:p w14:paraId="00000026" w14:textId="77777777" w:rsidR="005A7E52" w:rsidRDefault="00000000">
      <w:pPr>
        <w:ind w:left="720" w:hanging="720"/>
        <w:rPr>
          <w:rFonts w:ascii="Georgia" w:eastAsia="Georgia" w:hAnsi="Georgia" w:cs="Georgia"/>
          <w:i/>
          <w:iCs/>
        </w:rPr>
      </w:pPr>
      <w:r>
        <w:rPr>
          <w:rFonts w:ascii="Georgia" w:eastAsia="Georgia" w:hAnsi="Georgia" w:cs="Georgia"/>
        </w:rPr>
        <w:t xml:space="preserve">Mastny, V., ‘Soviet Foreign Policy, 1953-1962’, in Leffler, M, and Westad, O A, </w:t>
      </w:r>
      <w:r>
        <w:rPr>
          <w:rFonts w:ascii="Georgia" w:eastAsia="Georgia" w:hAnsi="Georgia" w:cs="Georgia"/>
          <w:i/>
          <w:iCs/>
        </w:rPr>
        <w:t>The Cambridge History of the Cold War, vol.1</w:t>
      </w:r>
    </w:p>
    <w:p w14:paraId="00000027" w14:textId="77777777" w:rsidR="005A7E52" w:rsidRDefault="00000000">
      <w:pPr>
        <w:ind w:left="720" w:hanging="720"/>
        <w:rPr>
          <w:rFonts w:ascii="Georgia" w:eastAsia="Georgia" w:hAnsi="Georgia" w:cs="Georgia"/>
          <w:i/>
          <w:iCs/>
        </w:rPr>
      </w:pPr>
      <w:r>
        <w:rPr>
          <w:rFonts w:ascii="Georgia" w:eastAsia="Georgia" w:hAnsi="Georgia" w:cs="Georgia"/>
        </w:rPr>
        <w:t xml:space="preserve">McMahon, Robert J., ‘US National Security Policy from Eisenhower to Kennedy’, in Leffler, M, and Westad, O A, </w:t>
      </w:r>
      <w:r>
        <w:rPr>
          <w:rFonts w:ascii="Georgia" w:eastAsia="Georgia" w:hAnsi="Georgia" w:cs="Georgia"/>
          <w:i/>
          <w:iCs/>
        </w:rPr>
        <w:t>The Cambridge History of the Cold War, vol.1</w:t>
      </w:r>
    </w:p>
    <w:p w14:paraId="00000028" w14:textId="77777777" w:rsidR="005A7E52" w:rsidRDefault="00000000">
      <w:pPr>
        <w:ind w:left="720" w:hanging="720"/>
        <w:rPr>
          <w:rFonts w:ascii="Georgia" w:eastAsia="Georgia" w:hAnsi="Georgia" w:cs="Georgia"/>
        </w:rPr>
      </w:pPr>
      <w:r>
        <w:rPr>
          <w:rFonts w:ascii="Georgia" w:eastAsia="Georgia" w:hAnsi="Georgia" w:cs="Georgia"/>
        </w:rPr>
        <w:t xml:space="preserve">Zubok, Vladislav, and Pleshakov, C, </w:t>
      </w:r>
      <w:r>
        <w:rPr>
          <w:rFonts w:ascii="Georgia" w:eastAsia="Georgia" w:hAnsi="Georgia" w:cs="Georgia"/>
          <w:i/>
          <w:iCs/>
        </w:rPr>
        <w:t>Inside the Kremlin’s Cold War: From Stalin to Khrushchev</w:t>
      </w:r>
      <w:r>
        <w:rPr>
          <w:rFonts w:ascii="Georgia" w:eastAsia="Georgia" w:hAnsi="Georgia" w:cs="Georgia"/>
        </w:rPr>
        <w:t>, 1996</w:t>
      </w:r>
    </w:p>
    <w:sectPr w:rsidR="005A7E52">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muel Holcroft" w:date="2026-01-29T16:37:00Z" w:initials="SH">
    <w:p w14:paraId="23D35669" w14:textId="77777777" w:rsidR="00305B72" w:rsidRDefault="00305B72" w:rsidP="00305B72">
      <w:r>
        <w:rPr>
          <w:rStyle w:val="CommentReference"/>
        </w:rPr>
        <w:annotationRef/>
      </w:r>
      <w:r>
        <w:rPr>
          <w:sz w:val="20"/>
          <w:szCs w:val="20"/>
        </w:rPr>
        <w:t>This is an interesting thesis!</w:t>
      </w:r>
    </w:p>
    <w:p w14:paraId="7DA6B5A2" w14:textId="77777777" w:rsidR="00305B72" w:rsidRDefault="00305B72" w:rsidP="00305B72"/>
    <w:p w14:paraId="1DDEA7D2" w14:textId="77777777" w:rsidR="00305B72" w:rsidRDefault="00305B72" w:rsidP="00305B72">
      <w:r>
        <w:rPr>
          <w:sz w:val="20"/>
          <w:szCs w:val="20"/>
        </w:rPr>
        <w:t xml:space="preserve">For future essays though, I'd recommend </w:t>
      </w:r>
      <w:r>
        <w:rPr>
          <w:i/>
          <w:iCs/>
          <w:sz w:val="20"/>
          <w:szCs w:val="20"/>
        </w:rPr>
        <w:t xml:space="preserve">starting </w:t>
      </w:r>
      <w:r>
        <w:rPr>
          <w:sz w:val="20"/>
          <w:szCs w:val="20"/>
        </w:rPr>
        <w:t xml:space="preserve">with a definition of the key concepts, and perhaps by outlining the argument that you are arguing against. In this case, that would be a brief summary of the ways in which 'containment' and 'peaceful coexistence' </w:t>
      </w:r>
      <w:r>
        <w:rPr>
          <w:i/>
          <w:iCs/>
          <w:sz w:val="20"/>
          <w:szCs w:val="20"/>
        </w:rPr>
        <w:t xml:space="preserve">are </w:t>
      </w:r>
      <w:r>
        <w:rPr>
          <w:sz w:val="20"/>
          <w:szCs w:val="20"/>
        </w:rPr>
        <w:t xml:space="preserve">commonly seen as having changed the nature of the Cold War, before outlining the reasons why </w:t>
      </w:r>
      <w:r>
        <w:rPr>
          <w:i/>
          <w:iCs/>
          <w:sz w:val="20"/>
          <w:szCs w:val="20"/>
        </w:rPr>
        <w:t xml:space="preserve">you </w:t>
      </w:r>
      <w:r>
        <w:rPr>
          <w:sz w:val="20"/>
          <w:szCs w:val="20"/>
        </w:rPr>
        <w:t>are unconvinced/your alternative hypothesis.</w:t>
      </w:r>
    </w:p>
  </w:comment>
  <w:comment w:id="1" w:author="Samuel Holcroft" w:date="2026-01-29T13:16:00Z" w:initials="SH">
    <w:p w14:paraId="4DED1FD4" w14:textId="77777777" w:rsidR="003B5047" w:rsidRDefault="003B5047" w:rsidP="003B5047">
      <w:r>
        <w:rPr>
          <w:rStyle w:val="CommentReference"/>
        </w:rPr>
        <w:annotationRef/>
      </w:r>
      <w:r>
        <w:rPr>
          <w:sz w:val="20"/>
          <w:szCs w:val="20"/>
        </w:rPr>
        <w:t>To what extent was this a break from the Stalinist strategy before it?</w:t>
      </w:r>
    </w:p>
  </w:comment>
  <w:comment w:id="2" w:author="Samuel Holcroft" w:date="2026-01-29T16:57:00Z" w:initials="SH">
    <w:p w14:paraId="2ECB179B" w14:textId="77777777" w:rsidR="008F5009" w:rsidRDefault="00D914F6" w:rsidP="008F5009">
      <w:r>
        <w:rPr>
          <w:rStyle w:val="CommentReference"/>
        </w:rPr>
        <w:annotationRef/>
      </w:r>
      <w:r w:rsidR="008F5009">
        <w:rPr>
          <w:sz w:val="20"/>
          <w:szCs w:val="20"/>
        </w:rPr>
        <w:t>This conception of containment (we might call it 'strongpoint' containment) is how Kennan understood his own doctrine later in life, and Gaddis believes him. But this rather muddies the original significance of containment, which licensed American intervention everywhere; the popularity of the domino theory (which Kennan also believed in) gave containment a global cast. Kennan was a wildly inconsistent thinker, if a brilliant writer...</w:t>
      </w:r>
    </w:p>
    <w:p w14:paraId="4055567F" w14:textId="77777777" w:rsidR="008F5009" w:rsidRDefault="008F5009" w:rsidP="008F5009"/>
    <w:p w14:paraId="12C8696D" w14:textId="77777777" w:rsidR="008F5009" w:rsidRDefault="008F5009" w:rsidP="008F5009">
      <w:r>
        <w:rPr>
          <w:sz w:val="20"/>
          <w:szCs w:val="20"/>
        </w:rPr>
        <w:t>It’s worth reading Walter Lippmann’s contemporary response to Kennan if you haven’t already; see also Anders Stephanson's book on K</w:t>
      </w:r>
    </w:p>
  </w:comment>
  <w:comment w:id="3" w:author="Samuel Holcroft" w:date="2026-01-29T17:00:00Z" w:initials="SH">
    <w:p w14:paraId="7DED04A1" w14:textId="77777777" w:rsidR="008F5009" w:rsidRDefault="008F5009" w:rsidP="008F5009">
      <w:r>
        <w:rPr>
          <w:rStyle w:val="CommentReference"/>
        </w:rPr>
        <w:annotationRef/>
      </w:r>
      <w:r>
        <w:rPr>
          <w:sz w:val="20"/>
          <w:szCs w:val="20"/>
        </w:rPr>
        <w:t>Are you alluding to the Alliance for Progress?</w:t>
      </w:r>
    </w:p>
  </w:comment>
  <w:comment w:id="4" w:author="Samuel Holcroft" w:date="2026-01-29T17:20:00Z" w:initials="SH">
    <w:p w14:paraId="1B774425" w14:textId="77777777" w:rsidR="000961AE" w:rsidRDefault="000961AE" w:rsidP="000961AE">
      <w:r>
        <w:rPr>
          <w:rStyle w:val="CommentReference"/>
        </w:rPr>
        <w:annotationRef/>
      </w:r>
      <w:r>
        <w:rPr>
          <w:sz w:val="20"/>
          <w:szCs w:val="20"/>
        </w:rPr>
        <w:t>I'm not really sure what the game theory is adding here – aren't the underlying norms (i.e. the gradual consolidation of a nuclear taboo) the more important thing?</w:t>
      </w:r>
    </w:p>
  </w:comment>
  <w:comment w:id="5" w:author="Samuel Holcroft" w:date="2026-01-29T17:04:00Z" w:initials="SH">
    <w:p w14:paraId="08B157FD" w14:textId="77777777" w:rsidR="00F11B93" w:rsidRDefault="00F11B93" w:rsidP="00F11B93">
      <w:r>
        <w:rPr>
          <w:rStyle w:val="CommentReference"/>
        </w:rPr>
        <w:annotationRef/>
      </w:r>
      <w:r>
        <w:rPr>
          <w:sz w:val="20"/>
          <w:szCs w:val="20"/>
        </w:rPr>
        <w:t xml:space="preserve">What about his nuclear brinkmanship over the Second Taiwan Straits Crisis? </w:t>
      </w:r>
    </w:p>
  </w:comment>
  <w:comment w:id="6" w:author="Samuel Holcroft" w:date="2026-01-30T14:09:00Z" w:initials="SH">
    <w:p w14:paraId="4B04DD6D" w14:textId="366EF78F" w:rsidR="00846F2C" w:rsidRDefault="00846F2C" w:rsidP="00846F2C">
      <w:r>
        <w:rPr>
          <w:rStyle w:val="CommentReference"/>
        </w:rPr>
        <w:annotationRef/>
      </w:r>
      <w:r>
        <w:rPr>
          <w:sz w:val="20"/>
          <w:szCs w:val="20"/>
        </w:rPr>
        <w:t xml:space="preserve">Wasn't this supposed to be the point of containment – that it was </w:t>
      </w:r>
      <w:r>
        <w:rPr>
          <w:i/>
          <w:iCs/>
          <w:sz w:val="20"/>
          <w:szCs w:val="20"/>
        </w:rPr>
        <w:t xml:space="preserve">not </w:t>
      </w:r>
      <w:r>
        <w:rPr>
          <w:sz w:val="20"/>
          <w:szCs w:val="20"/>
        </w:rPr>
        <w:t>an attempt to roll back communism in Eastern Europe, but an attempt to shore up liberal capitalism in Western Europe (and then elsewhere)?</w:t>
      </w:r>
    </w:p>
  </w:comment>
  <w:comment w:id="7" w:author="Samuel Holcroft" w:date="2026-01-29T17:22:00Z" w:initials="SH">
    <w:p w14:paraId="7872676F" w14:textId="77777777" w:rsidR="00A41B02" w:rsidRDefault="000961AE" w:rsidP="00A41B02">
      <w:r>
        <w:rPr>
          <w:rStyle w:val="CommentReference"/>
        </w:rPr>
        <w:annotationRef/>
      </w:r>
      <w:r w:rsidR="00A41B02">
        <w:rPr>
          <w:sz w:val="20"/>
          <w:szCs w:val="20"/>
        </w:rPr>
        <w:t xml:space="preserve">This is an important and well-put statement, but I'm not entirely sure how it's answering the question. The Odd Arne Westad answer – that decolonisation reignited the Cold War in the 50s and 60s – would be one way of linking it back to the question (that is, by saying that decolonisation changed the nature of the Cold War </w:t>
      </w:r>
      <w:r w:rsidR="00A41B02">
        <w:rPr>
          <w:i/>
          <w:iCs/>
          <w:sz w:val="20"/>
          <w:szCs w:val="20"/>
        </w:rPr>
        <w:t xml:space="preserve">more </w:t>
      </w:r>
      <w:r w:rsidR="00A41B02">
        <w:rPr>
          <w:sz w:val="20"/>
          <w:szCs w:val="20"/>
        </w:rPr>
        <w:t>than the doctrines of containment and peaceful coexistence</w:t>
      </w:r>
      <w:r w:rsidR="00A41B02">
        <w:rPr>
          <w:i/>
          <w:iCs/>
          <w:sz w:val="20"/>
          <w:szCs w:val="20"/>
        </w:rPr>
        <w:t xml:space="preserve">. </w:t>
      </w:r>
      <w:r w:rsidR="00A41B02">
        <w:rPr>
          <w:sz w:val="20"/>
          <w:szCs w:val="20"/>
        </w:rPr>
        <w:t>But you're actually arguing that the Third World wasn't that important.</w:t>
      </w:r>
    </w:p>
  </w:comment>
  <w:comment w:id="8" w:author="Samuel Holcroft" w:date="2026-01-29T17:37:00Z" w:initials="SH">
    <w:p w14:paraId="67DBDACA" w14:textId="77777777" w:rsidR="00A41B02" w:rsidRDefault="00A41B02" w:rsidP="00A41B02">
      <w:r>
        <w:rPr>
          <w:rStyle w:val="CommentReference"/>
        </w:rPr>
        <w:annotationRef/>
      </w:r>
      <w:r>
        <w:rPr>
          <w:sz w:val="20"/>
          <w:szCs w:val="20"/>
        </w:rPr>
        <w:t>But the world went to the nuclear brink over peripheral headaches like Cuba, no?</w:t>
      </w:r>
    </w:p>
  </w:comment>
  <w:comment w:id="9" w:author="Samuel Holcroft" w:date="2026-01-29T17:38:00Z" w:initials="SH">
    <w:p w14:paraId="0A8A820A" w14:textId="77777777" w:rsidR="00A41B02" w:rsidRDefault="00A41B02" w:rsidP="00A41B02">
      <w:r>
        <w:rPr>
          <w:rStyle w:val="CommentReference"/>
        </w:rPr>
        <w:annotationRef/>
      </w:r>
      <w:r>
        <w:rPr>
          <w:sz w:val="20"/>
          <w:szCs w:val="20"/>
        </w:rPr>
        <w:t xml:space="preserve">Right – in contrast to early Bolshevik policies and in contrast to Mao's permanent revolution. </w:t>
      </w:r>
    </w:p>
  </w:comment>
  <w:comment w:id="10" w:author="Samuel Holcroft" w:date="2026-01-30T14:08:00Z" w:initials="SH">
    <w:p w14:paraId="6F173C7A" w14:textId="77777777" w:rsidR="00D373A6" w:rsidRDefault="00846F2C" w:rsidP="00D373A6">
      <w:r>
        <w:rPr>
          <w:rStyle w:val="CommentReference"/>
        </w:rPr>
        <w:annotationRef/>
      </w:r>
      <w:r w:rsidR="00D373A6">
        <w:rPr>
          <w:sz w:val="20"/>
          <w:szCs w:val="20"/>
        </w:rPr>
        <w:t>This is an interesting essay which draws on an impressive range of historical material. Structurally, as I mentioned above, I think the essay might have been improved by starting with the case for the structural changes made by containment and peaceful coexistence, before launching into your own arguments.</w:t>
      </w:r>
    </w:p>
    <w:p w14:paraId="6977F859" w14:textId="77777777" w:rsidR="00D373A6" w:rsidRDefault="00D373A6" w:rsidP="00D373A6"/>
    <w:p w14:paraId="3A7F5B0E" w14:textId="77777777" w:rsidR="00D373A6" w:rsidRDefault="00D373A6" w:rsidP="00D373A6">
      <w:r>
        <w:rPr>
          <w:sz w:val="20"/>
          <w:szCs w:val="20"/>
        </w:rPr>
        <w:t xml:space="preserve">Your points about the significance of nuclear weapons and the balance of power are well-taken. I'm not sure if I would say that containment and peaceful coexistence merely "filled in the gaps", however – couldn't we flip this script and say that the American nuclear umbrella over Europe, for instance, itself constituted one of the main </w:t>
      </w:r>
      <w:r>
        <w:rPr>
          <w:i/>
          <w:iCs/>
          <w:sz w:val="20"/>
          <w:szCs w:val="20"/>
        </w:rPr>
        <w:t xml:space="preserve">strategies </w:t>
      </w:r>
      <w:r>
        <w:rPr>
          <w:sz w:val="20"/>
          <w:szCs w:val="20"/>
        </w:rPr>
        <w:t xml:space="preserve">of containment?  </w:t>
      </w:r>
    </w:p>
    <w:p w14:paraId="42D4F111" w14:textId="77777777" w:rsidR="00D373A6" w:rsidRDefault="00D373A6" w:rsidP="00D373A6"/>
    <w:p w14:paraId="2CA50C59" w14:textId="77777777" w:rsidR="00D373A6" w:rsidRDefault="00D373A6" w:rsidP="00D373A6">
      <w:r>
        <w:rPr>
          <w:sz w:val="20"/>
          <w:szCs w:val="20"/>
        </w:rPr>
        <w:t>Another way of answering this question might be to say that the classical Cold War was constituted by the strategies of containment and peaceful coexistence respectively – that they did not change the nature of the Cold War because they had defined it all along.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DEA7D2" w15:done="0"/>
  <w15:commentEx w15:paraId="4DED1FD4" w15:done="0"/>
  <w15:commentEx w15:paraId="12C8696D" w15:done="0"/>
  <w15:commentEx w15:paraId="7DED04A1" w15:done="0"/>
  <w15:commentEx w15:paraId="1B774425" w15:done="0"/>
  <w15:commentEx w15:paraId="08B157FD" w15:done="0"/>
  <w15:commentEx w15:paraId="4B04DD6D" w15:done="0"/>
  <w15:commentEx w15:paraId="7872676F" w15:done="0"/>
  <w15:commentEx w15:paraId="67DBDACA" w15:done="0"/>
  <w15:commentEx w15:paraId="0A8A820A" w15:done="0"/>
  <w15:commentEx w15:paraId="2CA50C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C61990" w16cex:dateUtc="2026-01-29T16:37:00Z"/>
  <w16cex:commentExtensible w16cex:durableId="7E1081B2" w16cex:dateUtc="2026-01-29T13:16:00Z"/>
  <w16cex:commentExtensible w16cex:durableId="72A07AF7" w16cex:dateUtc="2026-01-29T16:57:00Z"/>
  <w16cex:commentExtensible w16cex:durableId="2CC3A91A" w16cex:dateUtc="2026-01-29T17:00:00Z"/>
  <w16cex:commentExtensible w16cex:durableId="7FA1BE45" w16cex:dateUtc="2026-01-29T17:20:00Z"/>
  <w16cex:commentExtensible w16cex:durableId="0B3A2C43" w16cex:dateUtc="2026-01-29T17:04:00Z"/>
  <w16cex:commentExtensible w16cex:durableId="4D604806" w16cex:dateUtc="2026-01-30T14:09:00Z"/>
  <w16cex:commentExtensible w16cex:durableId="1415BB91" w16cex:dateUtc="2026-01-29T17:22:00Z"/>
  <w16cex:commentExtensible w16cex:durableId="28C09AC0" w16cex:dateUtc="2026-01-29T17:37:00Z"/>
  <w16cex:commentExtensible w16cex:durableId="199AE7B3" w16cex:dateUtc="2026-01-29T17:38:00Z"/>
  <w16cex:commentExtensible w16cex:durableId="5E23B9A5" w16cex:dateUtc="2026-01-30T14: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DEA7D2" w16cid:durableId="69C61990"/>
  <w16cid:commentId w16cid:paraId="4DED1FD4" w16cid:durableId="7E1081B2"/>
  <w16cid:commentId w16cid:paraId="12C8696D" w16cid:durableId="72A07AF7"/>
  <w16cid:commentId w16cid:paraId="7DED04A1" w16cid:durableId="2CC3A91A"/>
  <w16cid:commentId w16cid:paraId="1B774425" w16cid:durableId="7FA1BE45"/>
  <w16cid:commentId w16cid:paraId="08B157FD" w16cid:durableId="0B3A2C43"/>
  <w16cid:commentId w16cid:paraId="4B04DD6D" w16cid:durableId="4D604806"/>
  <w16cid:commentId w16cid:paraId="7872676F" w16cid:durableId="1415BB91"/>
  <w16cid:commentId w16cid:paraId="67DBDACA" w16cid:durableId="28C09AC0"/>
  <w16cid:commentId w16cid:paraId="0A8A820A" w16cid:durableId="199AE7B3"/>
  <w16cid:commentId w16cid:paraId="2CA50C59" w16cid:durableId="5E23B9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2EBF5" w14:textId="77777777" w:rsidR="0051190C" w:rsidRDefault="0051190C">
      <w:pPr>
        <w:spacing w:line="240" w:lineRule="auto"/>
      </w:pPr>
      <w:r>
        <w:separator/>
      </w:r>
    </w:p>
  </w:endnote>
  <w:endnote w:type="continuationSeparator" w:id="0">
    <w:p w14:paraId="74E513D0" w14:textId="77777777" w:rsidR="0051190C" w:rsidRDefault="005119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909C555E-D685-294C-AF71-E89C361281FD}"/>
    <w:embedBold r:id="rId2" w:fontKey="{1AE7792D-C92A-A14C-A86C-98FD67B7A124}"/>
    <w:embedItalic r:id="rId3" w:fontKey="{ED644091-5F79-344B-9F29-2C745397BCA8}"/>
  </w:font>
  <w:font w:name="Times New Roman">
    <w:panose1 w:val="02020603050405020304"/>
    <w:charset w:val="00"/>
    <w:family w:val="roman"/>
    <w:pitch w:val="variable"/>
    <w:sig w:usb0="E0002EFF" w:usb1="C000785B" w:usb2="00000009" w:usb3="00000000" w:csb0="000001FF" w:csb1="00000000"/>
    <w:embedRegular r:id="rId4" w:fontKey="{BB677608-6777-B348-B8F6-AA59CE13BB88}"/>
    <w:embedBold r:id="rId5" w:fontKey="{E7C66E36-AE40-2146-9E4A-6DE93BFEBBBD}"/>
  </w:font>
  <w:font w:name="Georgia">
    <w:panose1 w:val="02040502050405020303"/>
    <w:charset w:val="00"/>
    <w:family w:val="roman"/>
    <w:pitch w:val="variable"/>
    <w:sig w:usb0="00000287" w:usb1="00000000" w:usb2="00000000" w:usb3="00000000" w:csb0="0000009F" w:csb1="00000000"/>
    <w:embedRegular r:id="rId6" w:fontKey="{1BAEAD4C-E08C-444D-A513-BAF072AA2AEF}"/>
    <w:embedBold r:id="rId7" w:fontKey="{05CE8C7D-88EF-2648-96E0-D87CF3243E79}"/>
    <w:embedItalic r:id="rId8" w:fontKey="{F9F2D1E9-88E6-8B48-82ED-B5AFC412C410}"/>
  </w:font>
  <w:font w:name="Calibri">
    <w:panose1 w:val="020F0502020204030204"/>
    <w:charset w:val="00"/>
    <w:family w:val="swiss"/>
    <w:pitch w:val="variable"/>
    <w:sig w:usb0="E0002AFF" w:usb1="C000247B" w:usb2="00000009" w:usb3="00000000" w:csb0="000001FF" w:csb1="00000000"/>
    <w:embedRegular r:id="rId9" w:fontKey="{35D99D1D-CB9B-6C49-8556-DFD46CE9C0CA}"/>
  </w:font>
  <w:font w:name="Cambria">
    <w:panose1 w:val="02040503050406030204"/>
    <w:charset w:val="00"/>
    <w:family w:val="roman"/>
    <w:notTrueType/>
    <w:pitch w:val="default"/>
    <w:embedRegular r:id="rId10" w:fontKey="{2039F7F3-12D4-C04E-908A-E9EA66557A1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D6C21" w14:textId="77777777" w:rsidR="0051190C" w:rsidRDefault="0051190C">
      <w:pPr>
        <w:spacing w:line="240" w:lineRule="auto"/>
      </w:pPr>
      <w:r>
        <w:separator/>
      </w:r>
    </w:p>
  </w:footnote>
  <w:footnote w:type="continuationSeparator" w:id="0">
    <w:p w14:paraId="0E6CD90B" w14:textId="77777777" w:rsidR="0051190C" w:rsidRDefault="0051190C">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uel Holcroft">
    <w15:presenceInfo w15:providerId="Windows Live" w15:userId="6d87fc6b14bc9b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E52"/>
    <w:rsid w:val="000961AE"/>
    <w:rsid w:val="00305B72"/>
    <w:rsid w:val="003B5047"/>
    <w:rsid w:val="0051190C"/>
    <w:rsid w:val="005A7E52"/>
    <w:rsid w:val="006F7899"/>
    <w:rsid w:val="00846F2C"/>
    <w:rsid w:val="008F5009"/>
    <w:rsid w:val="00A41B02"/>
    <w:rsid w:val="00AA3DD8"/>
    <w:rsid w:val="00D373A6"/>
    <w:rsid w:val="00D914F6"/>
    <w:rsid w:val="00F11B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A63D323"/>
  <w15:docId w15:val="{609D069D-D8A0-A042-9AD4-8D3F08EB7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3B5047"/>
    <w:rPr>
      <w:sz w:val="16"/>
      <w:szCs w:val="16"/>
    </w:rPr>
  </w:style>
  <w:style w:type="paragraph" w:styleId="CommentText">
    <w:name w:val="annotation text"/>
    <w:basedOn w:val="Normal"/>
    <w:link w:val="CommentTextChar"/>
    <w:uiPriority w:val="99"/>
    <w:semiHidden/>
    <w:unhideWhenUsed/>
    <w:rsid w:val="003B5047"/>
    <w:pPr>
      <w:spacing w:line="240" w:lineRule="auto"/>
    </w:pPr>
    <w:rPr>
      <w:sz w:val="20"/>
      <w:szCs w:val="20"/>
    </w:rPr>
  </w:style>
  <w:style w:type="character" w:customStyle="1" w:styleId="CommentTextChar">
    <w:name w:val="Comment Text Char"/>
    <w:basedOn w:val="DefaultParagraphFont"/>
    <w:link w:val="CommentText"/>
    <w:uiPriority w:val="99"/>
    <w:semiHidden/>
    <w:rsid w:val="003B5047"/>
    <w:rPr>
      <w:sz w:val="20"/>
      <w:szCs w:val="20"/>
    </w:rPr>
  </w:style>
  <w:style w:type="paragraph" w:styleId="CommentSubject">
    <w:name w:val="annotation subject"/>
    <w:basedOn w:val="CommentText"/>
    <w:next w:val="CommentText"/>
    <w:link w:val="CommentSubjectChar"/>
    <w:uiPriority w:val="99"/>
    <w:semiHidden/>
    <w:unhideWhenUsed/>
    <w:rsid w:val="003B5047"/>
    <w:rPr>
      <w:b/>
      <w:bCs/>
    </w:rPr>
  </w:style>
  <w:style w:type="character" w:customStyle="1" w:styleId="CommentSubjectChar">
    <w:name w:val="Comment Subject Char"/>
    <w:basedOn w:val="CommentTextChar"/>
    <w:link w:val="CommentSubject"/>
    <w:uiPriority w:val="99"/>
    <w:semiHidden/>
    <w:rsid w:val="003B5047"/>
    <w:rPr>
      <w:b/>
      <w:bCs/>
      <w:sz w:val="20"/>
      <w:szCs w:val="20"/>
    </w:rPr>
  </w:style>
  <w:style w:type="paragraph" w:styleId="Header">
    <w:name w:val="header"/>
    <w:basedOn w:val="Normal"/>
    <w:link w:val="HeaderChar"/>
    <w:uiPriority w:val="99"/>
    <w:unhideWhenUsed/>
    <w:rsid w:val="00305B72"/>
    <w:pPr>
      <w:tabs>
        <w:tab w:val="center" w:pos="4680"/>
        <w:tab w:val="right" w:pos="9360"/>
      </w:tabs>
      <w:spacing w:line="240" w:lineRule="auto"/>
    </w:pPr>
  </w:style>
  <w:style w:type="character" w:customStyle="1" w:styleId="HeaderChar">
    <w:name w:val="Header Char"/>
    <w:basedOn w:val="DefaultParagraphFont"/>
    <w:link w:val="Header"/>
    <w:uiPriority w:val="99"/>
    <w:rsid w:val="00305B72"/>
  </w:style>
  <w:style w:type="paragraph" w:styleId="Footer">
    <w:name w:val="footer"/>
    <w:basedOn w:val="Normal"/>
    <w:link w:val="FooterChar"/>
    <w:uiPriority w:val="99"/>
    <w:unhideWhenUsed/>
    <w:rsid w:val="00305B72"/>
    <w:pPr>
      <w:tabs>
        <w:tab w:val="center" w:pos="4680"/>
        <w:tab w:val="right" w:pos="9360"/>
      </w:tabs>
      <w:spacing w:line="240" w:lineRule="auto"/>
    </w:pPr>
  </w:style>
  <w:style w:type="character" w:customStyle="1" w:styleId="FooterChar">
    <w:name w:val="Footer Char"/>
    <w:basedOn w:val="DefaultParagraphFont"/>
    <w:link w:val="Footer"/>
    <w:uiPriority w:val="99"/>
    <w:rsid w:val="00305B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6</Pages>
  <Words>2683</Words>
  <Characters>15294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Samuel Holcroft</cp:lastModifiedBy>
  <cp:revision>3</cp:revision>
  <dcterms:created xsi:type="dcterms:W3CDTF">2026-01-29T17:04:00Z</dcterms:created>
  <dcterms:modified xsi:type="dcterms:W3CDTF">2026-01-30T14:16:00Z</dcterms:modified>
</cp:coreProperties>
</file>