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07D58" w:rsidRDefault="00000000">
      <w:pPr>
        <w:rPr>
          <w:rFonts w:ascii="Georgia" w:eastAsia="Georgia" w:hAnsi="Georgia" w:cs="Georgia"/>
          <w:b/>
          <w:bCs/>
          <w:sz w:val="28"/>
          <w:szCs w:val="28"/>
        </w:rPr>
      </w:pPr>
      <w:r>
        <w:rPr>
          <w:rFonts w:ascii="Georgia" w:eastAsia="Georgia" w:hAnsi="Georgia" w:cs="Georgia"/>
          <w:b/>
          <w:bCs/>
          <w:sz w:val="28"/>
          <w:szCs w:val="28"/>
        </w:rPr>
        <w:t>Détente was both promoted and undermined by domestic political considerations.’ Discuss.</w:t>
      </w:r>
    </w:p>
    <w:p w14:paraId="00000002" w14:textId="77777777" w:rsidR="00C07D58" w:rsidRDefault="00C07D58">
      <w:pPr>
        <w:rPr>
          <w:rFonts w:ascii="Georgia" w:eastAsia="Georgia" w:hAnsi="Georgia" w:cs="Georgia"/>
        </w:rPr>
      </w:pPr>
    </w:p>
    <w:p w14:paraId="00000003" w14:textId="77777777" w:rsidR="00C07D58" w:rsidRDefault="00000000">
      <w:pPr>
        <w:rPr>
          <w:rFonts w:ascii="Georgia" w:eastAsia="Georgia" w:hAnsi="Georgia" w:cs="Georgia"/>
        </w:rPr>
      </w:pPr>
      <w:r>
        <w:rPr>
          <w:rFonts w:ascii="Georgia" w:eastAsia="Georgia" w:hAnsi="Georgia" w:cs="Georgia"/>
        </w:rPr>
        <w:t>Domestic political considerations undoubtedly promoted and undermined détente, in part. In this essay, I answer “to what extent?” To do so, I appraise a list of potential causes of détente’s rise and fall.</w:t>
      </w:r>
    </w:p>
    <w:p w14:paraId="00000004" w14:textId="77777777" w:rsidR="00C07D58" w:rsidRDefault="00C07D58">
      <w:pPr>
        <w:rPr>
          <w:rFonts w:ascii="Georgia" w:eastAsia="Georgia" w:hAnsi="Georgia" w:cs="Georgia"/>
        </w:rPr>
      </w:pPr>
    </w:p>
    <w:p w14:paraId="00000005" w14:textId="77777777" w:rsidR="00C07D58" w:rsidRDefault="00000000">
      <w:pPr>
        <w:rPr>
          <w:rFonts w:ascii="Georgia" w:eastAsia="Georgia" w:hAnsi="Georgia" w:cs="Georgia"/>
          <w:b/>
          <w:bCs/>
        </w:rPr>
      </w:pPr>
      <w:r>
        <w:rPr>
          <w:rFonts w:ascii="Georgia" w:eastAsia="Georgia" w:hAnsi="Georgia" w:cs="Georgia"/>
          <w:b/>
          <w:bCs/>
        </w:rPr>
        <w:t xml:space="preserve">To what extent was détente </w:t>
      </w:r>
      <w:r>
        <w:rPr>
          <w:rFonts w:ascii="Georgia" w:eastAsia="Georgia" w:hAnsi="Georgia" w:cs="Georgia"/>
          <w:b/>
          <w:bCs/>
          <w:u w:val="single"/>
        </w:rPr>
        <w:t>promoted</w:t>
      </w:r>
      <w:r>
        <w:rPr>
          <w:rFonts w:ascii="Georgia" w:eastAsia="Georgia" w:hAnsi="Georgia" w:cs="Georgia"/>
          <w:b/>
          <w:bCs/>
        </w:rPr>
        <w:t xml:space="preserve"> by domestic political considerations vs. other reasons?</w:t>
      </w:r>
    </w:p>
    <w:p w14:paraId="00000006" w14:textId="77777777" w:rsidR="00C07D58" w:rsidRDefault="00C07D58">
      <w:pPr>
        <w:rPr>
          <w:rFonts w:ascii="Georgia" w:eastAsia="Georgia" w:hAnsi="Georgia" w:cs="Georgia"/>
        </w:rPr>
      </w:pPr>
    </w:p>
    <w:p w14:paraId="00000007" w14:textId="77777777" w:rsidR="00C07D58" w:rsidRDefault="00000000">
      <w:pPr>
        <w:rPr>
          <w:rFonts w:ascii="Georgia" w:eastAsia="Georgia" w:hAnsi="Georgia" w:cs="Georgia"/>
        </w:rPr>
      </w:pPr>
      <w:r>
        <w:rPr>
          <w:rFonts w:ascii="Georgia" w:eastAsia="Georgia" w:hAnsi="Georgia" w:cs="Georgia"/>
        </w:rPr>
        <w:t xml:space="preserve">I find more evidence that détente was promoted for reasons less connected to domestic political considerations. But first, I must provide some arguments for détente being driven by domestic political considerations. The strongest argument for this comes from the American side: “Nixon…was obsessed with Vietnam and tied all arms control issues to his demand that the Kremlin should apply pressure on Hanoi to end the Vietnam War” (Zubok 2007, 216). The causal chain: 1) Vietnam was the unpopular war that the American public sought to end, 2) Nixon wanted to escape Vietnam with a modicum of dignity, 3) he sought détente </w:t>
      </w:r>
      <w:r>
        <w:rPr>
          <w:rFonts w:ascii="Georgia" w:eastAsia="Georgia" w:hAnsi="Georgia" w:cs="Georgia"/>
          <w:i/>
          <w:iCs/>
        </w:rPr>
        <w:t xml:space="preserve">because </w:t>
      </w:r>
      <w:r>
        <w:rPr>
          <w:rFonts w:ascii="Georgia" w:eastAsia="Georgia" w:hAnsi="Georgia" w:cs="Georgia"/>
        </w:rPr>
        <w:t xml:space="preserve">he saw it as a vehicle to escape this pressure at home. </w:t>
      </w:r>
      <w:commentRangeStart w:id="0"/>
      <w:r>
        <w:rPr>
          <w:rFonts w:ascii="Georgia" w:eastAsia="Georgia" w:hAnsi="Georgia" w:cs="Georgia"/>
        </w:rPr>
        <w:t xml:space="preserve">Yet this argument falls flat, because the Soviets were unwilling to pressure Hanoi, leaving Nixon’s back-channel proposal unanswered and waiting until there was a European détente to respond </w:t>
      </w:r>
      <w:commentRangeEnd w:id="0"/>
      <w:r w:rsidR="00DC2742">
        <w:rPr>
          <w:rStyle w:val="CommentReference"/>
          <w:rFonts w:ascii="Georgia" w:eastAsia="Georgia" w:hAnsi="Georgia" w:cs="Georgia"/>
          <w:sz w:val="22"/>
          <w:szCs w:val="22"/>
        </w:rPr>
        <w:commentReference w:id="0"/>
      </w:r>
      <w:r>
        <w:rPr>
          <w:rFonts w:ascii="Georgia" w:eastAsia="Georgia" w:hAnsi="Georgia" w:cs="Georgia"/>
        </w:rPr>
        <w:t xml:space="preserve">(Zubok 2007, 216). Instead, Zubok argues that three specific events precipitated Soviet engagement in détente. First, Brezhnev felt growing confidence from successful meetings with Egon Bahr and Willy Brandt. Second, Kissinger launched “triangular diplomacy” following Sino-Soviet border skirmishes, and the Soviets found it imprudent to be isolated. Finally, Brezhnev received a personal letter from Nixon (Zubok 2007, 216). </w:t>
      </w:r>
      <w:commentRangeStart w:id="1"/>
      <w:r>
        <w:rPr>
          <w:rFonts w:ascii="Georgia" w:eastAsia="Georgia" w:hAnsi="Georgia" w:cs="Georgia"/>
        </w:rPr>
        <w:t>None of these three reasons are closely tied to Soviet domestic political considerations.</w:t>
      </w:r>
      <w:commentRangeEnd w:id="1"/>
      <w:r w:rsidR="00DC2742">
        <w:rPr>
          <w:rStyle w:val="CommentReference"/>
          <w:rFonts w:ascii="Georgia" w:eastAsia="Georgia" w:hAnsi="Georgia" w:cs="Georgia"/>
          <w:sz w:val="22"/>
          <w:szCs w:val="22"/>
        </w:rPr>
        <w:commentReference w:id="1"/>
      </w:r>
    </w:p>
    <w:p w14:paraId="00000008" w14:textId="77777777" w:rsidR="00C07D58" w:rsidRDefault="00C07D58">
      <w:pPr>
        <w:rPr>
          <w:rFonts w:ascii="Georgia" w:eastAsia="Georgia" w:hAnsi="Georgia" w:cs="Georgia"/>
        </w:rPr>
      </w:pPr>
    </w:p>
    <w:p w14:paraId="00000009" w14:textId="77777777" w:rsidR="00C07D58" w:rsidRDefault="00000000">
      <w:pPr>
        <w:rPr>
          <w:rFonts w:ascii="Georgia" w:eastAsia="Georgia" w:hAnsi="Georgia" w:cs="Georgia"/>
        </w:rPr>
      </w:pPr>
      <w:r>
        <w:rPr>
          <w:rFonts w:ascii="Georgia" w:eastAsia="Georgia" w:hAnsi="Georgia" w:cs="Georgia"/>
        </w:rPr>
        <w:t xml:space="preserve">I mostly agree with Hanhimaki’s thesis that “European détente was, first and foremost, a </w:t>
      </w:r>
      <w:r>
        <w:rPr>
          <w:rFonts w:ascii="Georgia" w:eastAsia="Georgia" w:hAnsi="Georgia" w:cs="Georgia"/>
          <w:i/>
          <w:iCs/>
        </w:rPr>
        <w:t xml:space="preserve">European </w:t>
      </w:r>
      <w:r>
        <w:rPr>
          <w:rFonts w:ascii="Georgia" w:eastAsia="Georgia" w:hAnsi="Georgia" w:cs="Georgia"/>
        </w:rPr>
        <w:t xml:space="preserve">project.” If so, since the Soviets only proceeded with superpower détente after progress in the European sphere, changes in European sentiment and economies can partially explain détente (i.e., not a domestic political consideration for either superpower). The path to European détente began in 1966, when </w:t>
      </w:r>
      <w:commentRangeStart w:id="2"/>
      <w:r>
        <w:rPr>
          <w:rFonts w:ascii="Georgia" w:eastAsia="Georgia" w:hAnsi="Georgia" w:cs="Georgia"/>
        </w:rPr>
        <w:t xml:space="preserve">de Gaulle visited Moscow, “responding to repeated Soviet appeals for broader cooperation” </w:t>
      </w:r>
      <w:commentRangeEnd w:id="2"/>
      <w:r w:rsidR="00DC2742">
        <w:rPr>
          <w:rStyle w:val="CommentReference"/>
          <w:rFonts w:ascii="Georgia" w:eastAsia="Georgia" w:hAnsi="Georgia" w:cs="Georgia"/>
          <w:sz w:val="22"/>
          <w:szCs w:val="22"/>
        </w:rPr>
        <w:commentReference w:id="2"/>
      </w:r>
      <w:r>
        <w:rPr>
          <w:rFonts w:ascii="Georgia" w:eastAsia="Georgia" w:hAnsi="Georgia" w:cs="Georgia"/>
        </w:rPr>
        <w:t xml:space="preserve">(Savranskaya and Taubman 2010, 146). Pompidou visited Moscow in 1970, Brezhnev visited France in 1971, and the two countries signed a declaration on relations, becoming a prototype for European security principles, and “France then became the first country officially to endorse the Soviet proposal for a European security conference” (Savranskaya and Taubman 2010, 146). Yet the chief reason for European détente must be attributed to Willy Brandt’s </w:t>
      </w:r>
      <w:r>
        <w:rPr>
          <w:rFonts w:ascii="Georgia" w:eastAsia="Georgia" w:hAnsi="Georgia" w:cs="Georgia"/>
          <w:i/>
          <w:iCs/>
        </w:rPr>
        <w:t>Ostpolitik</w:t>
      </w:r>
      <w:r>
        <w:rPr>
          <w:rFonts w:ascii="Georgia" w:eastAsia="Georgia" w:hAnsi="Georgia" w:cs="Georgia"/>
        </w:rPr>
        <w:t>. In other words, new German leadership was required: “</w:t>
      </w:r>
      <w:commentRangeStart w:id="3"/>
      <w:r>
        <w:rPr>
          <w:rFonts w:ascii="Georgia" w:eastAsia="Georgia" w:hAnsi="Georgia" w:cs="Georgia"/>
        </w:rPr>
        <w:t xml:space="preserve">As long as Konrad Adenauer remained chancellor, the Bonn government refused to recognize the GDR in any form” (Zubok 2007, 210-11). </w:t>
      </w:r>
      <w:r>
        <w:rPr>
          <w:rFonts w:ascii="Georgia" w:eastAsia="Georgia" w:hAnsi="Georgia" w:cs="Georgia"/>
          <w:i/>
          <w:iCs/>
        </w:rPr>
        <w:t xml:space="preserve">Ostpolitik </w:t>
      </w:r>
      <w:r>
        <w:rPr>
          <w:rFonts w:ascii="Georgia" w:eastAsia="Georgia" w:hAnsi="Georgia" w:cs="Georgia"/>
        </w:rPr>
        <w:t xml:space="preserve">was remarkable because Brandt made so many concessions in his quest to lower the temperature: “renounced the use of force to bring about territorial revision, accepted the existence of the GDR, recognized prevailing borders, supported the nuclear nonproliferation movement, and nurtured diplomatic and economic relations with all the Warsaw Pact nations, most especially with the Soviet Union” </w:t>
      </w:r>
      <w:commentRangeEnd w:id="3"/>
      <w:r w:rsidR="00D14FFF">
        <w:rPr>
          <w:rStyle w:val="CommentReference"/>
          <w:rFonts w:ascii="Georgia" w:eastAsia="Georgia" w:hAnsi="Georgia" w:cs="Georgia"/>
          <w:sz w:val="22"/>
          <w:szCs w:val="22"/>
        </w:rPr>
        <w:lastRenderedPageBreak/>
        <w:commentReference w:id="3"/>
      </w:r>
      <w:r>
        <w:rPr>
          <w:rFonts w:ascii="Georgia" w:eastAsia="Georgia" w:hAnsi="Georgia" w:cs="Georgia"/>
        </w:rPr>
        <w:t>(Leffler 2007, 224). Indeed, the link between domestic political considerations and foreign policy is intuitively more evident in West Germany with free elections and accountability, but Brezhnev and Brandt’s special friendship must be noted too: “they would easily find common language even on quite complex and sensitive issues” (Zubok 2007, 213). Throughout the literature, Brezhnev is hailed as a “people person,” both within the Party apparatus and with world leaders.</w:t>
      </w:r>
    </w:p>
    <w:p w14:paraId="0000000A" w14:textId="77777777" w:rsidR="00C07D58" w:rsidRDefault="00C07D58">
      <w:pPr>
        <w:rPr>
          <w:rFonts w:ascii="Georgia" w:eastAsia="Georgia" w:hAnsi="Georgia" w:cs="Georgia"/>
        </w:rPr>
      </w:pPr>
    </w:p>
    <w:p w14:paraId="0000000B" w14:textId="77777777" w:rsidR="00C07D58" w:rsidRDefault="00000000">
      <w:pPr>
        <w:rPr>
          <w:rFonts w:ascii="Georgia" w:eastAsia="Georgia" w:hAnsi="Georgia" w:cs="Georgia"/>
        </w:rPr>
      </w:pPr>
      <w:commentRangeStart w:id="4"/>
      <w:r>
        <w:rPr>
          <w:rFonts w:ascii="Georgia" w:eastAsia="Georgia" w:hAnsi="Georgia" w:cs="Georgia"/>
        </w:rPr>
        <w:t>Altogether, I argue Brezhnev is the key reason that détente was able to progress from half-realized to more fully realized</w:t>
      </w:r>
      <w:commentRangeEnd w:id="4"/>
      <w:r w:rsidR="005F7A64">
        <w:rPr>
          <w:rStyle w:val="CommentReference"/>
          <w:rFonts w:ascii="Georgia" w:eastAsia="Georgia" w:hAnsi="Georgia" w:cs="Georgia"/>
          <w:sz w:val="22"/>
          <w:szCs w:val="22"/>
        </w:rPr>
        <w:commentReference w:id="4"/>
      </w:r>
      <w:r>
        <w:rPr>
          <w:rFonts w:ascii="Georgia" w:eastAsia="Georgia" w:hAnsi="Georgia" w:cs="Georgia"/>
        </w:rPr>
        <w:t xml:space="preserve">. He had to overcome a litany of domestic political considerations, achieving détente </w:t>
      </w:r>
      <w:r>
        <w:rPr>
          <w:rFonts w:ascii="Georgia" w:eastAsia="Georgia" w:hAnsi="Georgia" w:cs="Georgia"/>
          <w:i/>
          <w:iCs/>
        </w:rPr>
        <w:t xml:space="preserve">in spite </w:t>
      </w:r>
      <w:r>
        <w:rPr>
          <w:rFonts w:ascii="Georgia" w:eastAsia="Georgia" w:hAnsi="Georgia" w:cs="Georgia"/>
        </w:rPr>
        <w:t>of them, rather than because of them. He also displayed restraint in the face of American aggression. First, we must study his motivations. Shaped by the horrors of World War 2, he emphatically believed in avoiding war at all costs. Thus, when he met Nixon for the first time, he suggested a peace pact, where the Soviets and Americans would direct force against any third country (read: China) that would act aggressively (Zubok 2007, 202). Though the Americans suspected this as a ploy to limit American Third World involvement, Zubok concludes that the general secretary genuinely believed in this dream. He also “deeply loathed brinksmanship and the crisis-mongering that had characterized Khrushchev” (Zubok 2007, 203).</w:t>
      </w:r>
    </w:p>
    <w:p w14:paraId="0000000C" w14:textId="77777777" w:rsidR="00C07D58" w:rsidRDefault="00C07D58">
      <w:pPr>
        <w:rPr>
          <w:rFonts w:ascii="Georgia" w:eastAsia="Georgia" w:hAnsi="Georgia" w:cs="Georgia"/>
        </w:rPr>
      </w:pPr>
    </w:p>
    <w:p w14:paraId="0000000D" w14:textId="77777777" w:rsidR="00C07D58" w:rsidRDefault="00000000">
      <w:pPr>
        <w:rPr>
          <w:rFonts w:ascii="Georgia" w:eastAsia="Georgia" w:hAnsi="Georgia" w:cs="Georgia"/>
        </w:rPr>
      </w:pPr>
      <w:r>
        <w:rPr>
          <w:rFonts w:ascii="Georgia" w:eastAsia="Georgia" w:hAnsi="Georgia" w:cs="Georgia"/>
        </w:rPr>
        <w:t xml:space="preserve">In a place like the Soviet Union, the head was less accountable directly to the people than he is to other important officials–the latter reflecting the real form of “domestic political considerations.” And at the time, “[m]ilitant attitudes reigned among the majority of Brezhnev's colleagues. To begin acting as a peacemaker was extremely difficult and dangerous for one’s career.” (Zubok 2007, 204). Brezhnev acted against the grain, relying “not on the conservative and ignorant majority but on a few ‘enlightened’ policy experts” (Zubok 2007, 205). One example was in 1972, when “there was a storm gathering in Moscow on account of Vietnam” (Zubok 2007, 219). While “many Politburo members believed that the summit with Nixon should be cancelled because of the bombing and the deaths of the Soviet personnel…Brezhnev’s personal interest in the summit prevailed over emotions, and he pleaded with colleagues for moderation” (Zubok 2007, 218). All of this evidence suggests that Brezhnev was less swayed by domestic political considerations and more by his own beliefs and motivations. </w:t>
      </w:r>
      <w:commentRangeStart w:id="5"/>
      <w:r>
        <w:rPr>
          <w:rFonts w:ascii="Georgia" w:eastAsia="Georgia" w:hAnsi="Georgia" w:cs="Georgia"/>
        </w:rPr>
        <w:t>More broadly, détente was promoted because the Soviets wanted formal recognition of their status as equal to the United States</w:t>
      </w:r>
      <w:commentRangeEnd w:id="5"/>
      <w:r w:rsidR="00424EC0">
        <w:rPr>
          <w:rStyle w:val="CommentReference"/>
          <w:rFonts w:ascii="Georgia" w:eastAsia="Georgia" w:hAnsi="Georgia" w:cs="Georgia"/>
          <w:sz w:val="22"/>
          <w:szCs w:val="22"/>
        </w:rPr>
        <w:commentReference w:id="5"/>
      </w:r>
      <w:r>
        <w:rPr>
          <w:rFonts w:ascii="Georgia" w:eastAsia="Georgia" w:hAnsi="Georgia" w:cs="Georgia"/>
        </w:rPr>
        <w:t xml:space="preserve">. The literature agrees that the turning point was the Soviet invasion of Czechoslovakia, after which Brezhnev’s morale soared, perceiving the tepid Western response as confirmation of Soviet parity. </w:t>
      </w:r>
      <w:commentRangeStart w:id="6"/>
      <w:r>
        <w:rPr>
          <w:rFonts w:ascii="Georgia" w:eastAsia="Georgia" w:hAnsi="Georgia" w:cs="Georgia"/>
        </w:rPr>
        <w:t>This increased sense of self-determined security was crucial for détente. Again, not from a domestic political consideration forged from within.</w:t>
      </w:r>
      <w:commentRangeEnd w:id="6"/>
      <w:r w:rsidR="00424EC0">
        <w:rPr>
          <w:rStyle w:val="CommentReference"/>
          <w:rFonts w:ascii="Georgia" w:eastAsia="Georgia" w:hAnsi="Georgia" w:cs="Georgia"/>
          <w:sz w:val="22"/>
          <w:szCs w:val="22"/>
        </w:rPr>
        <w:commentReference w:id="6"/>
      </w:r>
    </w:p>
    <w:p w14:paraId="0000000E" w14:textId="77777777" w:rsidR="00C07D58" w:rsidRDefault="00C07D58">
      <w:pPr>
        <w:rPr>
          <w:rFonts w:ascii="Georgia" w:eastAsia="Georgia" w:hAnsi="Georgia" w:cs="Georgia"/>
        </w:rPr>
      </w:pPr>
    </w:p>
    <w:p w14:paraId="0000000F" w14:textId="77777777" w:rsidR="00C07D58" w:rsidRDefault="00000000">
      <w:pPr>
        <w:rPr>
          <w:rFonts w:ascii="Georgia" w:eastAsia="Georgia" w:hAnsi="Georgia" w:cs="Georgia"/>
        </w:rPr>
      </w:pPr>
      <w:r>
        <w:rPr>
          <w:rFonts w:ascii="Georgia" w:eastAsia="Georgia" w:hAnsi="Georgia" w:cs="Georgia"/>
        </w:rPr>
        <w:t xml:space="preserve">Now, two auxiliary arguments for détente’s promotion for non-domestic political reasons. First, Nixon was “responding to changes in European attitudes toward the Soviet Union”–the writing was on the wall with these structural changes from key NATO allies (Schulzinger 2010, 375). Second, détente was promoted for numerous conventional IR reasons from the Americans: “the US policy of détente emerged from a gloomy assessment of American military, economic, and political power, all of which had been strained by the Vietnam War,” “the Soviet Union was about to obtain parity with the United States in strategic weapons,” </w:t>
      </w:r>
      <w:commentRangeStart w:id="7"/>
      <w:r>
        <w:rPr>
          <w:rFonts w:ascii="Georgia" w:eastAsia="Georgia" w:hAnsi="Georgia" w:cs="Georgia"/>
        </w:rPr>
        <w:t xml:space="preserve">and the new Soviet leadership was perceived as less ideological and adhering more to </w:t>
      </w:r>
      <w:r>
        <w:rPr>
          <w:rFonts w:ascii="Georgia" w:eastAsia="Georgia" w:hAnsi="Georgia" w:cs="Georgia"/>
          <w:i/>
          <w:iCs/>
        </w:rPr>
        <w:t>Realpolitik</w:t>
      </w:r>
      <w:r>
        <w:rPr>
          <w:rFonts w:ascii="Georgia" w:eastAsia="Georgia" w:hAnsi="Georgia" w:cs="Georgia"/>
        </w:rPr>
        <w:t xml:space="preserve">, a trend over </w:t>
      </w:r>
      <w:r>
        <w:rPr>
          <w:rFonts w:ascii="Georgia" w:eastAsia="Georgia" w:hAnsi="Georgia" w:cs="Georgia"/>
        </w:rPr>
        <w:lastRenderedPageBreak/>
        <w:t xml:space="preserve">decades </w:t>
      </w:r>
      <w:commentRangeEnd w:id="7"/>
      <w:r w:rsidR="00424EC0">
        <w:rPr>
          <w:rStyle w:val="CommentReference"/>
          <w:rFonts w:ascii="Georgia" w:eastAsia="Georgia" w:hAnsi="Georgia" w:cs="Georgia"/>
          <w:sz w:val="22"/>
          <w:szCs w:val="22"/>
        </w:rPr>
        <w:commentReference w:id="7"/>
      </w:r>
      <w:r>
        <w:rPr>
          <w:rFonts w:ascii="Georgia" w:eastAsia="Georgia" w:hAnsi="Georgia" w:cs="Georgia"/>
        </w:rPr>
        <w:t>(Njolstad 2010, 137). To summarize, “détente was essentially a realist strategy to cope with the challenge of Soviet power in an era of American relative decline” (Njolstad 2010, 137). American détente overtures were not simply because Nixon had to always respond to domestic pressure.</w:t>
      </w:r>
    </w:p>
    <w:p w14:paraId="00000010" w14:textId="77777777" w:rsidR="00C07D58" w:rsidRDefault="00C07D58">
      <w:pPr>
        <w:rPr>
          <w:rFonts w:ascii="Georgia" w:eastAsia="Georgia" w:hAnsi="Georgia" w:cs="Georgia"/>
        </w:rPr>
      </w:pPr>
    </w:p>
    <w:p w14:paraId="00000011" w14:textId="77777777" w:rsidR="00C07D58" w:rsidRDefault="00000000">
      <w:pPr>
        <w:rPr>
          <w:rFonts w:ascii="Georgia" w:eastAsia="Georgia" w:hAnsi="Georgia" w:cs="Georgia"/>
        </w:rPr>
      </w:pPr>
      <w:r>
        <w:rPr>
          <w:rFonts w:ascii="Georgia" w:eastAsia="Georgia" w:hAnsi="Georgia" w:cs="Georgia"/>
        </w:rPr>
        <w:t>I now conclude with two reasons supporting why détente was promoted by domestic political considerations. At the core of both was the globalizing economy. As European détente advanced, Western European firms “invested in and exported goods to Communist countries…American businesses feared being left behind by competitors in the increasingly prosperous Western European countries, and they demanded that the United States government do more to improve the climate” (Schulzinger 2010, 375). Nonetheless, I don’t find much in the literature confirming that this economic and political domestic motive was central for Nixon and Kissinger. A parallel motive appears in the case of the Soviets: “Kosygin’s support for détente reflected the widespread expectation among the captains of Soviet industries that European détente and a US-Soviet summit would reopen access to Western economic, financial, and technological resources” (Zubok 2007, 220). But while this domestic consideration may have had some importance, it does not seem nearly as influential in Brezhnev’s thinking compared to his desire for statesmanship and peace in and of itself.</w:t>
      </w:r>
    </w:p>
    <w:p w14:paraId="00000012" w14:textId="77777777" w:rsidR="00C07D58" w:rsidRDefault="00C07D58">
      <w:pPr>
        <w:rPr>
          <w:rFonts w:ascii="Georgia" w:eastAsia="Georgia" w:hAnsi="Georgia" w:cs="Georgia"/>
        </w:rPr>
      </w:pPr>
    </w:p>
    <w:p w14:paraId="00000013" w14:textId="77777777" w:rsidR="00C07D58" w:rsidRDefault="00000000">
      <w:pPr>
        <w:rPr>
          <w:rFonts w:ascii="Georgia" w:eastAsia="Georgia" w:hAnsi="Georgia" w:cs="Georgia"/>
          <w:b/>
          <w:bCs/>
        </w:rPr>
      </w:pPr>
      <w:r>
        <w:rPr>
          <w:rFonts w:ascii="Georgia" w:eastAsia="Georgia" w:hAnsi="Georgia" w:cs="Georgia"/>
          <w:b/>
          <w:bCs/>
        </w:rPr>
        <w:t xml:space="preserve">To what extent was détente </w:t>
      </w:r>
      <w:r>
        <w:rPr>
          <w:rFonts w:ascii="Georgia" w:eastAsia="Georgia" w:hAnsi="Georgia" w:cs="Georgia"/>
          <w:b/>
          <w:bCs/>
          <w:u w:val="single"/>
        </w:rPr>
        <w:t>undermined</w:t>
      </w:r>
      <w:r>
        <w:rPr>
          <w:rFonts w:ascii="Georgia" w:eastAsia="Georgia" w:hAnsi="Georgia" w:cs="Georgia"/>
          <w:b/>
          <w:bCs/>
        </w:rPr>
        <w:t xml:space="preserve"> by domestic political considerations vs. other reasons?</w:t>
      </w:r>
    </w:p>
    <w:p w14:paraId="00000014" w14:textId="77777777" w:rsidR="00C07D58" w:rsidRDefault="00C07D58">
      <w:pPr>
        <w:rPr>
          <w:rFonts w:ascii="Georgia" w:eastAsia="Georgia" w:hAnsi="Georgia" w:cs="Georgia"/>
          <w:b/>
          <w:bCs/>
        </w:rPr>
      </w:pPr>
    </w:p>
    <w:p w14:paraId="00000015" w14:textId="77777777" w:rsidR="00C07D58" w:rsidRDefault="00000000">
      <w:pPr>
        <w:rPr>
          <w:rFonts w:ascii="Georgia" w:eastAsia="Georgia" w:hAnsi="Georgia" w:cs="Georgia"/>
        </w:rPr>
      </w:pPr>
      <w:r>
        <w:rPr>
          <w:rFonts w:ascii="Georgia" w:eastAsia="Georgia" w:hAnsi="Georgia" w:cs="Georgia"/>
        </w:rPr>
        <w:t xml:space="preserve">The literature concurs that détente reached its symbolic pinnacle in 1975 with the Final Act of the CSCE, whose agreements were categorized into three baskets: 1) security concerns and the use of force, 2) trade and scientific cooperation, 3) humanitarian and other fields (Schulzinger 2010, 390). </w:t>
      </w:r>
      <w:commentRangeStart w:id="8"/>
      <w:r>
        <w:rPr>
          <w:rFonts w:ascii="Georgia" w:eastAsia="Georgia" w:hAnsi="Georgia" w:cs="Georgia"/>
        </w:rPr>
        <w:t xml:space="preserve">Yet at that time, and earlier, “American foes of the Helsinki agreements did not like the Final Act’s recognition of prevailing territorial borders in Europe,” so President Ford adopted “a more confrontational stance toward the Soviet Union” in direct response to domestic criticisms </w:t>
      </w:r>
      <w:commentRangeEnd w:id="8"/>
      <w:r w:rsidR="001C505F">
        <w:rPr>
          <w:rStyle w:val="CommentReference"/>
          <w:rFonts w:ascii="Georgia" w:eastAsia="Georgia" w:hAnsi="Georgia" w:cs="Georgia"/>
          <w:sz w:val="22"/>
          <w:szCs w:val="22"/>
        </w:rPr>
        <w:commentReference w:id="8"/>
      </w:r>
      <w:r>
        <w:rPr>
          <w:rFonts w:ascii="Georgia" w:eastAsia="Georgia" w:hAnsi="Georgia" w:cs="Georgia"/>
        </w:rPr>
        <w:t xml:space="preserve">(Schulzinger 2010, 390). </w:t>
      </w:r>
      <w:commentRangeStart w:id="9"/>
      <w:r>
        <w:rPr>
          <w:rFonts w:ascii="Georgia" w:eastAsia="Georgia" w:hAnsi="Georgia" w:cs="Georgia"/>
        </w:rPr>
        <w:t>Détente died in spirit with the ouster of Nixon (itself definitionally the product of domestic political considerations), despite deals being inked through the rest of the 1970s</w:t>
      </w:r>
      <w:commentRangeEnd w:id="9"/>
      <w:r w:rsidR="001C505F">
        <w:rPr>
          <w:rStyle w:val="CommentReference"/>
          <w:rFonts w:ascii="Georgia" w:eastAsia="Georgia" w:hAnsi="Georgia" w:cs="Georgia"/>
          <w:sz w:val="22"/>
          <w:szCs w:val="22"/>
        </w:rPr>
        <w:commentReference w:id="9"/>
      </w:r>
      <w:r>
        <w:rPr>
          <w:rFonts w:ascii="Georgia" w:eastAsia="Georgia" w:hAnsi="Georgia" w:cs="Georgia"/>
        </w:rPr>
        <w:t>. Brezhnev and his advisers were stunned by Nixon’s ouster, and they concluded that “the only plausible explanation was that the enemies of détente chose a good pretext to get rid of its chief American architect” (Zubok 2007, 241).</w:t>
      </w:r>
    </w:p>
    <w:p w14:paraId="00000016" w14:textId="77777777" w:rsidR="00C07D58" w:rsidRDefault="00C07D58">
      <w:pPr>
        <w:rPr>
          <w:rFonts w:ascii="Georgia" w:eastAsia="Georgia" w:hAnsi="Georgia" w:cs="Georgia"/>
        </w:rPr>
      </w:pPr>
    </w:p>
    <w:p w14:paraId="00000017" w14:textId="77777777" w:rsidR="00C07D58" w:rsidRDefault="00000000">
      <w:pPr>
        <w:rPr>
          <w:rFonts w:ascii="Georgia" w:eastAsia="Georgia" w:hAnsi="Georgia" w:cs="Georgia"/>
        </w:rPr>
      </w:pPr>
      <w:r>
        <w:rPr>
          <w:rFonts w:ascii="Georgia" w:eastAsia="Georgia" w:hAnsi="Georgia" w:cs="Georgia"/>
        </w:rPr>
        <w:t xml:space="preserve">Even before Nixon’s ouster, substantial political pressure was imposed by Congress, which in turn reflected both special interests and domestic sentiment. After Brezhnev imposed an exit tax for Soviet Jew émigrés, the American backlash was cataclysmic. The American media ran “a furious campaign” against it, and “a powerful Jewish-liberal-conservative opposition to the package of trade and financial agreements with the Soviet Union emerged in the U.S. Congress” (Zubok 2007, 232). With the Jackson-Vanik amendment conditioning “nondiscriminatory trade status for the Soviet Union and state credit support for U.S. exports to the USSR” on “freedom for Soviet Jews,” Nixon and Kissinger lost the most valuable economic “carrots” they could have provided Brezhnev (Zubok 2007, 232). Altogether, this frustrated the Soviets, whose internal affairs were being dictated to, which “contradicted the principle of parity and equality, the major Soviet goal in détente” (Zubok 2007, 233). (Recall that this was before any of the Helsinki </w:t>
      </w:r>
      <w:r>
        <w:rPr>
          <w:rFonts w:ascii="Georgia" w:eastAsia="Georgia" w:hAnsi="Georgia" w:cs="Georgia"/>
        </w:rPr>
        <w:lastRenderedPageBreak/>
        <w:t xml:space="preserve">Accords’ human rights agreements were inked.) </w:t>
      </w:r>
      <w:commentRangeStart w:id="10"/>
      <w:r>
        <w:rPr>
          <w:rFonts w:ascii="Georgia" w:eastAsia="Georgia" w:hAnsi="Georgia" w:cs="Georgia"/>
        </w:rPr>
        <w:t xml:space="preserve">Furthermore, this crisis was meaninglessly exacerbated by American hysteria, proclaiming “tens of thousands of prisoners” when in reality, the Soviets were arresting fewer individuals over time and believed themselves making great effort in moving towards a less repressive direction </w:t>
      </w:r>
      <w:commentRangeEnd w:id="10"/>
      <w:r w:rsidR="001C505F">
        <w:rPr>
          <w:rStyle w:val="CommentReference"/>
          <w:rFonts w:ascii="Georgia" w:eastAsia="Georgia" w:hAnsi="Georgia" w:cs="Georgia"/>
          <w:sz w:val="22"/>
          <w:szCs w:val="22"/>
        </w:rPr>
        <w:commentReference w:id="10"/>
      </w:r>
      <w:r>
        <w:rPr>
          <w:rFonts w:ascii="Georgia" w:eastAsia="Georgia" w:hAnsi="Georgia" w:cs="Georgia"/>
        </w:rPr>
        <w:t>(Leffler 2007, 267-68).</w:t>
      </w:r>
    </w:p>
    <w:p w14:paraId="00000018" w14:textId="77777777" w:rsidR="00C07D58" w:rsidRDefault="00C07D58">
      <w:pPr>
        <w:rPr>
          <w:rFonts w:ascii="Georgia" w:eastAsia="Georgia" w:hAnsi="Georgia" w:cs="Georgia"/>
        </w:rPr>
      </w:pPr>
    </w:p>
    <w:p w14:paraId="00000019" w14:textId="77777777" w:rsidR="00C07D58" w:rsidRDefault="00000000">
      <w:pPr>
        <w:rPr>
          <w:rFonts w:ascii="Georgia" w:eastAsia="Georgia" w:hAnsi="Georgia" w:cs="Georgia"/>
        </w:rPr>
      </w:pPr>
      <w:r>
        <w:rPr>
          <w:rFonts w:ascii="Georgia" w:eastAsia="Georgia" w:hAnsi="Georgia" w:cs="Georgia"/>
        </w:rPr>
        <w:t xml:space="preserve">American political considerations fueled </w:t>
      </w:r>
      <w:r>
        <w:rPr>
          <w:rFonts w:ascii="Georgia" w:eastAsia="Georgia" w:hAnsi="Georgia" w:cs="Georgia"/>
          <w:i/>
          <w:iCs/>
        </w:rPr>
        <w:t>Soviet</w:t>
      </w:r>
      <w:r>
        <w:rPr>
          <w:rFonts w:ascii="Georgia" w:eastAsia="Georgia" w:hAnsi="Georgia" w:cs="Georgia"/>
        </w:rPr>
        <w:t xml:space="preserve"> political considerations, endangering détente further. As Zubok notes, liberals in Moscow found allies in America, so ideologues </w:t>
      </w:r>
      <w:r>
        <w:rPr>
          <w:rFonts w:ascii="Georgia" w:eastAsia="Georgia" w:hAnsi="Georgia" w:cs="Georgia"/>
          <w:i/>
          <w:iCs/>
        </w:rPr>
        <w:t xml:space="preserve">more conservative than </w:t>
      </w:r>
      <w:r>
        <w:rPr>
          <w:rFonts w:ascii="Georgia" w:eastAsia="Georgia" w:hAnsi="Georgia" w:cs="Georgia"/>
        </w:rPr>
        <w:t xml:space="preserve">Brezhnev applied pressure in the opposite direction, who now “argue[d] that rapprochement with the West was dangerous for the regime, since it allowed the United States a Trojan horse inside Soviet society” (Zubok 2007, 234). In addition, the Soviets believed that the SALT II talks were hampered by domestic political considerations: “The Carter team wanted the agreement, but it also wanted to protect itself from right-wing criticism” (Westad 1997, 16). Negotiations were to some extent in bad faith from the Americans by demanding “deep cuts” in heavy missiles (an area of Soviet strength). </w:t>
      </w:r>
      <w:commentRangeStart w:id="11"/>
      <w:r>
        <w:rPr>
          <w:rFonts w:ascii="Georgia" w:eastAsia="Georgia" w:hAnsi="Georgia" w:cs="Georgia"/>
        </w:rPr>
        <w:t xml:space="preserve">Zbigniew Brzezinski found a win-win: either the Soviets would accept the disadvantageous position, or the negotiations would break down, “proving” to the American public “that the Soviets were not seriously interested in arms control” </w:t>
      </w:r>
      <w:commentRangeEnd w:id="11"/>
      <w:r w:rsidR="001C505F">
        <w:rPr>
          <w:rStyle w:val="CommentReference"/>
          <w:rFonts w:ascii="Georgia" w:eastAsia="Georgia" w:hAnsi="Georgia" w:cs="Georgia"/>
          <w:sz w:val="22"/>
          <w:szCs w:val="22"/>
        </w:rPr>
        <w:commentReference w:id="11"/>
      </w:r>
      <w:r>
        <w:rPr>
          <w:rFonts w:ascii="Georgia" w:eastAsia="Georgia" w:hAnsi="Georgia" w:cs="Georgia"/>
        </w:rPr>
        <w:t xml:space="preserve">(Njolstad 1997, 38). </w:t>
      </w:r>
    </w:p>
    <w:p w14:paraId="0000001A" w14:textId="77777777" w:rsidR="00C07D58" w:rsidRDefault="00C07D58">
      <w:pPr>
        <w:rPr>
          <w:rFonts w:ascii="Georgia" w:eastAsia="Georgia" w:hAnsi="Georgia" w:cs="Georgia"/>
        </w:rPr>
      </w:pPr>
    </w:p>
    <w:p w14:paraId="0000001B" w14:textId="77777777" w:rsidR="00C07D58" w:rsidRDefault="00000000">
      <w:pPr>
        <w:rPr>
          <w:rFonts w:ascii="Georgia" w:eastAsia="Georgia" w:hAnsi="Georgia" w:cs="Georgia"/>
        </w:rPr>
      </w:pPr>
      <w:r>
        <w:rPr>
          <w:rFonts w:ascii="Georgia" w:eastAsia="Georgia" w:hAnsi="Georgia" w:cs="Georgia"/>
        </w:rPr>
        <w:t xml:space="preserve">There is tremendous data that the American public meaningfully changed their position regarding foreign affairs, and President Carter </w:t>
      </w:r>
      <w:r>
        <w:rPr>
          <w:rFonts w:ascii="Georgia" w:eastAsia="Georgia" w:hAnsi="Georgia" w:cs="Georgia"/>
          <w:i/>
          <w:iCs/>
        </w:rPr>
        <w:t>explicitly catered toward this</w:t>
      </w:r>
      <w:r>
        <w:rPr>
          <w:rFonts w:ascii="Georgia" w:eastAsia="Georgia" w:hAnsi="Georgia" w:cs="Georgia"/>
        </w:rPr>
        <w:t xml:space="preserve">, following public opinion closely even after his election (Caldwell 1997, 101). From 1964 to 1974 the overriding American foreign policy concern was “peace;’ after 1974 this became “military strength.” Indeed, “[v]irtually every month from 1974 to 1981 saw greater support for increasing the size of the defense budget” (Caldwell 1997, 101). Then, “sensing that the American people did not support the Nixon-Ford-Kissinger foreign policies,” the Carter administration pursued a consensus-based approach, with both Congressional and public support (Caldwell 1997, 106). </w:t>
      </w:r>
    </w:p>
    <w:p w14:paraId="0000001C" w14:textId="77777777" w:rsidR="00C07D58" w:rsidRDefault="00C07D58">
      <w:pPr>
        <w:rPr>
          <w:rFonts w:ascii="Georgia" w:eastAsia="Georgia" w:hAnsi="Georgia" w:cs="Georgia"/>
        </w:rPr>
      </w:pPr>
    </w:p>
    <w:p w14:paraId="0000001D" w14:textId="77777777" w:rsidR="00C07D58" w:rsidRDefault="00000000">
      <w:pPr>
        <w:rPr>
          <w:rFonts w:ascii="Georgia" w:eastAsia="Georgia" w:hAnsi="Georgia" w:cs="Georgia"/>
        </w:rPr>
      </w:pPr>
      <w:r>
        <w:rPr>
          <w:rFonts w:ascii="Georgia" w:eastAsia="Georgia" w:hAnsi="Georgia" w:cs="Georgia"/>
        </w:rPr>
        <w:t xml:space="preserve">Soviet domestic political considerations continued undermining détente in a more nuanced way. </w:t>
      </w:r>
      <w:commentRangeStart w:id="12"/>
      <w:r>
        <w:rPr>
          <w:rFonts w:ascii="Georgia" w:eastAsia="Georgia" w:hAnsi="Georgia" w:cs="Georgia"/>
        </w:rPr>
        <w:t xml:space="preserve">The elites in the USSR lobbied for jobs and careers abroad: diplomats, trade representatives, and “advisers” in third-world countries </w:t>
      </w:r>
      <w:commentRangeEnd w:id="12"/>
      <w:r w:rsidR="001C505F">
        <w:rPr>
          <w:rStyle w:val="CommentReference"/>
          <w:rFonts w:ascii="Georgia" w:eastAsia="Georgia" w:hAnsi="Georgia" w:cs="Georgia"/>
          <w:sz w:val="22"/>
          <w:szCs w:val="22"/>
        </w:rPr>
        <w:commentReference w:id="12"/>
      </w:r>
      <w:r>
        <w:rPr>
          <w:rFonts w:ascii="Georgia" w:eastAsia="Georgia" w:hAnsi="Georgia" w:cs="Georgia"/>
        </w:rPr>
        <w:t>(Zubok 2010, 96). This was particularly prominent in Africa, where Soviet elites lobbied for “international assistance” anywhere a “socialist orientation” could be alleged (Zubok 2010, 96). This undoubtedly inflamed breakdowns in détente, where Kissinger perceived Angola as a Soviet bid “to tilt the political balance of Africa” (Sargent, 2014).</w:t>
      </w:r>
    </w:p>
    <w:p w14:paraId="0000001E" w14:textId="77777777" w:rsidR="00C07D58" w:rsidRDefault="00C07D58">
      <w:pPr>
        <w:rPr>
          <w:rFonts w:ascii="Georgia" w:eastAsia="Georgia" w:hAnsi="Georgia" w:cs="Georgia"/>
        </w:rPr>
      </w:pPr>
    </w:p>
    <w:p w14:paraId="0000001F" w14:textId="77777777" w:rsidR="00C07D58" w:rsidRDefault="00000000">
      <w:pPr>
        <w:rPr>
          <w:rFonts w:ascii="Georgia" w:eastAsia="Georgia" w:hAnsi="Georgia" w:cs="Georgia"/>
        </w:rPr>
      </w:pPr>
      <w:r>
        <w:rPr>
          <w:rFonts w:ascii="Georgia" w:eastAsia="Georgia" w:hAnsi="Georgia" w:cs="Georgia"/>
        </w:rPr>
        <w:t xml:space="preserve">But perhaps détente was structurally compromised from the start: “although détente seemed to lessen the immediate threat of nuclear war, it never actually touched the image of the enemy held by the other side” (Saivetz 1997, 74). </w:t>
      </w:r>
      <w:commentRangeStart w:id="13"/>
      <w:r>
        <w:rPr>
          <w:rFonts w:ascii="Georgia" w:eastAsia="Georgia" w:hAnsi="Georgia" w:cs="Georgia"/>
        </w:rPr>
        <w:t xml:space="preserve">Furthermore, the two superpower governments held “diametrically opposite assumptions:” the Americans sought to curtail Soviet expansionism by supporting the status quo, and the Soviets saw the arms agreements as “lessen[ing] the escalatory potential of Third World conflicts,” incentivizing intervention </w:t>
      </w:r>
      <w:commentRangeEnd w:id="13"/>
      <w:r w:rsidR="001C505F">
        <w:rPr>
          <w:rStyle w:val="CommentReference"/>
          <w:rFonts w:ascii="Georgia" w:eastAsia="Georgia" w:hAnsi="Georgia" w:cs="Georgia"/>
          <w:sz w:val="22"/>
          <w:szCs w:val="22"/>
        </w:rPr>
        <w:commentReference w:id="13"/>
      </w:r>
      <w:r>
        <w:rPr>
          <w:rFonts w:ascii="Georgia" w:eastAsia="Georgia" w:hAnsi="Georgia" w:cs="Georgia"/>
        </w:rPr>
        <w:t>(Saivetz 1997, 74-75). In this case, domestic political considerations would only reveal what was already underlying sentiment (to win elections).</w:t>
      </w:r>
    </w:p>
    <w:p w14:paraId="00000020" w14:textId="77777777" w:rsidR="00C07D58" w:rsidRDefault="00C07D58">
      <w:pPr>
        <w:rPr>
          <w:rFonts w:ascii="Georgia" w:eastAsia="Georgia" w:hAnsi="Georgia" w:cs="Georgia"/>
        </w:rPr>
      </w:pPr>
    </w:p>
    <w:p w14:paraId="00000021" w14:textId="77777777" w:rsidR="00C07D58" w:rsidRDefault="00000000">
      <w:pPr>
        <w:rPr>
          <w:rFonts w:ascii="Georgia" w:eastAsia="Georgia" w:hAnsi="Georgia" w:cs="Georgia"/>
        </w:rPr>
      </w:pPr>
      <w:r>
        <w:rPr>
          <w:rFonts w:ascii="Georgia" w:eastAsia="Georgia" w:hAnsi="Georgia" w:cs="Georgia"/>
        </w:rPr>
        <w:lastRenderedPageBreak/>
        <w:t xml:space="preserve">Yet there were other factors contributing to the American rejection of détente besides direct domestic political ones. As Zubok writes, “Jimmy Carter’s lack of clear assumptions about the Soviet Union played as much a part in the undoing of détente as Brezhnev’s beliefs had in conceiving it” (Zubok 2007, 257). With influences like “Brzezinski and neoconservative critics,” Carter was more inclined to view the Soviets with suspicion. In addition, Carter’s focus on human rights may not simply have been a ploy from political considerations–he was fundamentally a different man compared to Nixon and Kissinger: “on the standards he expects of himself and others he is uncompromising” (Mitchell 2010, 73). </w:t>
      </w:r>
      <w:commentRangeStart w:id="14"/>
      <w:r>
        <w:rPr>
          <w:rFonts w:ascii="Georgia" w:eastAsia="Georgia" w:hAnsi="Georgia" w:cs="Georgia"/>
        </w:rPr>
        <w:t>Much like Brezhnev’s unique nature was responsible for détente’s creation, Carter’s unique nature can plausibly explain some of détente’s breakdown.</w:t>
      </w:r>
      <w:commentRangeEnd w:id="14"/>
      <w:r w:rsidR="001C505F">
        <w:rPr>
          <w:rStyle w:val="CommentReference"/>
          <w:rFonts w:ascii="Georgia" w:eastAsia="Georgia" w:hAnsi="Georgia" w:cs="Georgia"/>
          <w:sz w:val="22"/>
          <w:szCs w:val="22"/>
        </w:rPr>
        <w:commentReference w:id="14"/>
      </w:r>
    </w:p>
    <w:p w14:paraId="00000022" w14:textId="77777777" w:rsidR="00C07D58" w:rsidRDefault="00C07D58">
      <w:pPr>
        <w:rPr>
          <w:rFonts w:ascii="Georgia" w:eastAsia="Georgia" w:hAnsi="Georgia" w:cs="Georgia"/>
        </w:rPr>
      </w:pPr>
    </w:p>
    <w:p w14:paraId="00000023" w14:textId="77777777" w:rsidR="00C07D58" w:rsidRDefault="00000000">
      <w:pPr>
        <w:rPr>
          <w:rFonts w:ascii="Georgia" w:eastAsia="Georgia" w:hAnsi="Georgia" w:cs="Georgia"/>
        </w:rPr>
      </w:pPr>
      <w:r>
        <w:rPr>
          <w:rFonts w:ascii="Georgia" w:eastAsia="Georgia" w:hAnsi="Georgia" w:cs="Georgia"/>
        </w:rPr>
        <w:t xml:space="preserve">While the second half of the 1970s marked détente’s decline, </w:t>
      </w:r>
      <w:commentRangeStart w:id="15"/>
      <w:r>
        <w:rPr>
          <w:rFonts w:ascii="Georgia" w:eastAsia="Georgia" w:hAnsi="Georgia" w:cs="Georgia"/>
        </w:rPr>
        <w:t xml:space="preserve">the Soviet invasion of Afghanistan ultimately killed superpower détente (but not European détente, according to literature). </w:t>
      </w:r>
      <w:commentRangeEnd w:id="15"/>
      <w:r w:rsidR="001C505F">
        <w:rPr>
          <w:rStyle w:val="CommentReference"/>
          <w:rFonts w:ascii="Georgia" w:eastAsia="Georgia" w:hAnsi="Georgia" w:cs="Georgia"/>
          <w:sz w:val="22"/>
          <w:szCs w:val="22"/>
        </w:rPr>
        <w:commentReference w:id="15"/>
      </w:r>
      <w:r>
        <w:rPr>
          <w:rFonts w:ascii="Georgia" w:eastAsia="Georgia" w:hAnsi="Georgia" w:cs="Georgia"/>
        </w:rPr>
        <w:t>The Soviet decision to invade was not caused by domestic political considerations at all. Primarily, there were “fears of a serious setback in the strategic relationship with the United States that decided the timing of the December 1979 decision” (Westad 1997, 137). Some rationales: 1) “[t]he NATO decision to deploy a new class of medium-range nuclear missiles in Europe,” 2) “increasing reluctance in the US Senate to ratify the SALT II agreement,” 3) the burgeoning Islamic Republic of Iran sought to contain Communism (perhaps spreading to Afghanistan), 4) Islamist rebels improved their positions relative to the Moscow-aligned government in Kabul, 5) Afghanistan was right on the USSR’s border–something like Cuba to America (Westad 1997, 131-137). The Soviet Union’s position was assailed abroad, and the leadership was fragmented and aimless under Brezhnev’s nominal rule. Something had to happen.</w:t>
      </w:r>
    </w:p>
    <w:p w14:paraId="00000024" w14:textId="77777777" w:rsidR="00C07D58" w:rsidRDefault="00C07D58">
      <w:pPr>
        <w:rPr>
          <w:rFonts w:ascii="Georgia" w:eastAsia="Georgia" w:hAnsi="Georgia" w:cs="Georgia"/>
        </w:rPr>
      </w:pPr>
    </w:p>
    <w:p w14:paraId="00000025" w14:textId="77777777" w:rsidR="00C07D58" w:rsidRDefault="00000000">
      <w:pPr>
        <w:rPr>
          <w:rFonts w:ascii="Georgia" w:eastAsia="Georgia" w:hAnsi="Georgia" w:cs="Georgia"/>
        </w:rPr>
      </w:pPr>
      <w:r>
        <w:rPr>
          <w:rFonts w:ascii="Georgia" w:eastAsia="Georgia" w:hAnsi="Georgia" w:cs="Georgia"/>
        </w:rPr>
        <w:t>Altogether, détente was chiefly undermined by the Americans, and there are a plethora of direct links transforming public opinion and special interest groups into meaningful legislative roadblocks, among other events. On the Soviet side, domestic political considerations appear to be sidelined by foreign policy concerns and responses to American attitudes–largely being the receivers instead of the drivers of détente’s breakdown.</w:t>
      </w:r>
    </w:p>
    <w:p w14:paraId="00000026" w14:textId="77777777" w:rsidR="00C07D58" w:rsidRDefault="00C07D58">
      <w:pPr>
        <w:rPr>
          <w:rFonts w:ascii="Georgia" w:eastAsia="Georgia" w:hAnsi="Georgia" w:cs="Georgia"/>
        </w:rPr>
      </w:pPr>
    </w:p>
    <w:p w14:paraId="00000027" w14:textId="77777777" w:rsidR="00C07D58" w:rsidRDefault="00000000">
      <w:pPr>
        <w:rPr>
          <w:rFonts w:ascii="Georgia" w:eastAsia="Georgia" w:hAnsi="Georgia" w:cs="Georgia"/>
        </w:rPr>
      </w:pPr>
      <w:r>
        <w:rPr>
          <w:rFonts w:ascii="Georgia" w:eastAsia="Georgia" w:hAnsi="Georgia" w:cs="Georgia"/>
        </w:rPr>
        <w:t xml:space="preserve">To conclude, détente’s downfall was mostly a direct result of domestic political considerations. The same cannot be said about détente’s promotion, which was more so an observation of global economic and power changes, chiefly European ones. </w:t>
      </w:r>
      <w:commentRangeStart w:id="16"/>
      <w:r>
        <w:rPr>
          <w:rFonts w:ascii="Georgia" w:eastAsia="Georgia" w:hAnsi="Georgia" w:cs="Georgia"/>
        </w:rPr>
        <w:t>Then, it was Brezhnev’s unique character that took détente to its pinnacle.</w:t>
      </w:r>
      <w:r>
        <w:br w:type="page"/>
      </w:r>
      <w:commentRangeEnd w:id="16"/>
      <w:r w:rsidR="00BF45F3">
        <w:rPr>
          <w:rStyle w:val="CommentReference"/>
          <w:rFonts w:ascii="Georgia" w:eastAsia="Georgia" w:hAnsi="Georgia" w:cs="Georgia"/>
          <w:sz w:val="22"/>
          <w:szCs w:val="22"/>
        </w:rPr>
        <w:commentReference w:id="16"/>
      </w:r>
    </w:p>
    <w:p w14:paraId="00000028" w14:textId="77777777" w:rsidR="00C07D58" w:rsidRDefault="00000000">
      <w:pPr>
        <w:rPr>
          <w:rFonts w:ascii="Georgia" w:eastAsia="Georgia" w:hAnsi="Georgia" w:cs="Georgia"/>
          <w:b/>
          <w:bCs/>
        </w:rPr>
      </w:pPr>
      <w:r>
        <w:rPr>
          <w:rFonts w:ascii="Georgia" w:eastAsia="Georgia" w:hAnsi="Georgia" w:cs="Georgia"/>
          <w:b/>
          <w:bCs/>
        </w:rPr>
        <w:lastRenderedPageBreak/>
        <w:t>References</w:t>
      </w:r>
    </w:p>
    <w:p w14:paraId="00000029" w14:textId="77777777" w:rsidR="00C07D58" w:rsidRDefault="00C07D58">
      <w:pPr>
        <w:rPr>
          <w:rFonts w:ascii="Georgia" w:eastAsia="Georgia" w:hAnsi="Georgia" w:cs="Georgia"/>
        </w:rPr>
      </w:pPr>
    </w:p>
    <w:p w14:paraId="0000002A" w14:textId="77777777" w:rsidR="00C07D58" w:rsidRDefault="00000000">
      <w:pPr>
        <w:ind w:left="720" w:hanging="720"/>
        <w:rPr>
          <w:rFonts w:ascii="Georgia" w:eastAsia="Georgia" w:hAnsi="Georgia" w:cs="Georgia"/>
        </w:rPr>
      </w:pPr>
      <w:r>
        <w:rPr>
          <w:rFonts w:ascii="Georgia" w:eastAsia="Georgia" w:hAnsi="Georgia" w:cs="Georgia"/>
        </w:rPr>
        <w:t xml:space="preserve">Caldwell, Dan, ‘US Domestic Politics and the Demise of Détente’, in Westad, O A, </w:t>
      </w:r>
      <w:r>
        <w:rPr>
          <w:rFonts w:ascii="Georgia" w:eastAsia="Georgia" w:hAnsi="Georgia" w:cs="Georgia"/>
          <w:i/>
          <w:iCs/>
        </w:rPr>
        <w:t>The Fall of Détente: Soviet-American Relations in the Carter Years</w:t>
      </w:r>
      <w:r>
        <w:rPr>
          <w:rFonts w:ascii="Georgia" w:eastAsia="Georgia" w:hAnsi="Georgia" w:cs="Georgia"/>
        </w:rPr>
        <w:t>, 1997</w:t>
      </w:r>
    </w:p>
    <w:p w14:paraId="0000002B" w14:textId="77777777" w:rsidR="00C07D58" w:rsidRDefault="00000000">
      <w:pPr>
        <w:ind w:left="720" w:hanging="720"/>
        <w:rPr>
          <w:rFonts w:ascii="Georgia" w:eastAsia="Georgia" w:hAnsi="Georgia" w:cs="Georgia"/>
        </w:rPr>
      </w:pPr>
      <w:r>
        <w:rPr>
          <w:rFonts w:ascii="Georgia" w:eastAsia="Georgia" w:hAnsi="Georgia" w:cs="Georgia"/>
        </w:rPr>
        <w:t xml:space="preserve">Leffler, Melvyn P, </w:t>
      </w:r>
      <w:r>
        <w:rPr>
          <w:rFonts w:ascii="Georgia" w:eastAsia="Georgia" w:hAnsi="Georgia" w:cs="Georgia"/>
          <w:i/>
          <w:iCs/>
        </w:rPr>
        <w:t>For the Soul of Mankind: the United States, the Soviet Union and the Cold War</w:t>
      </w:r>
      <w:r>
        <w:rPr>
          <w:rFonts w:ascii="Georgia" w:eastAsia="Georgia" w:hAnsi="Georgia" w:cs="Georgia"/>
        </w:rPr>
        <w:t>, 2007</w:t>
      </w:r>
    </w:p>
    <w:p w14:paraId="0000002C" w14:textId="77777777" w:rsidR="00C07D58" w:rsidRDefault="00000000">
      <w:pPr>
        <w:ind w:left="720" w:hanging="720"/>
        <w:rPr>
          <w:rFonts w:ascii="Georgia" w:eastAsia="Georgia" w:hAnsi="Georgia" w:cs="Georgia"/>
        </w:rPr>
      </w:pPr>
      <w:r>
        <w:rPr>
          <w:rFonts w:ascii="Georgia" w:eastAsia="Georgia" w:hAnsi="Georgia" w:cs="Georgia"/>
        </w:rPr>
        <w:t xml:space="preserve">Mitchell, Nancy, ‘The Cold War and Jimmy Carter’, in Leffler, M, and Westad, O A, </w:t>
      </w:r>
      <w:r>
        <w:rPr>
          <w:rFonts w:ascii="Georgia" w:eastAsia="Georgia" w:hAnsi="Georgia" w:cs="Georgia"/>
          <w:i/>
          <w:iCs/>
        </w:rPr>
        <w:t>The Cambridge History of the Cold War</w:t>
      </w:r>
      <w:r>
        <w:rPr>
          <w:rFonts w:ascii="Georgia" w:eastAsia="Georgia" w:hAnsi="Georgia" w:cs="Georgia"/>
        </w:rPr>
        <w:t>, vol. 3 (2010)</w:t>
      </w:r>
    </w:p>
    <w:p w14:paraId="0000002D" w14:textId="77777777" w:rsidR="00C07D58" w:rsidRDefault="00000000">
      <w:pPr>
        <w:ind w:left="720" w:hanging="720"/>
        <w:rPr>
          <w:rFonts w:ascii="Georgia" w:eastAsia="Georgia" w:hAnsi="Georgia" w:cs="Georgia"/>
        </w:rPr>
      </w:pPr>
      <w:r>
        <w:rPr>
          <w:rFonts w:ascii="Georgia" w:eastAsia="Georgia" w:hAnsi="Georgia" w:cs="Georgia"/>
        </w:rPr>
        <w:t xml:space="preserve">Njolstad, Olav, ‘Keys of Keys?’, in Westad, O A, </w:t>
      </w:r>
      <w:r>
        <w:rPr>
          <w:rFonts w:ascii="Georgia" w:eastAsia="Georgia" w:hAnsi="Georgia" w:cs="Georgia"/>
          <w:i/>
          <w:iCs/>
        </w:rPr>
        <w:t>The Fall of Détente: Soviet-American Relations in the Carter Years</w:t>
      </w:r>
      <w:r>
        <w:rPr>
          <w:rFonts w:ascii="Georgia" w:eastAsia="Georgia" w:hAnsi="Georgia" w:cs="Georgia"/>
        </w:rPr>
        <w:t>, 1997</w:t>
      </w:r>
    </w:p>
    <w:p w14:paraId="0000002E" w14:textId="77777777" w:rsidR="00C07D58" w:rsidRDefault="00000000">
      <w:pPr>
        <w:ind w:left="720" w:hanging="720"/>
        <w:rPr>
          <w:rFonts w:ascii="Georgia" w:eastAsia="Georgia" w:hAnsi="Georgia" w:cs="Georgia"/>
        </w:rPr>
      </w:pPr>
      <w:r>
        <w:rPr>
          <w:rFonts w:ascii="Georgia" w:eastAsia="Georgia" w:hAnsi="Georgia" w:cs="Georgia"/>
        </w:rPr>
        <w:t xml:space="preserve">Njolstad, Olav, ‘The Collapse of Superpower Détente, 1975-1980’, in Leffler, M, and Westad, O A, </w:t>
      </w:r>
      <w:r>
        <w:rPr>
          <w:rFonts w:ascii="Georgia" w:eastAsia="Georgia" w:hAnsi="Georgia" w:cs="Georgia"/>
          <w:i/>
          <w:iCs/>
        </w:rPr>
        <w:t>The Cambridge History of the Cold War</w:t>
      </w:r>
      <w:r>
        <w:rPr>
          <w:rFonts w:ascii="Georgia" w:eastAsia="Georgia" w:hAnsi="Georgia" w:cs="Georgia"/>
        </w:rPr>
        <w:t>, vol. 3 (2010)</w:t>
      </w:r>
    </w:p>
    <w:p w14:paraId="0000002F" w14:textId="77777777" w:rsidR="00C07D58" w:rsidRDefault="00000000">
      <w:pPr>
        <w:ind w:left="720" w:hanging="720"/>
        <w:rPr>
          <w:rFonts w:ascii="Georgia" w:eastAsia="Georgia" w:hAnsi="Georgia" w:cs="Georgia"/>
        </w:rPr>
      </w:pPr>
      <w:r>
        <w:rPr>
          <w:rFonts w:ascii="Georgia" w:eastAsia="Georgia" w:hAnsi="Georgia" w:cs="Georgia"/>
        </w:rPr>
        <w:t xml:space="preserve">Saivetz, Carol R., ‘Superpower Competition’, in Westad, O A, </w:t>
      </w:r>
      <w:r>
        <w:rPr>
          <w:rFonts w:ascii="Georgia" w:eastAsia="Georgia" w:hAnsi="Georgia" w:cs="Georgia"/>
          <w:i/>
          <w:iCs/>
        </w:rPr>
        <w:t>The Fall of Détente: Soviet-American Relations in the Carter Years</w:t>
      </w:r>
      <w:r>
        <w:rPr>
          <w:rFonts w:ascii="Georgia" w:eastAsia="Georgia" w:hAnsi="Georgia" w:cs="Georgia"/>
        </w:rPr>
        <w:t>, 1997</w:t>
      </w:r>
    </w:p>
    <w:p w14:paraId="00000030" w14:textId="77777777" w:rsidR="00C07D58" w:rsidRDefault="00000000">
      <w:pPr>
        <w:ind w:left="720" w:hanging="720"/>
        <w:rPr>
          <w:rFonts w:ascii="Georgia" w:eastAsia="Georgia" w:hAnsi="Georgia" w:cs="Georgia"/>
        </w:rPr>
      </w:pPr>
      <w:r>
        <w:rPr>
          <w:rFonts w:ascii="Georgia" w:eastAsia="Georgia" w:hAnsi="Georgia" w:cs="Georgia"/>
        </w:rPr>
        <w:t xml:space="preserve">Savranskaya, Svetlana and William Taubman, ‘Soviet Foreign Policy, 1962-1975’, in Leffler, M, and Westad, O A, </w:t>
      </w:r>
      <w:r>
        <w:rPr>
          <w:rFonts w:ascii="Georgia" w:eastAsia="Georgia" w:hAnsi="Georgia" w:cs="Georgia"/>
          <w:i/>
          <w:iCs/>
        </w:rPr>
        <w:t>The Cambridge History of the Cold War</w:t>
      </w:r>
      <w:r>
        <w:rPr>
          <w:rFonts w:ascii="Georgia" w:eastAsia="Georgia" w:hAnsi="Georgia" w:cs="Georgia"/>
        </w:rPr>
        <w:t>, vol. 2 (2010)</w:t>
      </w:r>
    </w:p>
    <w:p w14:paraId="00000031" w14:textId="77777777" w:rsidR="00C07D58" w:rsidRDefault="00000000">
      <w:pPr>
        <w:ind w:left="720" w:hanging="720"/>
        <w:rPr>
          <w:rFonts w:ascii="Georgia" w:eastAsia="Georgia" w:hAnsi="Georgia" w:cs="Georgia"/>
        </w:rPr>
      </w:pPr>
      <w:r>
        <w:rPr>
          <w:rFonts w:ascii="Georgia" w:eastAsia="Georgia" w:hAnsi="Georgia" w:cs="Georgia"/>
        </w:rPr>
        <w:t xml:space="preserve">Schulzinger, Robert D., ‘Détente in the Nixon-Ford Years’, 1969-1976’, in Leffler, M, and Westad, O A, </w:t>
      </w:r>
      <w:r>
        <w:rPr>
          <w:rFonts w:ascii="Georgia" w:eastAsia="Georgia" w:hAnsi="Georgia" w:cs="Georgia"/>
          <w:i/>
          <w:iCs/>
        </w:rPr>
        <w:t>The Cambridge History of the Cold War</w:t>
      </w:r>
      <w:r>
        <w:rPr>
          <w:rFonts w:ascii="Georgia" w:eastAsia="Georgia" w:hAnsi="Georgia" w:cs="Georgia"/>
        </w:rPr>
        <w:t>, vol. 2 (2010)</w:t>
      </w:r>
    </w:p>
    <w:p w14:paraId="00000032" w14:textId="77777777" w:rsidR="00C07D58" w:rsidRDefault="00000000">
      <w:pPr>
        <w:ind w:left="720" w:hanging="720"/>
        <w:rPr>
          <w:rFonts w:ascii="Georgia" w:eastAsia="Georgia" w:hAnsi="Georgia" w:cs="Georgia"/>
        </w:rPr>
      </w:pPr>
      <w:r>
        <w:rPr>
          <w:rFonts w:ascii="Georgia" w:eastAsia="Georgia" w:hAnsi="Georgia" w:cs="Georgia"/>
        </w:rPr>
        <w:t xml:space="preserve">Westad, O A, ‘The Road to Kabul’, in Westad, O A, </w:t>
      </w:r>
      <w:r>
        <w:rPr>
          <w:rFonts w:ascii="Georgia" w:eastAsia="Georgia" w:hAnsi="Georgia" w:cs="Georgia"/>
          <w:i/>
          <w:iCs/>
        </w:rPr>
        <w:t>The Fall of Détente: Soviet-American Relations in the Carter Years</w:t>
      </w:r>
      <w:r>
        <w:rPr>
          <w:rFonts w:ascii="Georgia" w:eastAsia="Georgia" w:hAnsi="Georgia" w:cs="Georgia"/>
        </w:rPr>
        <w:t>, 1997</w:t>
      </w:r>
    </w:p>
    <w:p w14:paraId="00000033" w14:textId="77777777" w:rsidR="00C07D58" w:rsidRDefault="00000000">
      <w:pPr>
        <w:ind w:left="720" w:hanging="720"/>
        <w:rPr>
          <w:rFonts w:ascii="Georgia" w:eastAsia="Georgia" w:hAnsi="Georgia" w:cs="Georgia"/>
        </w:rPr>
      </w:pPr>
      <w:r>
        <w:rPr>
          <w:rFonts w:ascii="Georgia" w:eastAsia="Georgia" w:hAnsi="Georgia" w:cs="Georgia"/>
        </w:rPr>
        <w:t xml:space="preserve">Zubok, Vladislav, </w:t>
      </w:r>
      <w:r>
        <w:rPr>
          <w:rFonts w:ascii="Georgia" w:eastAsia="Georgia" w:hAnsi="Georgia" w:cs="Georgia"/>
          <w:i/>
          <w:iCs/>
        </w:rPr>
        <w:t>A Failed Empire: The Soviet Union in the Cold War from Stalin to Gorbachev</w:t>
      </w:r>
      <w:r>
        <w:rPr>
          <w:rFonts w:ascii="Georgia" w:eastAsia="Georgia" w:hAnsi="Georgia" w:cs="Georgia"/>
        </w:rPr>
        <w:t>, 2007</w:t>
      </w:r>
    </w:p>
    <w:sectPr w:rsidR="00C07D58">
      <w:headerReference w:type="default" r:id="rId1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Holcroft" w:date="2026-02-06T15:50:00Z" w:initials="SH">
    <w:p w14:paraId="0E2F88E3" w14:textId="1623B092" w:rsidR="00DC2742" w:rsidRDefault="00DC2742" w:rsidP="00DC2742">
      <w:r>
        <w:rPr>
          <w:rStyle w:val="CommentReference"/>
        </w:rPr>
        <w:annotationRef/>
      </w:r>
      <w:r>
        <w:rPr>
          <w:sz w:val="20"/>
          <w:szCs w:val="20"/>
        </w:rPr>
        <w:t xml:space="preserve">But it doesn't fall flat as an explanation for the American motivation for détente, and the Soviets </w:t>
      </w:r>
      <w:r>
        <w:rPr>
          <w:i/>
          <w:iCs/>
          <w:sz w:val="20"/>
          <w:szCs w:val="20"/>
        </w:rPr>
        <w:t xml:space="preserve">did </w:t>
      </w:r>
      <w:r>
        <w:rPr>
          <w:sz w:val="20"/>
          <w:szCs w:val="20"/>
        </w:rPr>
        <w:t>come to the table after Nixon went to China.</w:t>
      </w:r>
    </w:p>
    <w:p w14:paraId="50A32868" w14:textId="77777777" w:rsidR="00DC2742" w:rsidRDefault="00DC2742" w:rsidP="00DC2742"/>
    <w:p w14:paraId="4BBD8C3E" w14:textId="77777777" w:rsidR="00DC2742" w:rsidRDefault="00DC2742" w:rsidP="00DC2742">
      <w:r>
        <w:rPr>
          <w:sz w:val="20"/>
          <w:szCs w:val="20"/>
        </w:rPr>
        <w:t>Kissinger and Nixon were actually misled about Moscow's capacity to influence Hanoi. It resulted in the promotion of détente, in any case.</w:t>
      </w:r>
    </w:p>
  </w:comment>
  <w:comment w:id="1" w:author="Samuel Holcroft" w:date="2026-02-06T15:56:00Z" w:initials="SH">
    <w:p w14:paraId="0527411E" w14:textId="77777777" w:rsidR="00DC2742" w:rsidRDefault="00DC2742" w:rsidP="00DC2742">
      <w:r>
        <w:rPr>
          <w:rStyle w:val="CommentReference"/>
        </w:rPr>
        <w:annotationRef/>
      </w:r>
      <w:r>
        <w:rPr>
          <w:sz w:val="20"/>
          <w:szCs w:val="20"/>
        </w:rPr>
        <w:t>Good, but I don't fully understand why you consider Soviet engagement in détente as more significant – if anything, the Soviets had been open to détente (understood as the normalisation of superpower relations) for some time.</w:t>
      </w:r>
    </w:p>
    <w:p w14:paraId="4DF9C8B4" w14:textId="77777777" w:rsidR="00DC2742" w:rsidRDefault="00DC2742" w:rsidP="00DC2742"/>
    <w:p w14:paraId="6EA38A38" w14:textId="77777777" w:rsidR="00DC2742" w:rsidRDefault="00DC2742" w:rsidP="00DC2742">
      <w:r>
        <w:rPr>
          <w:sz w:val="20"/>
          <w:szCs w:val="20"/>
        </w:rPr>
        <w:t xml:space="preserve">In general, I would recommend that you use your first paragraph to introduce the structure of your essay, briefly covering how your argument is going to proceed. It can often help to write this </w:t>
      </w:r>
      <w:r>
        <w:rPr>
          <w:i/>
          <w:iCs/>
          <w:sz w:val="20"/>
          <w:szCs w:val="20"/>
        </w:rPr>
        <w:t xml:space="preserve">after </w:t>
      </w:r>
      <w:r>
        <w:rPr>
          <w:sz w:val="20"/>
          <w:szCs w:val="20"/>
        </w:rPr>
        <w:t>having written the rest of the essay.</w:t>
      </w:r>
    </w:p>
  </w:comment>
  <w:comment w:id="2" w:author="Samuel Holcroft" w:date="2026-02-06T15:58:00Z" w:initials="SH">
    <w:p w14:paraId="57EA1686" w14:textId="77777777" w:rsidR="00DC2742" w:rsidRDefault="00DC2742" w:rsidP="00DC2742">
      <w:r>
        <w:rPr>
          <w:rStyle w:val="CommentReference"/>
        </w:rPr>
        <w:annotationRef/>
      </w:r>
      <w:r>
        <w:rPr>
          <w:sz w:val="20"/>
          <w:szCs w:val="20"/>
        </w:rPr>
        <w:t>Good. Worth noting that De Gaulle also reached out to Eastern European states like Romania (which he visited in 1968) in an attempt to promote a European détente separate from the two-bloc system; this understanding of détente could not be more different from the Soviet understanding, which was about the ratification of that system.</w:t>
      </w:r>
    </w:p>
  </w:comment>
  <w:comment w:id="3" w:author="Samuel Holcroft" w:date="2026-02-06T16:05:00Z" w:initials="SH">
    <w:p w14:paraId="25C1DE12" w14:textId="77777777" w:rsidR="00D14FFF" w:rsidRDefault="00D14FFF" w:rsidP="00D14FFF">
      <w:r>
        <w:rPr>
          <w:rStyle w:val="CommentReference"/>
        </w:rPr>
        <w:annotationRef/>
      </w:r>
      <w:r>
        <w:rPr>
          <w:sz w:val="20"/>
          <w:szCs w:val="20"/>
        </w:rPr>
        <w:t xml:space="preserve">Excellent summary. Again, though, when we look underneath détente we find very different national motivations: </w:t>
      </w:r>
      <w:r>
        <w:rPr>
          <w:i/>
          <w:iCs/>
          <w:sz w:val="20"/>
          <w:szCs w:val="20"/>
        </w:rPr>
        <w:t xml:space="preserve">Ostpolitik </w:t>
      </w:r>
      <w:r>
        <w:rPr>
          <w:sz w:val="20"/>
          <w:szCs w:val="20"/>
        </w:rPr>
        <w:t>was ultimately a different way of arriving at the reunification of Germany. The recognition of the status quo and the existence of the GDR was intended to nurture the interdependency that would eventually topple that system; this was obviously incompatible with the Soviet/Eastern Bloc understanding of détente.</w:t>
      </w:r>
    </w:p>
  </w:comment>
  <w:comment w:id="4" w:author="Samuel Holcroft" w:date="2026-02-05T12:59:00Z" w:initials="SH">
    <w:p w14:paraId="45B42AE4" w14:textId="77777777" w:rsidR="00424EC0" w:rsidRDefault="005F7A64" w:rsidP="00424EC0">
      <w:r>
        <w:rPr>
          <w:rStyle w:val="CommentReference"/>
        </w:rPr>
        <w:annotationRef/>
      </w:r>
      <w:r w:rsidR="00424EC0">
        <w:rPr>
          <w:sz w:val="20"/>
          <w:szCs w:val="20"/>
        </w:rPr>
        <w:t xml:space="preserve">Brezhnev certainly represented a calmer figure than Khrushchev, without the latter's tendency towards geopolitical gambles and brinksmanship. But the philosophy of peaceful coexistence had been around, on the Soviet side, for a while – as part of their socialisation into the international system, we might say, the Soviets had come to crave recognition of their equal superpower status.  </w:t>
      </w:r>
    </w:p>
  </w:comment>
  <w:comment w:id="5" w:author="Samuel Holcroft" w:date="2026-02-06T16:11:00Z" w:initials="SH">
    <w:p w14:paraId="121565F4" w14:textId="77777777" w:rsidR="00424EC0" w:rsidRDefault="00424EC0" w:rsidP="00424EC0">
      <w:r>
        <w:rPr>
          <w:rStyle w:val="CommentReference"/>
        </w:rPr>
        <w:annotationRef/>
      </w:r>
      <w:r>
        <w:rPr>
          <w:sz w:val="20"/>
          <w:szCs w:val="20"/>
        </w:rPr>
        <w:t>Right – exactly. But wasn't this a long-term shift, and doesn't it suggest that Brezhnev's personality was less important than this long-term shift in Soviet preferences?</w:t>
      </w:r>
    </w:p>
  </w:comment>
  <w:comment w:id="6" w:author="Samuel Holcroft" w:date="2026-02-06T16:11:00Z" w:initials="SH">
    <w:p w14:paraId="6F42CE0C" w14:textId="77777777" w:rsidR="00424EC0" w:rsidRDefault="00424EC0" w:rsidP="00424EC0">
      <w:r>
        <w:rPr>
          <w:rStyle w:val="CommentReference"/>
        </w:rPr>
        <w:annotationRef/>
      </w:r>
      <w:r>
        <w:rPr>
          <w:sz w:val="20"/>
          <w:szCs w:val="20"/>
        </w:rPr>
        <w:t>Excellent</w:t>
      </w:r>
    </w:p>
  </w:comment>
  <w:comment w:id="7" w:author="Samuel Holcroft" w:date="2026-02-06T16:15:00Z" w:initials="SH">
    <w:p w14:paraId="0C63FC26" w14:textId="77777777" w:rsidR="00424EC0" w:rsidRDefault="00424EC0" w:rsidP="00424EC0">
      <w:r>
        <w:rPr>
          <w:rStyle w:val="CommentReference"/>
        </w:rPr>
        <w:annotationRef/>
      </w:r>
      <w:r>
        <w:rPr>
          <w:sz w:val="20"/>
          <w:szCs w:val="20"/>
        </w:rPr>
        <w:t>Indeed. Anders Stephanson interestingly suggests that nuclear bombs and nuclear strategy itself served as an important "ideology killer" – nuclear strategists from the mid-1950s presupposed a kind of rational calculation of costs and benefits on both sides; there was a tacit recognition of sameness here.</w:t>
      </w:r>
    </w:p>
  </w:comment>
  <w:comment w:id="8" w:author="Samuel Holcroft" w:date="2026-02-06T16:20:00Z" w:initials="SH">
    <w:p w14:paraId="79FBA0AB" w14:textId="77777777" w:rsidR="001C505F" w:rsidRDefault="001C505F" w:rsidP="001C505F">
      <w:r>
        <w:rPr>
          <w:rStyle w:val="CommentReference"/>
        </w:rPr>
        <w:annotationRef/>
      </w:r>
      <w:r>
        <w:rPr>
          <w:sz w:val="20"/>
          <w:szCs w:val="20"/>
        </w:rPr>
        <w:t xml:space="preserve">Very good, and the invocation of human rights in basket III simultaneously became a weapon for neoconservatives and Soviet bloc dissidents to contest Soviet legitimacy all over again. We might say, then, that the Helsinki Final Act represents the culmination of détente as well as the beginning of the end. </w:t>
      </w:r>
    </w:p>
    <w:p w14:paraId="454FC51E" w14:textId="77777777" w:rsidR="001C505F" w:rsidRDefault="001C505F" w:rsidP="001C505F"/>
    <w:p w14:paraId="2049F9A0" w14:textId="77777777" w:rsidR="001C505F" w:rsidRDefault="001C505F" w:rsidP="001C505F">
      <w:r>
        <w:rPr>
          <w:sz w:val="20"/>
          <w:szCs w:val="20"/>
        </w:rPr>
        <w:t>Helsinki also brings superpower détente and European détente together, and shows how varied, if not incompatible, the different parties of détente were in their motivations. See this excerpt from Andrew Preston (</w:t>
      </w:r>
      <w:hyperlink r:id="rId1" w:history="1">
        <w:r w:rsidRPr="00582F69">
          <w:rPr>
            <w:rStyle w:val="Hyperlink"/>
            <w:sz w:val="20"/>
            <w:szCs w:val="20"/>
          </w:rPr>
          <w:t>https://www.lrb.co.uk/the-paper/v41/n12/andrew-preston/heresy-from-lesser-voices</w:t>
        </w:r>
      </w:hyperlink>
      <w:r>
        <w:rPr>
          <w:sz w:val="20"/>
          <w:szCs w:val="20"/>
        </w:rPr>
        <w:t>):</w:t>
      </w:r>
    </w:p>
    <w:p w14:paraId="50FA2DEA" w14:textId="77777777" w:rsidR="001C505F" w:rsidRDefault="001C505F" w:rsidP="001C505F"/>
    <w:p w14:paraId="28C04C17" w14:textId="77777777" w:rsidR="001C505F" w:rsidRDefault="001C505F" w:rsidP="001C505F">
      <w:r>
        <w:rPr>
          <w:sz w:val="20"/>
          <w:szCs w:val="20"/>
        </w:rPr>
        <w:t>"</w:t>
      </w:r>
      <w:r>
        <w:rPr>
          <w:color w:val="484546"/>
          <w:sz w:val="20"/>
          <w:szCs w:val="20"/>
        </w:rPr>
        <w:t>From the beginning, the Americans showed little serious interest in the CSCE, agreeing to participate mainly in order to further the emerging détente with Moscow. Henry Kissinger could have played a starring role if he’d wanted to, but he worried that the Western Europeans’ obsession with human rights and freedom of movement would interfere with superpower détente, especially the delicate negotiations over nuclear arms control. He was happy to facilitate the Soviets’ objective of greater stability – that was his aim too – and he even worked behind the scenes with Soviet diplomats to counteract some of the efforts made by America’s Western partners. ‘Our allies are getting totally obnoxious,’ he complained when they pressed for further Soviet concessions on the free exchange of information. The Western Europeans and Canadians saw things differently. They didn’t want to stabilise the Cold War so much as transcend it..."</w:t>
      </w:r>
    </w:p>
    <w:p w14:paraId="7433DF46" w14:textId="77777777" w:rsidR="001C505F" w:rsidRDefault="001C505F" w:rsidP="001C505F"/>
    <w:p w14:paraId="113BE4D2" w14:textId="77777777" w:rsidR="001C505F" w:rsidRDefault="001C505F" w:rsidP="001C505F">
      <w:r>
        <w:rPr>
          <w:color w:val="484546"/>
          <w:sz w:val="20"/>
          <w:szCs w:val="20"/>
        </w:rPr>
        <w:t>Like détente more generally, then, we might say that different actors saw what they wanted to see in Helsinki – that the rapprochement depended on this ambiguity, and unravelled when these different understandings of the rapprochement were exposed.</w:t>
      </w:r>
    </w:p>
  </w:comment>
  <w:comment w:id="9" w:author="Samuel Holcroft" w:date="2026-02-06T16:22:00Z" w:initials="SH">
    <w:p w14:paraId="59576C51" w14:textId="77777777" w:rsidR="001C505F" w:rsidRDefault="001C505F" w:rsidP="001C505F">
      <w:r>
        <w:rPr>
          <w:rStyle w:val="CommentReference"/>
        </w:rPr>
        <w:annotationRef/>
      </w:r>
      <w:r>
        <w:rPr>
          <w:sz w:val="20"/>
          <w:szCs w:val="20"/>
        </w:rPr>
        <w:t>I agree – Nixon's ouster was hugely important – but then why don't you give Nixon more credit for the beginning of détente?</w:t>
      </w:r>
    </w:p>
  </w:comment>
  <w:comment w:id="10" w:author="Samuel Holcroft" w:date="2026-02-06T16:22:00Z" w:initials="SH">
    <w:p w14:paraId="7830138C" w14:textId="77777777" w:rsidR="001C505F" w:rsidRDefault="001C505F" w:rsidP="001C505F">
      <w:r>
        <w:rPr>
          <w:rStyle w:val="CommentReference"/>
        </w:rPr>
        <w:annotationRef/>
      </w:r>
      <w:r>
        <w:rPr>
          <w:sz w:val="20"/>
          <w:szCs w:val="20"/>
        </w:rPr>
        <w:t>Excellent paragraph!</w:t>
      </w:r>
    </w:p>
  </w:comment>
  <w:comment w:id="11" w:author="Samuel Holcroft" w:date="2026-02-06T16:23:00Z" w:initials="SH">
    <w:p w14:paraId="7D8B46C4" w14:textId="77777777" w:rsidR="001C505F" w:rsidRDefault="001C505F" w:rsidP="001C505F">
      <w:r>
        <w:rPr>
          <w:rStyle w:val="CommentReference"/>
        </w:rPr>
        <w:annotationRef/>
      </w:r>
      <w:r>
        <w:rPr>
          <w:sz w:val="20"/>
          <w:szCs w:val="20"/>
        </w:rPr>
        <w:t>Good</w:t>
      </w:r>
    </w:p>
  </w:comment>
  <w:comment w:id="12" w:author="Samuel Holcroft" w:date="2026-02-06T16:25:00Z" w:initials="SH">
    <w:p w14:paraId="54AAA603" w14:textId="77777777" w:rsidR="001C505F" w:rsidRDefault="001C505F" w:rsidP="001C505F">
      <w:r>
        <w:rPr>
          <w:rStyle w:val="CommentReference"/>
        </w:rPr>
        <w:annotationRef/>
      </w:r>
      <w:r>
        <w:rPr>
          <w:sz w:val="20"/>
          <w:szCs w:val="20"/>
        </w:rPr>
        <w:t xml:space="preserve">What do you make of arguments about the heterogeneity of Soviet bureaucracy? I’m thinking of Westad's argument in the </w:t>
      </w:r>
      <w:r>
        <w:rPr>
          <w:i/>
          <w:iCs/>
          <w:sz w:val="20"/>
          <w:szCs w:val="20"/>
        </w:rPr>
        <w:t xml:space="preserve">Global Cold War </w:t>
      </w:r>
      <w:r>
        <w:rPr>
          <w:sz w:val="20"/>
          <w:szCs w:val="20"/>
        </w:rPr>
        <w:t xml:space="preserve">that from the early 1970s on there was “a kind of division of power, in which Foreign Minister Gromyko’s supremacy as the main interpreter of Brezhnev’s </w:t>
      </w:r>
      <w:r>
        <w:rPr>
          <w:i/>
          <w:iCs/>
          <w:sz w:val="20"/>
          <w:szCs w:val="20"/>
        </w:rPr>
        <w:t xml:space="preserve">détente </w:t>
      </w:r>
      <w:r>
        <w:rPr>
          <w:sz w:val="20"/>
          <w:szCs w:val="20"/>
        </w:rPr>
        <w:t xml:space="preserve">policies was kept intact, but where an increasing amount of policy initiatives </w:t>
      </w:r>
      <w:r>
        <w:rPr>
          <w:i/>
          <w:iCs/>
          <w:sz w:val="20"/>
          <w:szCs w:val="20"/>
        </w:rPr>
        <w:t xml:space="preserve">outside </w:t>
      </w:r>
      <w:r>
        <w:rPr>
          <w:sz w:val="20"/>
          <w:szCs w:val="20"/>
        </w:rPr>
        <w:t xml:space="preserve">the immediate </w:t>
      </w:r>
      <w:r>
        <w:rPr>
          <w:i/>
          <w:iCs/>
          <w:sz w:val="20"/>
          <w:szCs w:val="20"/>
        </w:rPr>
        <w:t xml:space="preserve">détente </w:t>
      </w:r>
      <w:r>
        <w:rPr>
          <w:sz w:val="20"/>
          <w:szCs w:val="20"/>
        </w:rPr>
        <w:t>framework were left to the CC departments and the KGB.” This would be a slightly different way of explaining the Soviets’ more daring policies in the Third World.</w:t>
      </w:r>
    </w:p>
  </w:comment>
  <w:comment w:id="13" w:author="Samuel Holcroft" w:date="2026-02-06T16:26:00Z" w:initials="SH">
    <w:p w14:paraId="07DB4B7A" w14:textId="77777777" w:rsidR="001C505F" w:rsidRDefault="001C505F" w:rsidP="001C505F">
      <w:r>
        <w:rPr>
          <w:rStyle w:val="CommentReference"/>
        </w:rPr>
        <w:annotationRef/>
      </w:r>
      <w:r>
        <w:rPr>
          <w:sz w:val="20"/>
          <w:szCs w:val="20"/>
        </w:rPr>
        <w:t>Yes – massively important</w:t>
      </w:r>
    </w:p>
  </w:comment>
  <w:comment w:id="14" w:author="Samuel Holcroft" w:date="2026-02-06T16:26:00Z" w:initials="SH">
    <w:p w14:paraId="47943A88" w14:textId="77777777" w:rsidR="001C505F" w:rsidRDefault="001C505F" w:rsidP="001C505F">
      <w:r>
        <w:rPr>
          <w:rStyle w:val="CommentReference"/>
        </w:rPr>
        <w:annotationRef/>
      </w:r>
      <w:r>
        <w:rPr>
          <w:sz w:val="20"/>
          <w:szCs w:val="20"/>
        </w:rPr>
        <w:t>Very good</w:t>
      </w:r>
    </w:p>
  </w:comment>
  <w:comment w:id="15" w:author="Samuel Holcroft" w:date="2026-02-06T16:27:00Z" w:initials="SH">
    <w:p w14:paraId="53B976CC" w14:textId="77777777" w:rsidR="001C505F" w:rsidRDefault="001C505F" w:rsidP="001C505F">
      <w:r>
        <w:rPr>
          <w:rStyle w:val="CommentReference"/>
        </w:rPr>
        <w:annotationRef/>
      </w:r>
      <w:r>
        <w:rPr>
          <w:sz w:val="20"/>
          <w:szCs w:val="20"/>
        </w:rPr>
        <w:t>Not Angola or the Ogaden War?</w:t>
      </w:r>
    </w:p>
  </w:comment>
  <w:comment w:id="16" w:author="Samuel Holcroft" w:date="2026-02-06T16:40:00Z" w:initials="SH">
    <w:p w14:paraId="29A9890D" w14:textId="77777777" w:rsidR="00BF45F3" w:rsidRDefault="00BF45F3" w:rsidP="00BF45F3">
      <w:r>
        <w:rPr>
          <w:rStyle w:val="CommentReference"/>
        </w:rPr>
        <w:annotationRef/>
      </w:r>
      <w:r>
        <w:rPr>
          <w:sz w:val="20"/>
          <w:szCs w:val="20"/>
        </w:rPr>
        <w:t>This is your best essay yet, with some really crisp exposition of complex events. The characterisation of the Soviet story is deep and persuasive. I'm  only left unsure as to why you minimise the role of Nixon and Kissinger and the change in American foreign policy – you dispense with this quite quickly at the beginning, but I would argue that this was at least as important as the Soviet and European motivations for détente.</w:t>
      </w:r>
    </w:p>
    <w:p w14:paraId="67FB8665" w14:textId="77777777" w:rsidR="00BF45F3" w:rsidRDefault="00BF45F3" w:rsidP="00BF45F3"/>
    <w:p w14:paraId="3349E143" w14:textId="77777777" w:rsidR="00BF45F3" w:rsidRDefault="00BF45F3" w:rsidP="00BF45F3">
      <w:r>
        <w:rPr>
          <w:sz w:val="20"/>
          <w:szCs w:val="20"/>
        </w:rPr>
        <w:t>Finally, see my comments above on the polyvalence of détente. If the European détente lasted longer than superpower détente – as you hint at one point – should we even speak of it as one process, or were there two (or more) détentes?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BD8C3E" w15:done="0"/>
  <w15:commentEx w15:paraId="6EA38A38" w15:done="0"/>
  <w15:commentEx w15:paraId="57EA1686" w15:done="0"/>
  <w15:commentEx w15:paraId="25C1DE12" w15:done="0"/>
  <w15:commentEx w15:paraId="45B42AE4" w15:done="0"/>
  <w15:commentEx w15:paraId="121565F4" w15:done="0"/>
  <w15:commentEx w15:paraId="6F42CE0C" w15:done="0"/>
  <w15:commentEx w15:paraId="0C63FC26" w15:done="0"/>
  <w15:commentEx w15:paraId="113BE4D2" w15:done="0"/>
  <w15:commentEx w15:paraId="59576C51" w15:done="0"/>
  <w15:commentEx w15:paraId="7830138C" w15:done="0"/>
  <w15:commentEx w15:paraId="7D8B46C4" w15:done="0"/>
  <w15:commentEx w15:paraId="54AAA603" w15:done="0"/>
  <w15:commentEx w15:paraId="07DB4B7A" w15:done="0"/>
  <w15:commentEx w15:paraId="47943A88" w15:done="0"/>
  <w15:commentEx w15:paraId="53B976CC" w15:done="0"/>
  <w15:commentEx w15:paraId="3349E1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CB0EF" w16cex:dateUtc="2026-02-06T15:50:00Z"/>
  <w16cex:commentExtensible w16cex:durableId="4BC43B85" w16cex:dateUtc="2026-02-06T15:56:00Z"/>
  <w16cex:commentExtensible w16cex:durableId="4A1B04D3" w16cex:dateUtc="2026-02-06T15:58:00Z"/>
  <w16cex:commentExtensible w16cex:durableId="71935F0A" w16cex:dateUtc="2026-02-06T16:05:00Z"/>
  <w16cex:commentExtensible w16cex:durableId="6944C571" w16cex:dateUtc="2026-02-05T12:59:00Z"/>
  <w16cex:commentExtensible w16cex:durableId="10A1F3C6" w16cex:dateUtc="2026-02-06T16:11:00Z"/>
  <w16cex:commentExtensible w16cex:durableId="4892220B" w16cex:dateUtc="2026-02-06T16:11:00Z"/>
  <w16cex:commentExtensible w16cex:durableId="74C8556E" w16cex:dateUtc="2026-02-06T16:15:00Z"/>
  <w16cex:commentExtensible w16cex:durableId="25F4AC3B" w16cex:dateUtc="2026-02-06T16:20:00Z"/>
  <w16cex:commentExtensible w16cex:durableId="5944068F" w16cex:dateUtc="2026-02-06T16:22:00Z"/>
  <w16cex:commentExtensible w16cex:durableId="5D516C4E" w16cex:dateUtc="2026-02-06T16:22:00Z"/>
  <w16cex:commentExtensible w16cex:durableId="28808F4A" w16cex:dateUtc="2026-02-06T16:23:00Z"/>
  <w16cex:commentExtensible w16cex:durableId="7A291019" w16cex:dateUtc="2026-02-06T16:25:00Z"/>
  <w16cex:commentExtensible w16cex:durableId="3AD7D02D" w16cex:dateUtc="2026-02-06T16:26:00Z"/>
  <w16cex:commentExtensible w16cex:durableId="0A253260" w16cex:dateUtc="2026-02-06T16:26:00Z"/>
  <w16cex:commentExtensible w16cex:durableId="67366146" w16cex:dateUtc="2026-02-06T16:27:00Z"/>
  <w16cex:commentExtensible w16cex:durableId="0E6D9A91" w16cex:dateUtc="2026-02-06T1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BD8C3E" w16cid:durableId="450CB0EF"/>
  <w16cid:commentId w16cid:paraId="6EA38A38" w16cid:durableId="4BC43B85"/>
  <w16cid:commentId w16cid:paraId="57EA1686" w16cid:durableId="4A1B04D3"/>
  <w16cid:commentId w16cid:paraId="25C1DE12" w16cid:durableId="71935F0A"/>
  <w16cid:commentId w16cid:paraId="45B42AE4" w16cid:durableId="6944C571"/>
  <w16cid:commentId w16cid:paraId="121565F4" w16cid:durableId="10A1F3C6"/>
  <w16cid:commentId w16cid:paraId="6F42CE0C" w16cid:durableId="4892220B"/>
  <w16cid:commentId w16cid:paraId="0C63FC26" w16cid:durableId="74C8556E"/>
  <w16cid:commentId w16cid:paraId="113BE4D2" w16cid:durableId="25F4AC3B"/>
  <w16cid:commentId w16cid:paraId="59576C51" w16cid:durableId="5944068F"/>
  <w16cid:commentId w16cid:paraId="7830138C" w16cid:durableId="5D516C4E"/>
  <w16cid:commentId w16cid:paraId="7D8B46C4" w16cid:durableId="28808F4A"/>
  <w16cid:commentId w16cid:paraId="54AAA603" w16cid:durableId="7A291019"/>
  <w16cid:commentId w16cid:paraId="07DB4B7A" w16cid:durableId="3AD7D02D"/>
  <w16cid:commentId w16cid:paraId="47943A88" w16cid:durableId="0A253260"/>
  <w16cid:commentId w16cid:paraId="53B976CC" w16cid:durableId="67366146"/>
  <w16cid:commentId w16cid:paraId="3349E143" w16cid:durableId="0E6D9A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C872D" w14:textId="77777777" w:rsidR="00AE5AD0" w:rsidRDefault="00AE5AD0">
      <w:pPr>
        <w:spacing w:line="240" w:lineRule="auto"/>
      </w:pPr>
      <w:r>
        <w:separator/>
      </w:r>
    </w:p>
  </w:endnote>
  <w:endnote w:type="continuationSeparator" w:id="0">
    <w:p w14:paraId="62F23B33" w14:textId="77777777" w:rsidR="00AE5AD0" w:rsidRDefault="00AE5A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5F814AB-2ECF-2445-87CA-EFEACB65083A}"/>
    <w:embedBold r:id="rId2" w:fontKey="{B6F44BC6-72CA-0D4F-8ADF-A02256A47EE8}"/>
    <w:embedItalic r:id="rId3" w:fontKey="{8F30A7BE-F224-0847-8D05-9F4ED3850327}"/>
  </w:font>
  <w:font w:name="Times New Roman">
    <w:panose1 w:val="02020603050405020304"/>
    <w:charset w:val="00"/>
    <w:family w:val="roman"/>
    <w:pitch w:val="variable"/>
    <w:sig w:usb0="E0002EFF" w:usb1="C000785B" w:usb2="00000009" w:usb3="00000000" w:csb0="000001FF" w:csb1="00000000"/>
    <w:embedRegular r:id="rId4" w:fontKey="{1B162FEC-62C4-E64A-94A9-ABB41CAAA70C}"/>
    <w:embedBold r:id="rId5" w:fontKey="{ABE557A4-A29B-114C-81ED-8E82601569C5}"/>
  </w:font>
  <w:font w:name="Georgia">
    <w:panose1 w:val="02040502050405020303"/>
    <w:charset w:val="00"/>
    <w:family w:val="roman"/>
    <w:pitch w:val="variable"/>
    <w:sig w:usb0="00000287" w:usb1="00000000" w:usb2="00000000" w:usb3="00000000" w:csb0="0000009F" w:csb1="00000000"/>
    <w:embedRegular r:id="rId6" w:fontKey="{C4CD3223-819E-1B42-827A-1278FB772F76}"/>
    <w:embedBold r:id="rId7" w:fontKey="{02A5033E-0443-9F40-832F-840990CDBC87}"/>
    <w:embedItalic r:id="rId8" w:fontKey="{650C713D-F006-A54E-92CB-0F09A3797CB8}"/>
  </w:font>
  <w:font w:name="Calibri">
    <w:panose1 w:val="020F0502020204030204"/>
    <w:charset w:val="00"/>
    <w:family w:val="swiss"/>
    <w:pitch w:val="variable"/>
    <w:sig w:usb0="E0002AFF" w:usb1="C000247B" w:usb2="00000009" w:usb3="00000000" w:csb0="000001FF" w:csb1="00000000"/>
    <w:embedRegular r:id="rId9" w:fontKey="{0CE709B8-6D0F-754E-8A4D-C45256E0D0C1}"/>
  </w:font>
  <w:font w:name="Cambria">
    <w:panose1 w:val="02040503050406030204"/>
    <w:charset w:val="00"/>
    <w:family w:val="roman"/>
    <w:pitch w:val="variable"/>
    <w:sig w:usb0="E00002FF" w:usb1="400004FF" w:usb2="00000000" w:usb3="00000000" w:csb0="0000019F" w:csb1="00000000"/>
    <w:embedRegular r:id="rId10" w:fontKey="{A7A1CE9B-98F0-1244-9A40-92A6A477AC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62897" w14:textId="77777777" w:rsidR="00AE5AD0" w:rsidRDefault="00AE5AD0">
      <w:pPr>
        <w:spacing w:line="240" w:lineRule="auto"/>
      </w:pPr>
      <w:r>
        <w:separator/>
      </w:r>
    </w:p>
  </w:footnote>
  <w:footnote w:type="continuationSeparator" w:id="0">
    <w:p w14:paraId="233E025E" w14:textId="77777777" w:rsidR="00AE5AD0" w:rsidRDefault="00AE5A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77777777" w:rsidR="00C07D58" w:rsidRDefault="00C07D58"/>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Holcroft">
    <w15:presenceInfo w15:providerId="Windows Live" w15:userId="6d87fc6b14bc9b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D58"/>
    <w:rsid w:val="001C505F"/>
    <w:rsid w:val="00424EC0"/>
    <w:rsid w:val="005F7A64"/>
    <w:rsid w:val="006F7899"/>
    <w:rsid w:val="0078358F"/>
    <w:rsid w:val="00881134"/>
    <w:rsid w:val="00991351"/>
    <w:rsid w:val="00AE5AD0"/>
    <w:rsid w:val="00BF45F3"/>
    <w:rsid w:val="00C07D58"/>
    <w:rsid w:val="00CD5706"/>
    <w:rsid w:val="00D14FFF"/>
    <w:rsid w:val="00DC27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609D069D-D8A0-A042-9AD4-8D3F08EB7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5F7A64"/>
    <w:rPr>
      <w:sz w:val="16"/>
      <w:szCs w:val="16"/>
    </w:rPr>
  </w:style>
  <w:style w:type="paragraph" w:styleId="CommentText">
    <w:name w:val="annotation text"/>
    <w:basedOn w:val="Normal"/>
    <w:link w:val="CommentTextChar"/>
    <w:uiPriority w:val="99"/>
    <w:semiHidden/>
    <w:unhideWhenUsed/>
    <w:rsid w:val="005F7A64"/>
    <w:pPr>
      <w:spacing w:line="240" w:lineRule="auto"/>
    </w:pPr>
    <w:rPr>
      <w:sz w:val="20"/>
      <w:szCs w:val="20"/>
    </w:rPr>
  </w:style>
  <w:style w:type="character" w:customStyle="1" w:styleId="CommentTextChar">
    <w:name w:val="Comment Text Char"/>
    <w:basedOn w:val="DefaultParagraphFont"/>
    <w:link w:val="CommentText"/>
    <w:uiPriority w:val="99"/>
    <w:semiHidden/>
    <w:rsid w:val="005F7A64"/>
    <w:rPr>
      <w:sz w:val="20"/>
      <w:szCs w:val="20"/>
    </w:rPr>
  </w:style>
  <w:style w:type="paragraph" w:styleId="CommentSubject">
    <w:name w:val="annotation subject"/>
    <w:basedOn w:val="CommentText"/>
    <w:next w:val="CommentText"/>
    <w:link w:val="CommentSubjectChar"/>
    <w:uiPriority w:val="99"/>
    <w:semiHidden/>
    <w:unhideWhenUsed/>
    <w:rsid w:val="005F7A64"/>
    <w:rPr>
      <w:b/>
      <w:bCs/>
    </w:rPr>
  </w:style>
  <w:style w:type="character" w:customStyle="1" w:styleId="CommentSubjectChar">
    <w:name w:val="Comment Subject Char"/>
    <w:basedOn w:val="CommentTextChar"/>
    <w:link w:val="CommentSubject"/>
    <w:uiPriority w:val="99"/>
    <w:semiHidden/>
    <w:rsid w:val="005F7A64"/>
    <w:rPr>
      <w:b/>
      <w:bCs/>
      <w:sz w:val="20"/>
      <w:szCs w:val="20"/>
    </w:rPr>
  </w:style>
  <w:style w:type="character" w:styleId="Hyperlink">
    <w:name w:val="Hyperlink"/>
    <w:basedOn w:val="DefaultParagraphFont"/>
    <w:uiPriority w:val="99"/>
    <w:unhideWhenUsed/>
    <w:rsid w:val="001C505F"/>
    <w:rPr>
      <w:color w:val="0000FF" w:themeColor="hyperlink"/>
      <w:u w:val="single"/>
    </w:rPr>
  </w:style>
  <w:style w:type="character" w:styleId="UnresolvedMention">
    <w:name w:val="Unresolved Mention"/>
    <w:basedOn w:val="DefaultParagraphFont"/>
    <w:uiPriority w:val="99"/>
    <w:semiHidden/>
    <w:unhideWhenUsed/>
    <w:rsid w:val="001C5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lrb.co.uk/the-paper/v41/n12/andrew-preston/heresy-from-lesser-voices"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2701</Words>
  <Characters>15398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Holcroft</cp:lastModifiedBy>
  <cp:revision>3</cp:revision>
  <dcterms:created xsi:type="dcterms:W3CDTF">2026-02-05T14:04:00Z</dcterms:created>
  <dcterms:modified xsi:type="dcterms:W3CDTF">2026-02-06T16:52:00Z</dcterms:modified>
</cp:coreProperties>
</file>