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D3D2F" w:rsidRDefault="00000000">
      <w:pPr>
        <w:rPr>
          <w:rFonts w:ascii="Georgia" w:eastAsia="Georgia" w:hAnsi="Georgia" w:cs="Georgia"/>
          <w:b/>
          <w:bCs/>
        </w:rPr>
      </w:pPr>
      <w:r>
        <w:rPr>
          <w:rFonts w:ascii="Georgia" w:eastAsia="Georgia" w:hAnsi="Georgia" w:cs="Georgia"/>
          <w:b/>
          <w:bCs/>
        </w:rPr>
        <w:t>What factors led to the end of the Cold War?</w:t>
      </w:r>
    </w:p>
    <w:p w14:paraId="00000002" w14:textId="77777777" w:rsidR="00CD3D2F" w:rsidRDefault="00CD3D2F">
      <w:pPr>
        <w:rPr>
          <w:rFonts w:ascii="Georgia" w:eastAsia="Georgia" w:hAnsi="Georgia" w:cs="Georgia"/>
        </w:rPr>
      </w:pPr>
    </w:p>
    <w:p w14:paraId="00000003" w14:textId="77777777" w:rsidR="00CD3D2F" w:rsidRDefault="00000000">
      <w:pPr>
        <w:rPr>
          <w:rFonts w:ascii="Georgia" w:eastAsia="Georgia" w:hAnsi="Georgia" w:cs="Georgia"/>
        </w:rPr>
      </w:pPr>
      <w:r>
        <w:rPr>
          <w:rFonts w:ascii="Georgia" w:eastAsia="Georgia" w:hAnsi="Georgia" w:cs="Georgia"/>
        </w:rPr>
        <w:t xml:space="preserve">The Cold War ending when it did was not inevitable. While transnational effects and structural global changes may have slightly influenced Gorbachev to end the Cold War, it was his own set of experiences, beliefs, and skills that compelled him to orchestrate this tremendous change. In this essay, I delineate factors, starting from commonly-understood ones and concluding with more abstract ones. I begin by understanding America’s role in the Cold War’s conclusion, then describe global economic changes, then ideology and soft power, before ending with Gorbachev’s own nature. Only the last factor was decisive in ending the Cold War. </w:t>
      </w:r>
      <w:commentRangeStart w:id="0"/>
      <w:r>
        <w:rPr>
          <w:rFonts w:ascii="Georgia" w:eastAsia="Georgia" w:hAnsi="Georgia" w:cs="Georgia"/>
        </w:rPr>
        <w:t>All the other factors have weaker links that make them less explanatory.</w:t>
      </w:r>
      <w:commentRangeEnd w:id="0"/>
      <w:r w:rsidR="008B1DEA">
        <w:rPr>
          <w:rStyle w:val="CommentReference"/>
          <w:rFonts w:ascii="Georgia" w:eastAsia="Georgia" w:hAnsi="Georgia" w:cs="Georgia"/>
          <w:sz w:val="22"/>
          <w:szCs w:val="22"/>
        </w:rPr>
        <w:commentReference w:id="0"/>
      </w:r>
    </w:p>
    <w:p w14:paraId="00000004" w14:textId="77777777" w:rsidR="00CD3D2F" w:rsidRDefault="00CD3D2F">
      <w:pPr>
        <w:rPr>
          <w:rFonts w:ascii="Georgia" w:eastAsia="Georgia" w:hAnsi="Georgia" w:cs="Georgia"/>
        </w:rPr>
      </w:pPr>
    </w:p>
    <w:p w14:paraId="00000005" w14:textId="77777777" w:rsidR="00CD3D2F" w:rsidRDefault="00000000">
      <w:pPr>
        <w:rPr>
          <w:rFonts w:ascii="Georgia" w:eastAsia="Georgia" w:hAnsi="Georgia" w:cs="Georgia"/>
        </w:rPr>
      </w:pPr>
      <w:r>
        <w:rPr>
          <w:rFonts w:ascii="Georgia" w:eastAsia="Georgia" w:hAnsi="Georgia" w:cs="Georgia"/>
        </w:rPr>
        <w:t xml:space="preserve">One of the views of the Cold War’s end comes from the “triumphalist” camp, believing that the Reagan administration was aware of the USSR’s fragile state, accelerating its collapse by increasing military expenditures that the Soviets could not match (Fischer 2010, 267). There is only a hint of truth to this. Indeed, “The bleak economic and financial situation made detente and Soviet retrenchment look like an urgent necessity even in the eyes of the Politburo’s conservatives” (Zubok 2007, 299-300). But the key words here are “detente” and “retrenchment,” each a far cry from ending the Cold War. If Gorbachev simply revised his military strategy (and ended there) to the defensive “strategic sufficiency,” it is possible that he could have bought time to control unsustainable military costs. But he didn’t stop there, thus ensuring a peace more genuine than detente. To summarize, “while there is something in the argument…that American willingness to outspend was one of the stimuli to Gorbachev’s policy innovations, there is no reason to suppose that Andropov or Chernenko would have acted in the same way had they lived…It was Gorbachev’s different outlook” that ended the Cold War (Brown 1996, 230). </w:t>
      </w:r>
      <w:commentRangeStart w:id="1"/>
      <w:r>
        <w:rPr>
          <w:rFonts w:ascii="Georgia" w:eastAsia="Georgia" w:hAnsi="Georgia" w:cs="Georgia"/>
        </w:rPr>
        <w:t>Gorbachev was not forcibly pigeonholed into one option by American pressure.</w:t>
      </w:r>
      <w:commentRangeEnd w:id="1"/>
      <w:r w:rsidR="008B1DEA">
        <w:rPr>
          <w:rStyle w:val="CommentReference"/>
          <w:rFonts w:ascii="Georgia" w:eastAsia="Georgia" w:hAnsi="Georgia" w:cs="Georgia"/>
          <w:sz w:val="22"/>
          <w:szCs w:val="22"/>
        </w:rPr>
        <w:commentReference w:id="1"/>
      </w:r>
    </w:p>
    <w:p w14:paraId="00000006" w14:textId="77777777" w:rsidR="00CD3D2F" w:rsidRDefault="00CD3D2F">
      <w:pPr>
        <w:rPr>
          <w:rFonts w:ascii="Georgia" w:eastAsia="Georgia" w:hAnsi="Georgia" w:cs="Georgia"/>
        </w:rPr>
      </w:pPr>
    </w:p>
    <w:p w14:paraId="00000007" w14:textId="77777777" w:rsidR="00CD3D2F" w:rsidRDefault="00000000">
      <w:pPr>
        <w:rPr>
          <w:rFonts w:ascii="Georgia" w:eastAsia="Georgia" w:hAnsi="Georgia" w:cs="Georgia"/>
        </w:rPr>
      </w:pPr>
      <w:r>
        <w:rPr>
          <w:rFonts w:ascii="Georgia" w:eastAsia="Georgia" w:hAnsi="Georgia" w:cs="Georgia"/>
        </w:rPr>
        <w:t xml:space="preserve">Closely tied to this “triumphalist” belief is that Reagan’s Strategic Defense Initiative affected the Soviets’ decision-making, forcing them into conciliation due to the technological gap. This factor, too, can be rejected, for two reasons (Brown 2007, 246). First, even Reagan’s optimistic scenario had SDI development at 20+ years, so there was no short-term pressure. Second, Gorbachev’s advisors “scoffed at the idea that [SDI] could ever provide a foolproof umbrella against an incoming missile attack,” further rejecting the notion to copy SDI. Essentially, the Soviets could just fire more nuclear missiles at once to overwhelm it. </w:t>
      </w:r>
      <w:commentRangeStart w:id="2"/>
      <w:r>
        <w:rPr>
          <w:rFonts w:ascii="Georgia" w:eastAsia="Georgia" w:hAnsi="Georgia" w:cs="Georgia"/>
        </w:rPr>
        <w:t>So, SDI is not explanatory</w:t>
      </w:r>
      <w:commentRangeEnd w:id="2"/>
      <w:r w:rsidR="008B1DEA">
        <w:rPr>
          <w:rStyle w:val="CommentReference"/>
          <w:rFonts w:ascii="Georgia" w:eastAsia="Georgia" w:hAnsi="Georgia" w:cs="Georgia"/>
          <w:sz w:val="22"/>
          <w:szCs w:val="22"/>
        </w:rPr>
        <w:commentReference w:id="2"/>
      </w:r>
      <w:r>
        <w:rPr>
          <w:rFonts w:ascii="Georgia" w:eastAsia="Georgia" w:hAnsi="Georgia" w:cs="Georgia"/>
        </w:rPr>
        <w:t>.</w:t>
      </w:r>
    </w:p>
    <w:p w14:paraId="00000008" w14:textId="77777777" w:rsidR="00CD3D2F" w:rsidRDefault="00CD3D2F">
      <w:pPr>
        <w:rPr>
          <w:rFonts w:ascii="Georgia" w:eastAsia="Georgia" w:hAnsi="Georgia" w:cs="Georgia"/>
        </w:rPr>
      </w:pPr>
    </w:p>
    <w:p w14:paraId="00000009" w14:textId="77777777" w:rsidR="00CD3D2F" w:rsidRDefault="00000000">
      <w:pPr>
        <w:rPr>
          <w:rFonts w:ascii="Georgia" w:eastAsia="Georgia" w:hAnsi="Georgia" w:cs="Georgia"/>
        </w:rPr>
      </w:pPr>
      <w:r>
        <w:rPr>
          <w:rFonts w:ascii="Georgia" w:eastAsia="Georgia" w:hAnsi="Georgia" w:cs="Georgia"/>
        </w:rPr>
        <w:t xml:space="preserve">All of this is not to say two other interpretations of Reagan’s roles are correct, either. One such flawed interpretation is that the Reagan administration was too hardline, and “had [Reagan] not been so belligerent, Gorbachev would have had more domestic support for his foreign-policy reforms” (Fischer 2010, 268). Another is that Reagan and Bush were “largely irrelevant” to ending the Cold War, which was simply a result of Soviet “internal contradictions.” The first argument is weak, because Reagan had fundamentally changed his aggressive posture, unveiling his plan to reduce tensions in January 1984 (prior to Gorbachev’s ascent to the top job–his predecessors were too fragile to meaningfully look outwards and abroad). </w:t>
      </w:r>
      <w:commentRangeStart w:id="3"/>
      <w:r>
        <w:rPr>
          <w:rFonts w:ascii="Georgia" w:eastAsia="Georgia" w:hAnsi="Georgia" w:cs="Georgia"/>
        </w:rPr>
        <w:t xml:space="preserve">More importantly, according to Gaddis, Reagan was in the company of “leaders who did not accept the Cold War’s permanence and were prepared to do something about it…[a list including] Margaret Thatcher and the Pope,” claiming that HW Bush would have kept the status quo </w:t>
      </w:r>
      <w:commentRangeEnd w:id="3"/>
      <w:r w:rsidR="008B1DEA">
        <w:rPr>
          <w:rStyle w:val="CommentReference"/>
          <w:rFonts w:ascii="Georgia" w:eastAsia="Georgia" w:hAnsi="Georgia" w:cs="Georgia"/>
          <w:sz w:val="22"/>
          <w:szCs w:val="22"/>
        </w:rPr>
        <w:commentReference w:id="3"/>
      </w:r>
      <w:r>
        <w:rPr>
          <w:rFonts w:ascii="Georgia" w:eastAsia="Georgia" w:hAnsi="Georgia" w:cs="Georgia"/>
        </w:rPr>
        <w:t xml:space="preserve">(Brown 2020, 305). </w:t>
      </w:r>
      <w:r>
        <w:rPr>
          <w:rFonts w:ascii="Georgia" w:eastAsia="Georgia" w:hAnsi="Georgia" w:cs="Georgia"/>
        </w:rPr>
        <w:lastRenderedPageBreak/>
        <w:t>While this is impossible to prove, there is corroborating evidence that after the Reykjavik summit, Gorbachev perceived Reagan as especially sincere in eliminating nuclear weapons, “quite sure…that the people in the White House were not idiots” that would launch a nuclear attack–Gorbachev was “convinced that the United States posed no threat to Soviet security” (Fischer 2010, 278-86).</w:t>
      </w:r>
    </w:p>
    <w:p w14:paraId="0000000A" w14:textId="77777777" w:rsidR="00CD3D2F" w:rsidRDefault="00CD3D2F">
      <w:pPr>
        <w:rPr>
          <w:rFonts w:ascii="Georgia" w:eastAsia="Georgia" w:hAnsi="Georgia" w:cs="Georgia"/>
        </w:rPr>
      </w:pPr>
    </w:p>
    <w:p w14:paraId="0000000B" w14:textId="77777777" w:rsidR="00CD3D2F" w:rsidRDefault="00000000">
      <w:pPr>
        <w:rPr>
          <w:rFonts w:ascii="Georgia" w:eastAsia="Georgia" w:hAnsi="Georgia" w:cs="Georgia"/>
        </w:rPr>
      </w:pPr>
      <w:r>
        <w:rPr>
          <w:rFonts w:ascii="Georgia" w:eastAsia="Georgia" w:hAnsi="Georgia" w:cs="Georgia"/>
        </w:rPr>
        <w:t xml:space="preserve">Gorbachev’s unique, trusting nature (towards Western leaders) must be highlighted here. While George Schultz reacted mildly to Gorbachev’s concessions (the Soviets surrendered more in one meeting than in the twenty-five previous years), Schultz was too self-congratulatory for asserting that it was the product of five years of sustained American pressure (Zubok 2007, 293). Gorbachev conceded more than he had to with his tireless idealism, bordering on naivety. </w:t>
      </w:r>
      <w:commentRangeStart w:id="4"/>
      <w:r>
        <w:rPr>
          <w:rFonts w:ascii="Georgia" w:eastAsia="Georgia" w:hAnsi="Georgia" w:cs="Georgia"/>
        </w:rPr>
        <w:t xml:space="preserve">Nonetheless, some credit is deserved for “Western partners who were not so ideologically blinkered,” recognizing that Soviet concessions were not merely ploys but authentic change by Gorbachev. </w:t>
      </w:r>
      <w:commentRangeEnd w:id="4"/>
      <w:r w:rsidR="00426734">
        <w:rPr>
          <w:rStyle w:val="CommentReference"/>
          <w:rFonts w:ascii="Georgia" w:eastAsia="Georgia" w:hAnsi="Georgia" w:cs="Georgia"/>
          <w:sz w:val="22"/>
          <w:szCs w:val="22"/>
        </w:rPr>
        <w:commentReference w:id="4"/>
      </w:r>
      <w:r>
        <w:rPr>
          <w:rFonts w:ascii="Georgia" w:eastAsia="Georgia" w:hAnsi="Georgia" w:cs="Georgia"/>
        </w:rPr>
        <w:t>Finally, one more factor in Gorbachev’s ultimate decision to meet with Reagan, despite the American’s earlier aggression, was Chernobyl, which Zubok insists had an “effect on the Soviet political leadership…greater than any other single event since the Cuban missile crisis…more responsible for the drastic changes in Soviet official mentality than the previous years of American pressure” (Zubok 2007, 288).</w:t>
      </w:r>
    </w:p>
    <w:p w14:paraId="0000000C" w14:textId="77777777" w:rsidR="00CD3D2F" w:rsidRDefault="00CD3D2F">
      <w:pPr>
        <w:rPr>
          <w:rFonts w:ascii="Georgia" w:eastAsia="Georgia" w:hAnsi="Georgia" w:cs="Georgia"/>
        </w:rPr>
      </w:pPr>
    </w:p>
    <w:p w14:paraId="0000000D" w14:textId="77777777" w:rsidR="00CD3D2F" w:rsidRDefault="00000000">
      <w:pPr>
        <w:rPr>
          <w:rFonts w:ascii="Georgia" w:eastAsia="Georgia" w:hAnsi="Georgia" w:cs="Georgia"/>
        </w:rPr>
      </w:pPr>
      <w:r>
        <w:rPr>
          <w:rFonts w:ascii="Georgia" w:eastAsia="Georgia" w:hAnsi="Georgia" w:cs="Georgia"/>
        </w:rPr>
        <w:t xml:space="preserve">The second tranche of possible factors in ending the Cold War are structural global changes, many pertaining to finance and economics. Through the 1970s, there was an “economic tap of lending to Second and Third World countries,” where Eastern European countries assumed financial obligations that were among the heaviest in the world (Arrighi 2010, 39-40). </w:t>
      </w:r>
      <w:commentRangeStart w:id="5"/>
      <w:r>
        <w:rPr>
          <w:rFonts w:ascii="Georgia" w:eastAsia="Georgia" w:hAnsi="Georgia" w:cs="Georgia"/>
        </w:rPr>
        <w:t xml:space="preserve">But almost suddenly, America turned off the “economic tap.” </w:t>
      </w:r>
      <w:commentRangeEnd w:id="5"/>
      <w:r w:rsidR="00506E35">
        <w:rPr>
          <w:rStyle w:val="CommentReference"/>
          <w:rFonts w:ascii="Georgia" w:eastAsia="Georgia" w:hAnsi="Georgia" w:cs="Georgia"/>
          <w:sz w:val="22"/>
          <w:szCs w:val="22"/>
        </w:rPr>
        <w:commentReference w:id="5"/>
      </w:r>
      <w:r>
        <w:rPr>
          <w:rFonts w:ascii="Georgia" w:eastAsia="Georgia" w:hAnsi="Georgia" w:cs="Georgia"/>
        </w:rPr>
        <w:t xml:space="preserve">Furthermore, the United States was able to borrow tremendously from abroad, especially from Japan, to fund its peacetime military expenditures, escaping a prolonged recession via Military Keynesianism. All the while, the Soviets were fighting an expensive war in Afghanistan. Soviet satellite states were a tremendous drain to the USSR finances due to subsidies, and countries like Czechoslovakia recognized that they could not “no longer automatically rely on support from other socialist governments. Nor…escape a [potential] Western political and economic boycott” (Foot 2010, 463). </w:t>
      </w:r>
    </w:p>
    <w:p w14:paraId="0000000E" w14:textId="77777777" w:rsidR="00CD3D2F" w:rsidRDefault="00CD3D2F">
      <w:pPr>
        <w:rPr>
          <w:rFonts w:ascii="Georgia" w:eastAsia="Georgia" w:hAnsi="Georgia" w:cs="Georgia"/>
        </w:rPr>
      </w:pPr>
    </w:p>
    <w:p w14:paraId="0000000F" w14:textId="77777777" w:rsidR="00CD3D2F" w:rsidRDefault="00000000">
      <w:pPr>
        <w:rPr>
          <w:rFonts w:ascii="Georgia" w:eastAsia="Georgia" w:hAnsi="Georgia" w:cs="Georgia"/>
        </w:rPr>
      </w:pPr>
      <w:r>
        <w:rPr>
          <w:rFonts w:ascii="Georgia" w:eastAsia="Georgia" w:hAnsi="Georgia" w:cs="Georgia"/>
        </w:rPr>
        <w:t xml:space="preserve">Some argue that these structural changes meant the Cold War’s close was inevitable–that satellite states were bound to clamor for reform. But suggesting that </w:t>
      </w:r>
      <w:r>
        <w:rPr>
          <w:rFonts w:ascii="Georgia" w:eastAsia="Georgia" w:hAnsi="Georgia" w:cs="Georgia"/>
          <w:i/>
          <w:iCs/>
        </w:rPr>
        <w:t>direct</w:t>
      </w:r>
      <w:r>
        <w:rPr>
          <w:rFonts w:ascii="Georgia" w:eastAsia="Georgia" w:hAnsi="Georgia" w:cs="Georgia"/>
        </w:rPr>
        <w:t xml:space="preserve"> pressure from the “outer empire” into Moscow was a factor for the Cold War’s close is fantasy. On the contrary, “the veiled threat of force would have been enough to keep Eastern Europe under Communist rule. Even in Poland, the most obstreperous barracks in the camp, Solidarity was able to lead only a subdued underground existence” (Brown 2007, 264). Other factors cited include the “Pope effect,” which “undoubtedly made a huge impact on Polish society and politics…But there again democratization did not follow an election in Rome or events in Poland, but radical change in Moscow” (Brown 2007, 227-28). </w:t>
      </w:r>
      <w:commentRangeStart w:id="6"/>
      <w:r>
        <w:rPr>
          <w:rFonts w:ascii="Georgia" w:eastAsia="Georgia" w:hAnsi="Georgia" w:cs="Georgia"/>
        </w:rPr>
        <w:t xml:space="preserve">Furthermore, while “Moscow recognized that its ability to implement the so-called Brezhnev Doctrine…was exhausted” as early as 1980-81,” the </w:t>
      </w:r>
      <w:r>
        <w:rPr>
          <w:rFonts w:ascii="Georgia" w:eastAsia="Georgia" w:hAnsi="Georgia" w:cs="Georgia"/>
          <w:i/>
          <w:iCs/>
        </w:rPr>
        <w:t>satellite states</w:t>
      </w:r>
      <w:r>
        <w:rPr>
          <w:rFonts w:ascii="Georgia" w:eastAsia="Georgia" w:hAnsi="Georgia" w:cs="Georgia"/>
        </w:rPr>
        <w:t xml:space="preserve"> </w:t>
      </w:r>
      <w:r>
        <w:rPr>
          <w:rFonts w:ascii="Georgia" w:eastAsia="Georgia" w:hAnsi="Georgia" w:cs="Georgia"/>
          <w:i/>
          <w:iCs/>
        </w:rPr>
        <w:t>themselves</w:t>
      </w:r>
      <w:r>
        <w:rPr>
          <w:rFonts w:ascii="Georgia" w:eastAsia="Georgia" w:hAnsi="Georgia" w:cs="Georgia"/>
        </w:rPr>
        <w:t xml:space="preserve"> were unaware </w:t>
      </w:r>
      <w:commentRangeEnd w:id="6"/>
      <w:r w:rsidR="00506E35">
        <w:rPr>
          <w:rStyle w:val="CommentReference"/>
          <w:rFonts w:ascii="Georgia" w:eastAsia="Georgia" w:hAnsi="Georgia" w:cs="Georgia"/>
          <w:sz w:val="22"/>
          <w:szCs w:val="22"/>
        </w:rPr>
        <w:commentReference w:id="6"/>
      </w:r>
      <w:r>
        <w:rPr>
          <w:rFonts w:ascii="Georgia" w:eastAsia="Georgia" w:hAnsi="Georgia" w:cs="Georgia"/>
        </w:rPr>
        <w:t xml:space="preserve">(Kotkin 2001, 86). </w:t>
      </w:r>
      <w:commentRangeStart w:id="7"/>
      <w:r>
        <w:rPr>
          <w:rFonts w:ascii="Georgia" w:eastAsia="Georgia" w:hAnsi="Georgia" w:cs="Georgia"/>
        </w:rPr>
        <w:t xml:space="preserve">Their fear was so salient that it took satellite state leaders much time to timidly suggest changes </w:t>
      </w:r>
      <w:r>
        <w:rPr>
          <w:rFonts w:ascii="Georgia" w:eastAsia="Georgia" w:hAnsi="Georgia" w:cs="Georgia"/>
          <w:i/>
          <w:iCs/>
        </w:rPr>
        <w:t>after</w:t>
      </w:r>
      <w:r>
        <w:rPr>
          <w:rFonts w:ascii="Georgia" w:eastAsia="Georgia" w:hAnsi="Georgia" w:cs="Georgia"/>
        </w:rPr>
        <w:t xml:space="preserve"> Gorbachev’s pointed messages of radical change </w:t>
      </w:r>
      <w:commentRangeEnd w:id="7"/>
      <w:r w:rsidR="00506E35">
        <w:rPr>
          <w:rStyle w:val="CommentReference"/>
          <w:rFonts w:ascii="Georgia" w:eastAsia="Georgia" w:hAnsi="Georgia" w:cs="Georgia"/>
          <w:sz w:val="22"/>
          <w:szCs w:val="22"/>
        </w:rPr>
        <w:commentReference w:id="7"/>
      </w:r>
      <w:r>
        <w:rPr>
          <w:rFonts w:ascii="Georgia" w:eastAsia="Georgia" w:hAnsi="Georgia" w:cs="Georgia"/>
        </w:rPr>
        <w:t xml:space="preserve">(see Hungary’s frightened assertion of “the events of 1956”) (Brown 2007, </w:t>
      </w:r>
      <w:r>
        <w:rPr>
          <w:rFonts w:ascii="Georgia" w:eastAsia="Georgia" w:hAnsi="Georgia" w:cs="Georgia"/>
        </w:rPr>
        <w:lastRenderedPageBreak/>
        <w:t>234). It is highly probable that a different General Secretary would be willing to utilize the overwhelmingly dominant military and KGB.</w:t>
      </w:r>
    </w:p>
    <w:p w14:paraId="00000010" w14:textId="77777777" w:rsidR="00CD3D2F" w:rsidRDefault="00CD3D2F">
      <w:pPr>
        <w:rPr>
          <w:rFonts w:ascii="Georgia" w:eastAsia="Georgia" w:hAnsi="Georgia" w:cs="Georgia"/>
        </w:rPr>
      </w:pPr>
    </w:p>
    <w:p w14:paraId="00000011" w14:textId="77777777" w:rsidR="00CD3D2F" w:rsidRDefault="00000000">
      <w:pPr>
        <w:rPr>
          <w:rFonts w:ascii="Georgia" w:eastAsia="Georgia" w:hAnsi="Georgia" w:cs="Georgia"/>
        </w:rPr>
      </w:pPr>
      <w:r>
        <w:rPr>
          <w:rFonts w:ascii="Georgia" w:eastAsia="Georgia" w:hAnsi="Georgia" w:cs="Georgia"/>
        </w:rPr>
        <w:t xml:space="preserve">Furthermore, the economy may be a less persuasive factor for two potential reasons. First, while the USSR’s three crucial export commodities (oil, gas, and gold) had their prices collapse by the early 1980s, this did not dictate that the Soviet Union was forced to the bargaining table (Brown 2007, 248). Indeed, </w:t>
      </w:r>
      <w:r>
        <w:rPr>
          <w:rFonts w:ascii="Georgia" w:eastAsia="Georgia" w:hAnsi="Georgia" w:cs="Georgia"/>
          <w:i/>
          <w:iCs/>
        </w:rPr>
        <w:t>ex post</w:t>
      </w:r>
      <w:r>
        <w:rPr>
          <w:rFonts w:ascii="Georgia" w:eastAsia="Georgia" w:hAnsi="Georgia" w:cs="Georgia"/>
        </w:rPr>
        <w:t xml:space="preserve">, we see that these very prices have since risen considerably, bolstering the Russian coffers and contributing to Putin’s early praise (Brown 2007, 248). Additionally, “Soviet society was fully employed, had low debt, and no civil disorders until reform…The USSR could have retrenched without upheaval from perestroika” (Kotkin 2001, 173). Indeed, even the Western economists who thought the Soviet economy was in a ‘crisis’ did not assume that radical reform was necessary (Brown 2020, 300). Finally, economic reform was not even at the top of the agenda for the Soviet leadership: political reform came first in January 1987 and economic reform followed in June (Brown 2007, 251). </w:t>
      </w:r>
      <w:commentRangeStart w:id="8"/>
      <w:r>
        <w:rPr>
          <w:rFonts w:ascii="Georgia" w:eastAsia="Georgia" w:hAnsi="Georgia" w:cs="Georgia"/>
        </w:rPr>
        <w:t xml:space="preserve">Thus, the “‘Domestic structural’ explanation is persuasive but incomplete,” as the grave economic crisis began </w:t>
      </w:r>
      <w:r>
        <w:rPr>
          <w:rFonts w:ascii="Georgia" w:eastAsia="Georgia" w:hAnsi="Georgia" w:cs="Georgia"/>
          <w:i/>
          <w:iCs/>
        </w:rPr>
        <w:t xml:space="preserve">because </w:t>
      </w:r>
      <w:r>
        <w:rPr>
          <w:rFonts w:ascii="Georgia" w:eastAsia="Georgia" w:hAnsi="Georgia" w:cs="Georgia"/>
        </w:rPr>
        <w:t xml:space="preserve">of Gorbachev’s actions–priorly the economy was still holding on </w:t>
      </w:r>
      <w:commentRangeEnd w:id="8"/>
      <w:r w:rsidR="00506E35">
        <w:rPr>
          <w:rStyle w:val="CommentReference"/>
          <w:rFonts w:ascii="Georgia" w:eastAsia="Georgia" w:hAnsi="Georgia" w:cs="Georgia"/>
          <w:sz w:val="22"/>
          <w:szCs w:val="22"/>
        </w:rPr>
        <w:commentReference w:id="8"/>
      </w:r>
      <w:r>
        <w:rPr>
          <w:rFonts w:ascii="Georgia" w:eastAsia="Georgia" w:hAnsi="Georgia" w:cs="Georgia"/>
        </w:rPr>
        <w:t>(Zubok 2007, 307).</w:t>
      </w:r>
    </w:p>
    <w:p w14:paraId="00000012" w14:textId="77777777" w:rsidR="00CD3D2F" w:rsidRDefault="00CD3D2F">
      <w:pPr>
        <w:rPr>
          <w:rFonts w:ascii="Georgia" w:eastAsia="Georgia" w:hAnsi="Georgia" w:cs="Georgia"/>
        </w:rPr>
      </w:pPr>
    </w:p>
    <w:p w14:paraId="00000013" w14:textId="77777777" w:rsidR="00CD3D2F" w:rsidRDefault="00000000">
      <w:pPr>
        <w:rPr>
          <w:rFonts w:ascii="Georgia" w:eastAsia="Georgia" w:hAnsi="Georgia" w:cs="Georgia"/>
        </w:rPr>
      </w:pPr>
      <w:r>
        <w:rPr>
          <w:rFonts w:ascii="Georgia" w:eastAsia="Georgia" w:hAnsi="Georgia" w:cs="Georgia"/>
        </w:rPr>
        <w:t xml:space="preserve">Second, some argue that the USSR could have followed a post-Communist authoritarian model like China if Gorbachev allowed the support of “pragmatic elements of the top party circles” and bureaucracies instead of completely sidelining them (Zubok 2007, 308). But there is a stronger rebuttal: the Soviets were uniquely burdened by “the wreckage of the world’s largest ever assemblage of obsolete equipment” (Kotkin 2001, 180). Furthermore, with a military industry so central, there was resistance to retooling such factories into making “pots and pans instead,” even though a more consumerist focus could help the USSR (Taubman 2017, 217). </w:t>
      </w:r>
      <w:commentRangeStart w:id="9"/>
      <w:r>
        <w:rPr>
          <w:rFonts w:ascii="Georgia" w:eastAsia="Georgia" w:hAnsi="Georgia" w:cs="Georgia"/>
        </w:rPr>
        <w:t xml:space="preserve">Also, the Chinese were able to make a fresh start because their peasants weren’t so brutalized </w:t>
      </w:r>
      <w:r>
        <w:rPr>
          <w:rFonts w:ascii="Georgia" w:eastAsia="Georgia" w:hAnsi="Georgia" w:cs="Georgia"/>
          <w:i/>
          <w:iCs/>
        </w:rPr>
        <w:t>à la</w:t>
      </w:r>
      <w:r>
        <w:rPr>
          <w:rFonts w:ascii="Georgia" w:eastAsia="Georgia" w:hAnsi="Georgia" w:cs="Georgia"/>
        </w:rPr>
        <w:t xml:space="preserve"> Stalin’s campaigns </w:t>
      </w:r>
      <w:commentRangeEnd w:id="9"/>
      <w:r w:rsidR="00891EC1">
        <w:rPr>
          <w:rStyle w:val="CommentReference"/>
          <w:rFonts w:ascii="Georgia" w:eastAsia="Georgia" w:hAnsi="Georgia" w:cs="Georgia"/>
          <w:sz w:val="22"/>
          <w:szCs w:val="22"/>
        </w:rPr>
        <w:commentReference w:id="9"/>
      </w:r>
      <w:r>
        <w:rPr>
          <w:rFonts w:ascii="Georgia" w:eastAsia="Georgia" w:hAnsi="Georgia" w:cs="Georgia"/>
        </w:rPr>
        <w:t>(Taubman 2017, 217), and China had access to diasporic capital investments (Zubok 2007, 180). The Soviets' context was different–perhaps this doomed them.</w:t>
      </w:r>
    </w:p>
    <w:p w14:paraId="00000014" w14:textId="77777777" w:rsidR="00CD3D2F" w:rsidRDefault="00CD3D2F">
      <w:pPr>
        <w:rPr>
          <w:rFonts w:ascii="Georgia" w:eastAsia="Georgia" w:hAnsi="Georgia" w:cs="Georgia"/>
        </w:rPr>
      </w:pPr>
    </w:p>
    <w:p w14:paraId="00000015" w14:textId="77777777" w:rsidR="00CD3D2F" w:rsidRDefault="00000000">
      <w:pPr>
        <w:rPr>
          <w:rFonts w:ascii="Georgia" w:eastAsia="Georgia" w:hAnsi="Georgia" w:cs="Georgia"/>
        </w:rPr>
      </w:pPr>
      <w:r>
        <w:rPr>
          <w:rFonts w:ascii="Georgia" w:eastAsia="Georgia" w:hAnsi="Georgia" w:cs="Georgia"/>
        </w:rPr>
        <w:t xml:space="preserve">This debate is intense–whether the Soviet Union could have continued waging the Cold War or not. Archie Brown suggests that “the crucial reason for defeat…[included] the post-war capitalist economic boom, consumer revolution, massive investments in social welfare, and decolonization. These momentous shifts meant that Soviet socialism could not provide a better standard of living, a more substantial safety net and just society” (Kotkin 2001, 172). At the core of this thesis was the Soviet and Eastern European understanding of their Western European counterparts' undeniably superior lifestyles. But such an understanding would not immediately end the Cold War–often in history do populations live under the yoke of a visibly broken system. Though international and domestic observers could perceive the Soviet ideology as decrepit, Third World leaders would still be happy to collect Soviet aid as prior, regardless of ideals, sowing global chaos. </w:t>
      </w:r>
      <w:commentRangeStart w:id="10"/>
      <w:r>
        <w:rPr>
          <w:rFonts w:ascii="Georgia" w:eastAsia="Georgia" w:hAnsi="Georgia" w:cs="Georgia"/>
        </w:rPr>
        <w:t>Finally, in a hierarchical society like the USSR, “it was far from obvious what the most privileged sections of the Soviet elite had to gain from radical economic reform” (Brown 2007, 246). A revolution from below was largely unthinkable with the historically enforced police state, nor was an elite overthrow imminent.</w:t>
      </w:r>
      <w:commentRangeEnd w:id="10"/>
      <w:r w:rsidR="00891EC1">
        <w:rPr>
          <w:rStyle w:val="CommentReference"/>
          <w:rFonts w:ascii="Georgia" w:eastAsia="Georgia" w:hAnsi="Georgia" w:cs="Georgia"/>
          <w:sz w:val="22"/>
          <w:szCs w:val="22"/>
        </w:rPr>
        <w:commentReference w:id="10"/>
      </w:r>
    </w:p>
    <w:p w14:paraId="00000016" w14:textId="77777777" w:rsidR="00CD3D2F" w:rsidRDefault="00CD3D2F">
      <w:pPr>
        <w:rPr>
          <w:rFonts w:ascii="Georgia" w:eastAsia="Georgia" w:hAnsi="Georgia" w:cs="Georgia"/>
        </w:rPr>
      </w:pPr>
    </w:p>
    <w:p w14:paraId="00000017" w14:textId="77777777" w:rsidR="00CD3D2F" w:rsidRDefault="00000000">
      <w:pPr>
        <w:rPr>
          <w:rFonts w:ascii="Georgia" w:eastAsia="Georgia" w:hAnsi="Georgia" w:cs="Georgia"/>
        </w:rPr>
      </w:pPr>
      <w:r>
        <w:rPr>
          <w:rFonts w:ascii="Georgia" w:eastAsia="Georgia" w:hAnsi="Georgia" w:cs="Georgia"/>
        </w:rPr>
        <w:t xml:space="preserve">There are subtler arguments, less grounded in IR, particularly surrounding consumer capitalism. Emily Rosenberg argues that “mass consumption contributed to the Cold War’s </w:t>
      </w:r>
      <w:r>
        <w:rPr>
          <w:rFonts w:ascii="Georgia" w:eastAsia="Georgia" w:hAnsi="Georgia" w:cs="Georgia"/>
        </w:rPr>
        <w:lastRenderedPageBreak/>
        <w:t xml:space="preserve">end…because it was no longer primarily associated with [America]” (Rosenberg 2010, 490). The United States government contributed to advertising this way of life’s real prosperity, which “in turn, opened more spaces for the selling of both foreign and domestic products” (Rosenberg 2010, 490). The United States was bound to extend its lead with such a reinforcing cycle–an undeniable high ground in soft power. </w:t>
      </w:r>
      <w:commentRangeStart w:id="11"/>
      <w:r>
        <w:rPr>
          <w:rFonts w:ascii="Georgia" w:eastAsia="Georgia" w:hAnsi="Georgia" w:cs="Georgia"/>
        </w:rPr>
        <w:t xml:space="preserve">In the Soviet bloc, already “governments had begun to acknowledge that rising levels of consumption were needed to enhance their legitimacy” </w:t>
      </w:r>
      <w:commentRangeEnd w:id="11"/>
      <w:r w:rsidR="00891EC1">
        <w:rPr>
          <w:rStyle w:val="CommentReference"/>
          <w:rFonts w:ascii="Georgia" w:eastAsia="Georgia" w:hAnsi="Georgia" w:cs="Georgia"/>
          <w:sz w:val="22"/>
          <w:szCs w:val="22"/>
        </w:rPr>
        <w:commentReference w:id="11"/>
      </w:r>
      <w:r>
        <w:rPr>
          <w:rFonts w:ascii="Georgia" w:eastAsia="Georgia" w:hAnsi="Georgia" w:cs="Georgia"/>
        </w:rPr>
        <w:t xml:space="preserve">(Rosenberg 2010, 497). Another similar argument is the immense lead the Americans had in computing and networking, which “lay at the heart of global capitalism’s regeneration” in the 1980s (Reynolds 2010, 396). In addition, the communications revolution “made it ever harder to insulate Soviet bloc citizens from evidence of the failure of their regimes” (Reynolds 2010, 398). </w:t>
      </w:r>
      <w:commentRangeStart w:id="12"/>
      <w:r>
        <w:rPr>
          <w:rFonts w:ascii="Georgia" w:eastAsia="Georgia" w:hAnsi="Georgia" w:cs="Georgia"/>
        </w:rPr>
        <w:t xml:space="preserve">Yet, with both of these arguments, I arrive at the same impasse–a leader different from Gorbachev could accept becoming more of a pariah (albeit super-)state, like Iran or Russia today. Essentially, the Soviets could have abandoned norms, utilized its immense war machine, and even proliferated nuclear weapons </w:t>
      </w:r>
      <w:commentRangeEnd w:id="12"/>
      <w:r w:rsidR="00891EC1">
        <w:rPr>
          <w:rStyle w:val="CommentReference"/>
          <w:rFonts w:ascii="Georgia" w:eastAsia="Georgia" w:hAnsi="Georgia" w:cs="Georgia"/>
          <w:sz w:val="22"/>
          <w:szCs w:val="22"/>
        </w:rPr>
        <w:commentReference w:id="12"/>
      </w:r>
      <w:r>
        <w:rPr>
          <w:rFonts w:ascii="Georgia" w:eastAsia="Georgia" w:hAnsi="Georgia" w:cs="Georgia"/>
        </w:rPr>
        <w:t>(Kotkin 2001, 175). The Cold War did not have to end so soon.</w:t>
      </w:r>
    </w:p>
    <w:p w14:paraId="00000018" w14:textId="77777777" w:rsidR="00CD3D2F" w:rsidRDefault="00CD3D2F">
      <w:pPr>
        <w:rPr>
          <w:rFonts w:ascii="Georgia" w:eastAsia="Georgia" w:hAnsi="Georgia" w:cs="Georgia"/>
        </w:rPr>
      </w:pPr>
    </w:p>
    <w:p w14:paraId="00000019" w14:textId="77777777" w:rsidR="00CD3D2F" w:rsidRDefault="00000000">
      <w:pPr>
        <w:rPr>
          <w:rFonts w:ascii="Georgia" w:eastAsia="Georgia" w:hAnsi="Georgia" w:cs="Georgia"/>
        </w:rPr>
      </w:pPr>
      <w:r>
        <w:rPr>
          <w:rFonts w:ascii="Georgia" w:eastAsia="Georgia" w:hAnsi="Georgia" w:cs="Georgia"/>
        </w:rPr>
        <w:t xml:space="preserve">So far, I have listed out various factors that </w:t>
      </w:r>
      <w:r>
        <w:rPr>
          <w:rFonts w:ascii="Georgia" w:eastAsia="Georgia" w:hAnsi="Georgia" w:cs="Georgia"/>
          <w:i/>
          <w:iCs/>
        </w:rPr>
        <w:t>may</w:t>
      </w:r>
      <w:r>
        <w:rPr>
          <w:rFonts w:ascii="Georgia" w:eastAsia="Georgia" w:hAnsi="Georgia" w:cs="Georgia"/>
        </w:rPr>
        <w:t xml:space="preserve"> have played some part in ending the Cold War. I use “may”, as the link between the situation (i.e., economic problems) and outcome (end of Cold War) is tenuous, and each situation could have led to different outcomes. For every single one, I prove that they were not decisive–they alone or in conjunction with each other do not explain the end of the Cold War. Only when combining the factors with Gorbachev’s inherent being and actions can we fully explain the Cold War’s end.</w:t>
      </w:r>
    </w:p>
    <w:p w14:paraId="0000001A" w14:textId="77777777" w:rsidR="00CD3D2F" w:rsidRDefault="00CD3D2F">
      <w:pPr>
        <w:rPr>
          <w:rFonts w:ascii="Georgia" w:eastAsia="Georgia" w:hAnsi="Georgia" w:cs="Georgia"/>
        </w:rPr>
      </w:pPr>
    </w:p>
    <w:p w14:paraId="0000001B" w14:textId="77777777" w:rsidR="00CD3D2F" w:rsidRDefault="00000000">
      <w:pPr>
        <w:rPr>
          <w:rFonts w:ascii="Georgia" w:eastAsia="Georgia" w:hAnsi="Georgia" w:cs="Georgia"/>
        </w:rPr>
      </w:pPr>
      <w:r>
        <w:rPr>
          <w:rFonts w:ascii="Georgia" w:eastAsia="Georgia" w:hAnsi="Georgia" w:cs="Georgia"/>
        </w:rPr>
        <w:t xml:space="preserve">Gorbachev was a “true believer” in Leninism–poring over the texts and identifying personally with Lenin “to plow on when the going got very rough” (Taubman 2017, 216). Citing Lenin also helped politically, by “seeming more faithful to the founder than were [his] immediate predecessors and current Politburo colleagues” (Taubman 2017, 216). </w:t>
      </w:r>
      <w:commentRangeStart w:id="13"/>
      <w:r>
        <w:rPr>
          <w:rFonts w:ascii="Georgia" w:eastAsia="Georgia" w:hAnsi="Georgia" w:cs="Georgia"/>
        </w:rPr>
        <w:t xml:space="preserve">As a result, Gorbachev could avoid suspicion, dodging the negative charges of “reform” (tainted by Khrushchev) </w:t>
      </w:r>
      <w:commentRangeEnd w:id="13"/>
      <w:r w:rsidR="00250725">
        <w:rPr>
          <w:rStyle w:val="CommentReference"/>
          <w:rFonts w:ascii="Georgia" w:eastAsia="Georgia" w:hAnsi="Georgia" w:cs="Georgia"/>
          <w:sz w:val="22"/>
          <w:szCs w:val="22"/>
        </w:rPr>
        <w:commentReference w:id="13"/>
      </w:r>
      <w:r>
        <w:rPr>
          <w:rFonts w:ascii="Georgia" w:eastAsia="Georgia" w:hAnsi="Georgia" w:cs="Georgia"/>
        </w:rPr>
        <w:t>(Taubman 2017, 217). Furthermore, the hierarchical nature of the Communist Party meant that suspicions were generally withheld. This helped accelerate the Cold War’s end, by shielding Gorbachev from a coup for years. Furthermore, he played domestic elite politics masterfully, knowing how Khrushchev was ousted. Eventually, he weakened military opposition by replacing leaders following a security embarrassment, and earlier in his tenure, he tactfully replaced the obstinate, powerful Gromyko with Shevardnadze, ensuring that foreign policy changes were smoother. These changes were crucial factors in ending the Cold War, because Gorbachev was able to set the reform snowball into motion, after which it spiraled out of anyone’s control. Early on, such strategies were necessary because Gorbachev “probably couldn’t have rammed [radical reform] through the Politburo anyway” (Taubman 2017, 228).</w:t>
      </w:r>
    </w:p>
    <w:p w14:paraId="0000001C" w14:textId="77777777" w:rsidR="00CD3D2F" w:rsidRDefault="00CD3D2F">
      <w:pPr>
        <w:rPr>
          <w:rFonts w:ascii="Georgia" w:eastAsia="Georgia" w:hAnsi="Georgia" w:cs="Georgia"/>
        </w:rPr>
      </w:pPr>
    </w:p>
    <w:p w14:paraId="0000001D" w14:textId="77777777" w:rsidR="00CD3D2F" w:rsidRDefault="00000000">
      <w:pPr>
        <w:rPr>
          <w:rFonts w:ascii="Georgia" w:eastAsia="Georgia" w:hAnsi="Georgia" w:cs="Georgia"/>
        </w:rPr>
      </w:pPr>
      <w:r>
        <w:rPr>
          <w:rFonts w:ascii="Georgia" w:eastAsia="Georgia" w:hAnsi="Georgia" w:cs="Georgia"/>
        </w:rPr>
        <w:t xml:space="preserve">The literature concurs that the Cold War was destined to end as the Eastern European satellites slowly realized their new autonomy presented by Moscow. Earlier in the essay, I concluded that the process occurred </w:t>
      </w:r>
      <w:r>
        <w:rPr>
          <w:rFonts w:ascii="Georgia" w:eastAsia="Georgia" w:hAnsi="Georgia" w:cs="Georgia"/>
          <w:i/>
          <w:iCs/>
        </w:rPr>
        <w:t>because of</w:t>
      </w:r>
      <w:r>
        <w:rPr>
          <w:rFonts w:ascii="Georgia" w:eastAsia="Georgia" w:hAnsi="Georgia" w:cs="Georgia"/>
        </w:rPr>
        <w:t xml:space="preserve"> Moscow, far and above any structural factor. Specifically, this was a product of Gorbachev’s philosophy, of which “new thinking” was a component. Some argue that the new generation of Soviet leaders and elites in the 1980s were more travelled and knowledgeable about the prosperity outside the Soviet bloc, which induced the end of the Cold </w:t>
      </w:r>
      <w:r>
        <w:rPr>
          <w:rFonts w:ascii="Georgia" w:eastAsia="Georgia" w:hAnsi="Georgia" w:cs="Georgia"/>
        </w:rPr>
        <w:lastRenderedPageBreak/>
        <w:t xml:space="preserve">War. But such transnational influences do not prescribe one style of thinking–Gromyko travelled plenty and remained steadfast in his ways; Shevardnadze did not travel as much prior to his ascendancy but remained open-minded (Brown 2007, 230). But for Gorbachev, his travel abroad to Canada resulted in his broaching “sore points back home…about the country’s backwardness and the lack of vision…the need for fundamental changes” (Taubman 2017, 185). Some, like Gorbachev’s interlocutor Yakolev, are quick to credit such experiences as important factors resulting in Gorbachev’s latent desire to transform ideals into policy changes (Taubman 2017, 186). In addition, Gorbachev, more than any of his predecessors, was acutely desirous of ascending to the broader European community for reasons beyond material ones–Gorbachev accepted “that the values articulated at Helsinki were universal and that membership in the common European home required endorsement of those ideas” (Foot 2010, 464). </w:t>
      </w:r>
      <w:commentRangeStart w:id="14"/>
      <w:r>
        <w:rPr>
          <w:rFonts w:ascii="Georgia" w:eastAsia="Georgia" w:hAnsi="Georgia" w:cs="Georgia"/>
        </w:rPr>
        <w:t>As a result, Western Europe’s proximity and “soft power” were factors in ending the Cold War, but only because they permeated the vessel of a particular General Secretary.</w:t>
      </w:r>
      <w:commentRangeEnd w:id="14"/>
      <w:r w:rsidR="00ED1646">
        <w:rPr>
          <w:rStyle w:val="CommentReference"/>
          <w:rFonts w:ascii="Georgia" w:eastAsia="Georgia" w:hAnsi="Georgia" w:cs="Georgia"/>
          <w:sz w:val="22"/>
          <w:szCs w:val="22"/>
        </w:rPr>
        <w:commentReference w:id="14"/>
      </w:r>
    </w:p>
    <w:p w14:paraId="0000001E" w14:textId="77777777" w:rsidR="00CD3D2F" w:rsidRDefault="00CD3D2F">
      <w:pPr>
        <w:rPr>
          <w:rFonts w:ascii="Georgia" w:eastAsia="Georgia" w:hAnsi="Georgia" w:cs="Georgia"/>
        </w:rPr>
      </w:pPr>
    </w:p>
    <w:p w14:paraId="0000001F" w14:textId="77777777" w:rsidR="00CD3D2F" w:rsidRDefault="00000000">
      <w:pPr>
        <w:rPr>
          <w:rFonts w:ascii="Georgia" w:eastAsia="Georgia" w:hAnsi="Georgia" w:cs="Georgia"/>
        </w:rPr>
      </w:pPr>
      <w:r>
        <w:rPr>
          <w:rFonts w:ascii="Georgia" w:eastAsia="Georgia" w:hAnsi="Georgia" w:cs="Georgia"/>
        </w:rPr>
        <w:t xml:space="preserve">On a deeper level, Gorbachev refused to contain Eastern Europe because he “linked the development of socialism with the progress of civilization,” which included the sacrosanct concepts of morality, justice, individual rights, and freedoms (Brown 1996, 224). His belief in “humane socialism…from the soul of the Soviet system” was so complete that “to have returned to Stalinist methods to preserve the system would not only destroy his international reputation but ma[k]e a lie of his whole inner life” (Kotkin 2001, 177-78). </w:t>
      </w:r>
      <w:commentRangeStart w:id="15"/>
      <w:r>
        <w:rPr>
          <w:rFonts w:ascii="Georgia" w:eastAsia="Georgia" w:hAnsi="Georgia" w:cs="Georgia"/>
        </w:rPr>
        <w:t xml:space="preserve">It is difficult to overstate how integral ideals and optimism were to Gorbachev. The other structural factors were only recognized to conclude the Cold War </w:t>
      </w:r>
      <w:r>
        <w:rPr>
          <w:rFonts w:ascii="Georgia" w:eastAsia="Georgia" w:hAnsi="Georgia" w:cs="Georgia"/>
          <w:i/>
          <w:iCs/>
        </w:rPr>
        <w:t>because of</w:t>
      </w:r>
      <w:r>
        <w:rPr>
          <w:rFonts w:ascii="Georgia" w:eastAsia="Georgia" w:hAnsi="Georgia" w:cs="Georgia"/>
        </w:rPr>
        <w:t xml:space="preserve"> the “great man.”</w:t>
      </w:r>
      <w:commentRangeEnd w:id="15"/>
      <w:r w:rsidR="00ED1646">
        <w:rPr>
          <w:rStyle w:val="CommentReference"/>
          <w:sz w:val="22"/>
          <w:szCs w:val="22"/>
        </w:rPr>
        <w:commentReference w:id="15"/>
      </w:r>
      <w:r>
        <w:br w:type="page"/>
      </w:r>
    </w:p>
    <w:p w14:paraId="00000020" w14:textId="77777777" w:rsidR="00CD3D2F" w:rsidRDefault="00000000">
      <w:pPr>
        <w:rPr>
          <w:rFonts w:ascii="Georgia" w:eastAsia="Georgia" w:hAnsi="Georgia" w:cs="Georgia"/>
          <w:b/>
          <w:bCs/>
        </w:rPr>
      </w:pPr>
      <w:r>
        <w:rPr>
          <w:rFonts w:ascii="Georgia" w:eastAsia="Georgia" w:hAnsi="Georgia" w:cs="Georgia"/>
          <w:b/>
          <w:bCs/>
        </w:rPr>
        <w:lastRenderedPageBreak/>
        <w:t>References</w:t>
      </w:r>
    </w:p>
    <w:p w14:paraId="00000021" w14:textId="77777777" w:rsidR="00CD3D2F" w:rsidRDefault="00CD3D2F">
      <w:pPr>
        <w:rPr>
          <w:rFonts w:ascii="Georgia" w:eastAsia="Georgia" w:hAnsi="Georgia" w:cs="Georgia"/>
        </w:rPr>
      </w:pPr>
    </w:p>
    <w:p w14:paraId="00000022" w14:textId="77777777" w:rsidR="00CD3D2F" w:rsidRDefault="00000000">
      <w:pPr>
        <w:ind w:left="720" w:hanging="720"/>
        <w:rPr>
          <w:rFonts w:ascii="Georgia" w:eastAsia="Georgia" w:hAnsi="Georgia" w:cs="Georgia"/>
        </w:rPr>
      </w:pPr>
      <w:r>
        <w:rPr>
          <w:rFonts w:ascii="Georgia" w:eastAsia="Georgia" w:hAnsi="Georgia" w:cs="Georgia"/>
        </w:rPr>
        <w:t xml:space="preserve">Arrighi, Giovanni, ‘The world economy and the Cold War, 1970-1990’, in Leffler, M, and Westad, O A, </w:t>
      </w:r>
      <w:r>
        <w:rPr>
          <w:rFonts w:ascii="Georgia" w:eastAsia="Georgia" w:hAnsi="Georgia" w:cs="Georgia"/>
          <w:i/>
          <w:iCs/>
        </w:rPr>
        <w:t>The Cambridge History of the Cold War</w:t>
      </w:r>
      <w:r>
        <w:rPr>
          <w:rFonts w:ascii="Georgia" w:eastAsia="Georgia" w:hAnsi="Georgia" w:cs="Georgia"/>
        </w:rPr>
        <w:t>, vol 3</w:t>
      </w:r>
    </w:p>
    <w:p w14:paraId="00000023" w14:textId="77777777" w:rsidR="00CD3D2F" w:rsidRDefault="00000000">
      <w:pPr>
        <w:ind w:left="720" w:hanging="720"/>
        <w:rPr>
          <w:rFonts w:ascii="Georgia" w:eastAsia="Georgia" w:hAnsi="Georgia" w:cs="Georgia"/>
        </w:rPr>
      </w:pPr>
      <w:r>
        <w:rPr>
          <w:rFonts w:ascii="Georgia" w:eastAsia="Georgia" w:hAnsi="Georgia" w:cs="Georgia"/>
        </w:rPr>
        <w:t xml:space="preserve">Brown, Archie, </w:t>
      </w:r>
      <w:r>
        <w:rPr>
          <w:rFonts w:ascii="Georgia" w:eastAsia="Georgia" w:hAnsi="Georgia" w:cs="Georgia"/>
          <w:i/>
          <w:iCs/>
        </w:rPr>
        <w:t>The Gorbachev Factor</w:t>
      </w:r>
      <w:r>
        <w:rPr>
          <w:rFonts w:ascii="Georgia" w:eastAsia="Georgia" w:hAnsi="Georgia" w:cs="Georgia"/>
        </w:rPr>
        <w:t xml:space="preserve"> 1996</w:t>
      </w:r>
    </w:p>
    <w:p w14:paraId="00000024" w14:textId="77777777" w:rsidR="00CD3D2F" w:rsidRDefault="00000000">
      <w:pPr>
        <w:ind w:left="720" w:hanging="720"/>
        <w:rPr>
          <w:rFonts w:ascii="Georgia" w:eastAsia="Georgia" w:hAnsi="Georgia" w:cs="Georgia"/>
        </w:rPr>
      </w:pPr>
      <w:r>
        <w:rPr>
          <w:rFonts w:ascii="Georgia" w:eastAsia="Georgia" w:hAnsi="Georgia" w:cs="Georgia"/>
        </w:rPr>
        <w:t xml:space="preserve">Brown, Archie, </w:t>
      </w:r>
      <w:r>
        <w:rPr>
          <w:rFonts w:ascii="Georgia" w:eastAsia="Georgia" w:hAnsi="Georgia" w:cs="Georgia"/>
          <w:i/>
          <w:iCs/>
        </w:rPr>
        <w:t>Seven Years That Changed the World: Perestroika in Perspective</w:t>
      </w:r>
      <w:r>
        <w:rPr>
          <w:rFonts w:ascii="Georgia" w:eastAsia="Georgia" w:hAnsi="Georgia" w:cs="Georgia"/>
        </w:rPr>
        <w:t xml:space="preserve"> 2007</w:t>
      </w:r>
    </w:p>
    <w:p w14:paraId="00000025" w14:textId="77777777" w:rsidR="00CD3D2F" w:rsidRDefault="00000000">
      <w:pPr>
        <w:ind w:left="720" w:hanging="720"/>
        <w:rPr>
          <w:rFonts w:ascii="Georgia" w:eastAsia="Georgia" w:hAnsi="Georgia" w:cs="Georgia"/>
        </w:rPr>
      </w:pPr>
      <w:r>
        <w:rPr>
          <w:rFonts w:ascii="Georgia" w:eastAsia="Georgia" w:hAnsi="Georgia" w:cs="Georgia"/>
        </w:rPr>
        <w:t xml:space="preserve">Brown, Archie, </w:t>
      </w:r>
      <w:r>
        <w:rPr>
          <w:rFonts w:ascii="Georgia" w:eastAsia="Georgia" w:hAnsi="Georgia" w:cs="Georgia"/>
          <w:i/>
          <w:iCs/>
        </w:rPr>
        <w:t>The Human Factor: Gorbachev, Reagan, and Thatcher, and the End of the Cold War</w:t>
      </w:r>
      <w:r>
        <w:rPr>
          <w:rFonts w:ascii="Georgia" w:eastAsia="Georgia" w:hAnsi="Georgia" w:cs="Georgia"/>
        </w:rPr>
        <w:t xml:space="preserve"> (Oxford: Oxford University Press, 2020)</w:t>
      </w:r>
    </w:p>
    <w:p w14:paraId="00000026" w14:textId="77777777" w:rsidR="00CD3D2F" w:rsidRDefault="00000000">
      <w:pPr>
        <w:ind w:left="720" w:hanging="720"/>
        <w:rPr>
          <w:rFonts w:ascii="Georgia" w:eastAsia="Georgia" w:hAnsi="Georgia" w:cs="Georgia"/>
        </w:rPr>
      </w:pPr>
      <w:r>
        <w:rPr>
          <w:rFonts w:ascii="Georgia" w:eastAsia="Georgia" w:hAnsi="Georgia" w:cs="Georgia"/>
        </w:rPr>
        <w:t xml:space="preserve">Fischer, Beth, ‘US Foreign Policy under Reagan and Bush’, in Leffler, M, and Westad, O A, </w:t>
      </w:r>
      <w:r>
        <w:rPr>
          <w:rFonts w:ascii="Georgia" w:eastAsia="Georgia" w:hAnsi="Georgia" w:cs="Georgia"/>
          <w:i/>
          <w:iCs/>
        </w:rPr>
        <w:t>The Cambridge History of the Cold War</w:t>
      </w:r>
      <w:r>
        <w:rPr>
          <w:rFonts w:ascii="Georgia" w:eastAsia="Georgia" w:hAnsi="Georgia" w:cs="Georgia"/>
        </w:rPr>
        <w:t>, vol 3</w:t>
      </w:r>
    </w:p>
    <w:p w14:paraId="00000027" w14:textId="77777777" w:rsidR="00CD3D2F" w:rsidRDefault="00000000">
      <w:pPr>
        <w:ind w:left="720" w:hanging="720"/>
        <w:rPr>
          <w:rFonts w:ascii="Georgia" w:eastAsia="Georgia" w:hAnsi="Georgia" w:cs="Georgia"/>
        </w:rPr>
      </w:pPr>
      <w:r>
        <w:rPr>
          <w:rFonts w:ascii="Georgia" w:eastAsia="Georgia" w:hAnsi="Georgia" w:cs="Georgia"/>
        </w:rPr>
        <w:t xml:space="preserve">Foot, Rosemary, ‘The Cold War and human rights’, in Leffler, M, and Westad, O A, </w:t>
      </w:r>
      <w:r>
        <w:rPr>
          <w:rFonts w:ascii="Georgia" w:eastAsia="Georgia" w:hAnsi="Georgia" w:cs="Georgia"/>
          <w:i/>
          <w:iCs/>
        </w:rPr>
        <w:t>The Cambridge History of the Cold War</w:t>
      </w:r>
      <w:r>
        <w:rPr>
          <w:rFonts w:ascii="Georgia" w:eastAsia="Georgia" w:hAnsi="Georgia" w:cs="Georgia"/>
        </w:rPr>
        <w:t>, vol 3</w:t>
      </w:r>
    </w:p>
    <w:p w14:paraId="00000028" w14:textId="77777777" w:rsidR="00CD3D2F" w:rsidRDefault="00000000">
      <w:pPr>
        <w:ind w:left="720" w:hanging="720"/>
        <w:rPr>
          <w:rFonts w:ascii="Georgia" w:eastAsia="Georgia" w:hAnsi="Georgia" w:cs="Georgia"/>
        </w:rPr>
      </w:pPr>
      <w:r>
        <w:rPr>
          <w:rFonts w:ascii="Georgia" w:eastAsia="Georgia" w:hAnsi="Georgia" w:cs="Georgia"/>
        </w:rPr>
        <w:t>Kotkin, Stephen,</w:t>
      </w:r>
      <w:r>
        <w:rPr>
          <w:rFonts w:ascii="Georgia" w:eastAsia="Georgia" w:hAnsi="Georgia" w:cs="Georgia"/>
          <w:i/>
          <w:iCs/>
        </w:rPr>
        <w:t xml:space="preserve"> Armageddon Averted: The Soviet Collapse, 1970-2000</w:t>
      </w:r>
      <w:r>
        <w:rPr>
          <w:rFonts w:ascii="Georgia" w:eastAsia="Georgia" w:hAnsi="Georgia" w:cs="Georgia"/>
        </w:rPr>
        <w:t>, 2001</w:t>
      </w:r>
    </w:p>
    <w:p w14:paraId="00000029" w14:textId="77777777" w:rsidR="00CD3D2F" w:rsidRDefault="00000000">
      <w:pPr>
        <w:ind w:left="720" w:hanging="720"/>
        <w:rPr>
          <w:rFonts w:ascii="Georgia" w:eastAsia="Georgia" w:hAnsi="Georgia" w:cs="Georgia"/>
        </w:rPr>
      </w:pPr>
      <w:r>
        <w:rPr>
          <w:rFonts w:ascii="Georgia" w:eastAsia="Georgia" w:hAnsi="Georgia" w:cs="Georgia"/>
        </w:rPr>
        <w:t xml:space="preserve">Reynolds, David., ‘Science, technology, and the Cold War’, in Leffler, M, and Westad, O A, </w:t>
      </w:r>
      <w:r>
        <w:rPr>
          <w:rFonts w:ascii="Georgia" w:eastAsia="Georgia" w:hAnsi="Georgia" w:cs="Georgia"/>
          <w:i/>
          <w:iCs/>
        </w:rPr>
        <w:t>The Cambridge History of the Cold War</w:t>
      </w:r>
      <w:r>
        <w:rPr>
          <w:rFonts w:ascii="Georgia" w:eastAsia="Georgia" w:hAnsi="Georgia" w:cs="Georgia"/>
        </w:rPr>
        <w:t>, vol 3</w:t>
      </w:r>
    </w:p>
    <w:p w14:paraId="0000002A" w14:textId="77777777" w:rsidR="00CD3D2F" w:rsidRDefault="00000000">
      <w:pPr>
        <w:ind w:left="720" w:hanging="720"/>
        <w:rPr>
          <w:rFonts w:ascii="Georgia" w:eastAsia="Georgia" w:hAnsi="Georgia" w:cs="Georgia"/>
        </w:rPr>
      </w:pPr>
      <w:r>
        <w:rPr>
          <w:rFonts w:ascii="Georgia" w:eastAsia="Georgia" w:hAnsi="Georgia" w:cs="Georgia"/>
        </w:rPr>
        <w:t xml:space="preserve">Rosenberg, Emily S., ‘Consumer capitalism and the end of the Cold War’, in Leffler, M, and Westad, O A, </w:t>
      </w:r>
      <w:r>
        <w:rPr>
          <w:rFonts w:ascii="Georgia" w:eastAsia="Georgia" w:hAnsi="Georgia" w:cs="Georgia"/>
          <w:i/>
          <w:iCs/>
        </w:rPr>
        <w:t>The Cambridge History of the Cold War</w:t>
      </w:r>
      <w:r>
        <w:rPr>
          <w:rFonts w:ascii="Georgia" w:eastAsia="Georgia" w:hAnsi="Georgia" w:cs="Georgia"/>
        </w:rPr>
        <w:t>, vol 3</w:t>
      </w:r>
    </w:p>
    <w:p w14:paraId="0000002B" w14:textId="77777777" w:rsidR="00CD3D2F" w:rsidRDefault="00000000">
      <w:pPr>
        <w:ind w:left="720" w:hanging="720"/>
        <w:rPr>
          <w:rFonts w:ascii="Georgia" w:eastAsia="Georgia" w:hAnsi="Georgia" w:cs="Georgia"/>
        </w:rPr>
      </w:pPr>
      <w:r>
        <w:rPr>
          <w:rFonts w:ascii="Georgia" w:eastAsia="Georgia" w:hAnsi="Georgia" w:cs="Georgia"/>
        </w:rPr>
        <w:t xml:space="preserve">Taubman, William, </w:t>
      </w:r>
      <w:r>
        <w:rPr>
          <w:rFonts w:ascii="Georgia" w:eastAsia="Georgia" w:hAnsi="Georgia" w:cs="Georgia"/>
          <w:i/>
          <w:iCs/>
        </w:rPr>
        <w:t>Gorbachev</w:t>
      </w:r>
      <w:r>
        <w:rPr>
          <w:rFonts w:ascii="Georgia" w:eastAsia="Georgia" w:hAnsi="Georgia" w:cs="Georgia"/>
        </w:rPr>
        <w:t>, 2017</w:t>
      </w:r>
    </w:p>
    <w:p w14:paraId="0000002C" w14:textId="77777777" w:rsidR="00CD3D2F" w:rsidRDefault="00000000">
      <w:pPr>
        <w:ind w:left="720" w:hanging="720"/>
        <w:rPr>
          <w:rFonts w:ascii="Georgia" w:eastAsia="Georgia" w:hAnsi="Georgia" w:cs="Georgia"/>
        </w:rPr>
      </w:pPr>
      <w:r>
        <w:rPr>
          <w:rFonts w:ascii="Georgia" w:eastAsia="Georgia" w:hAnsi="Georgia" w:cs="Georgia"/>
        </w:rPr>
        <w:t xml:space="preserve">Zubok, Vladislav, </w:t>
      </w:r>
      <w:r>
        <w:rPr>
          <w:rFonts w:ascii="Georgia" w:eastAsia="Georgia" w:hAnsi="Georgia" w:cs="Georgia"/>
          <w:i/>
          <w:iCs/>
        </w:rPr>
        <w:t>A Failed Empire: The Soviet Union in the Cold War from Stalin to Gorbachev</w:t>
      </w:r>
      <w:r>
        <w:rPr>
          <w:rFonts w:ascii="Georgia" w:eastAsia="Georgia" w:hAnsi="Georgia" w:cs="Georgia"/>
        </w:rPr>
        <w:t>, 2007</w:t>
      </w:r>
    </w:p>
    <w:sectPr w:rsidR="00CD3D2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Holcroft" w:date="2026-02-12T11:57:00Z" w:initials="SH">
    <w:p w14:paraId="6C027E0A" w14:textId="77777777" w:rsidR="008B1DEA" w:rsidRDefault="008B1DEA" w:rsidP="008B1DEA">
      <w:r>
        <w:rPr>
          <w:rStyle w:val="CommentReference"/>
        </w:rPr>
        <w:annotationRef/>
      </w:r>
      <w:r>
        <w:rPr>
          <w:sz w:val="20"/>
          <w:szCs w:val="20"/>
        </w:rPr>
        <w:t>Good introduction!</w:t>
      </w:r>
    </w:p>
  </w:comment>
  <w:comment w:id="1" w:author="Samuel Holcroft" w:date="2026-02-12T11:57:00Z" w:initials="SH">
    <w:p w14:paraId="7960C7FB" w14:textId="77777777" w:rsidR="008B1DEA" w:rsidRDefault="008B1DEA" w:rsidP="008B1DEA">
      <w:r>
        <w:rPr>
          <w:rStyle w:val="CommentReference"/>
        </w:rPr>
        <w:annotationRef/>
      </w:r>
      <w:r>
        <w:rPr>
          <w:sz w:val="20"/>
          <w:szCs w:val="20"/>
        </w:rPr>
        <w:t>Excellent – and generally good to start by rebutting a common but unconvincing answer to the question</w:t>
      </w:r>
    </w:p>
  </w:comment>
  <w:comment w:id="2" w:author="Samuel Holcroft" w:date="2026-02-12T12:03:00Z" w:initials="SH">
    <w:p w14:paraId="56E34B4C" w14:textId="77777777" w:rsidR="008B1DEA" w:rsidRDefault="008B1DEA" w:rsidP="008B1DEA">
      <w:r>
        <w:rPr>
          <w:rStyle w:val="CommentReference"/>
        </w:rPr>
        <w:annotationRef/>
      </w:r>
      <w:r>
        <w:rPr>
          <w:sz w:val="20"/>
          <w:szCs w:val="20"/>
        </w:rPr>
        <w:t>Good – although Reagan's refusal to make concessions on SDI did, of course, result in the collapse the arms control summit at Reykjavík in 1986; the success of the INF Treaty a year later came after the Soviet Politburo essentially decided to abandon the issue.</w:t>
      </w:r>
    </w:p>
  </w:comment>
  <w:comment w:id="3" w:author="Samuel Holcroft" w:date="2026-02-12T12:06:00Z" w:initials="SH">
    <w:p w14:paraId="5BB306E9" w14:textId="77777777" w:rsidR="008B1DEA" w:rsidRDefault="008B1DEA" w:rsidP="008B1DEA">
      <w:r>
        <w:rPr>
          <w:rStyle w:val="CommentReference"/>
        </w:rPr>
        <w:annotationRef/>
      </w:r>
      <w:r>
        <w:rPr>
          <w:sz w:val="20"/>
          <w:szCs w:val="20"/>
        </w:rPr>
        <w:t xml:space="preserve">We can also return to that old chestnut of Cold War politics – that western leaders with a staunchly anti-communist record (Nixon, Reagan) were, paradoxically, better placed to compromise with the USSR than those vulnerable on their right flank (Kennedy, Bush Sr.) </w:t>
      </w:r>
    </w:p>
  </w:comment>
  <w:comment w:id="4" w:author="Samuel Holcroft" w:date="2026-02-12T12:13:00Z" w:initials="SH">
    <w:p w14:paraId="7FE0C6E6" w14:textId="77777777" w:rsidR="00426734" w:rsidRDefault="00426734" w:rsidP="00426734">
      <w:r>
        <w:rPr>
          <w:rStyle w:val="CommentReference"/>
        </w:rPr>
        <w:annotationRef/>
      </w:r>
      <w:r>
        <w:rPr>
          <w:sz w:val="20"/>
          <w:szCs w:val="20"/>
        </w:rPr>
        <w:t>The contrast between Reagan and Bush Sr. is interesting in this regard</w:t>
      </w:r>
    </w:p>
  </w:comment>
  <w:comment w:id="5" w:author="Samuel Holcroft" w:date="2026-02-12T12:18:00Z" w:initials="SH">
    <w:p w14:paraId="34794292" w14:textId="77777777" w:rsidR="00ED1646" w:rsidRDefault="00506E35" w:rsidP="00ED1646">
      <w:r>
        <w:rPr>
          <w:rStyle w:val="CommentReference"/>
        </w:rPr>
        <w:annotationRef/>
      </w:r>
      <w:r w:rsidR="00ED1646">
        <w:rPr>
          <w:sz w:val="20"/>
          <w:szCs w:val="20"/>
        </w:rPr>
        <w:t xml:space="preserve">Fritz Bartel has a great account of this in </w:t>
      </w:r>
      <w:r w:rsidR="00ED1646">
        <w:rPr>
          <w:i/>
          <w:iCs/>
          <w:sz w:val="20"/>
          <w:szCs w:val="20"/>
        </w:rPr>
        <w:t>The End of Cold War and the Rise of Neoliberalism</w:t>
      </w:r>
    </w:p>
  </w:comment>
  <w:comment w:id="6" w:author="Samuel Holcroft" w:date="2026-02-12T12:19:00Z" w:initials="SH">
    <w:p w14:paraId="4766DFDF" w14:textId="256E440B" w:rsidR="00506E35" w:rsidRDefault="00506E35" w:rsidP="00506E35">
      <w:r>
        <w:rPr>
          <w:rStyle w:val="CommentReference"/>
        </w:rPr>
        <w:annotationRef/>
      </w:r>
      <w:r>
        <w:rPr>
          <w:sz w:val="20"/>
          <w:szCs w:val="20"/>
        </w:rPr>
        <w:t>Excellent</w:t>
      </w:r>
    </w:p>
  </w:comment>
  <w:comment w:id="7" w:author="Samuel Holcroft" w:date="2026-02-12T12:20:00Z" w:initials="SH">
    <w:p w14:paraId="0DD0CAD0" w14:textId="77777777" w:rsidR="00506E35" w:rsidRDefault="00506E35" w:rsidP="00506E35">
      <w:r>
        <w:rPr>
          <w:rStyle w:val="CommentReference"/>
        </w:rPr>
        <w:annotationRef/>
      </w:r>
      <w:r>
        <w:rPr>
          <w:sz w:val="20"/>
          <w:szCs w:val="20"/>
        </w:rPr>
        <w:t xml:space="preserve">Many of these leaders, of course, </w:t>
      </w:r>
      <w:r>
        <w:rPr>
          <w:i/>
          <w:iCs/>
          <w:sz w:val="20"/>
          <w:szCs w:val="20"/>
        </w:rPr>
        <w:t xml:space="preserve">did not want to believe Gorbachev </w:t>
      </w:r>
      <w:r>
        <w:rPr>
          <w:sz w:val="20"/>
          <w:szCs w:val="20"/>
        </w:rPr>
        <w:t>– since the Brezhnev Doctrine was the only thing keeping them in power.</w:t>
      </w:r>
    </w:p>
  </w:comment>
  <w:comment w:id="8" w:author="Samuel Holcroft" w:date="2026-02-12T12:23:00Z" w:initials="SH">
    <w:p w14:paraId="73D3C266" w14:textId="77777777" w:rsidR="00506E35" w:rsidRDefault="00506E35" w:rsidP="00506E35">
      <w:r>
        <w:rPr>
          <w:rStyle w:val="CommentReference"/>
        </w:rPr>
        <w:annotationRef/>
      </w:r>
      <w:r>
        <w:rPr>
          <w:sz w:val="20"/>
          <w:szCs w:val="20"/>
        </w:rPr>
        <w:t>Zubok suggests that doing political reform before and alongside economic reform was a mistake – that the USSR might have survived had it pursued market liberalisation (akin to the CCP) without democratisation. Worth noting that Gorbachev was always more interested in political/constitutional questions than the economy, which he left to Ryzhkov at first.</w:t>
      </w:r>
    </w:p>
  </w:comment>
  <w:comment w:id="9" w:author="Samuel Holcroft" w:date="2026-02-12T12:28:00Z" w:initials="SH">
    <w:p w14:paraId="7A9C2C9A" w14:textId="77777777" w:rsidR="00ED1646" w:rsidRDefault="00891EC1" w:rsidP="00ED1646">
      <w:r>
        <w:rPr>
          <w:rStyle w:val="CommentReference"/>
        </w:rPr>
        <w:annotationRef/>
      </w:r>
      <w:r w:rsidR="00ED1646">
        <w:rPr>
          <w:sz w:val="20"/>
          <w:szCs w:val="20"/>
        </w:rPr>
        <w:t xml:space="preserve">I'm not sure it has anything to do with peasant brutalisation </w:t>
      </w:r>
      <w:r w:rsidR="00ED1646">
        <w:rPr>
          <w:i/>
          <w:iCs/>
          <w:sz w:val="20"/>
          <w:szCs w:val="20"/>
        </w:rPr>
        <w:t xml:space="preserve">per se </w:t>
      </w:r>
      <w:r w:rsidR="00ED1646">
        <w:rPr>
          <w:sz w:val="20"/>
          <w:szCs w:val="20"/>
        </w:rPr>
        <w:t>(the Chinese peasantry had been through plenty) so much as the amount of peasants in each economy. That is to say, China in the 1980s still had a huge peasantry, while the USSR's economy was already heavily industrialised. Massive economic lift-off typically comes from urbanisation, industrialisation, and proletarianisation as peasants become (much more productive) urban workers; China still had all of this to come.</w:t>
      </w:r>
    </w:p>
  </w:comment>
  <w:comment w:id="10" w:author="Samuel Holcroft" w:date="2026-02-12T12:33:00Z" w:initials="SH">
    <w:p w14:paraId="067DEACE" w14:textId="067048C9" w:rsidR="00891EC1" w:rsidRDefault="00891EC1" w:rsidP="00891EC1">
      <w:r>
        <w:rPr>
          <w:rStyle w:val="CommentReference"/>
        </w:rPr>
        <w:annotationRef/>
      </w:r>
      <w:r>
        <w:rPr>
          <w:sz w:val="20"/>
          <w:szCs w:val="20"/>
        </w:rPr>
        <w:t>Perhaps we might say that the USSR was structurally unable to hold onto the satellite states (the Politburo had decided that it would not invade Poland as early as 1981) but not doomed to total collapse; a retrenchment was no doubt possible</w:t>
      </w:r>
    </w:p>
  </w:comment>
  <w:comment w:id="11" w:author="Samuel Holcroft" w:date="2026-02-12T12:35:00Z" w:initials="SH">
    <w:p w14:paraId="4DED71A2" w14:textId="77777777" w:rsidR="00891EC1" w:rsidRDefault="00891EC1" w:rsidP="00891EC1">
      <w:r>
        <w:rPr>
          <w:rStyle w:val="CommentReference"/>
        </w:rPr>
        <w:annotationRef/>
      </w:r>
      <w:r>
        <w:rPr>
          <w:sz w:val="20"/>
          <w:szCs w:val="20"/>
        </w:rPr>
        <w:t>The ideological battle was arguably lost as soon as consumption became the main measure of success.</w:t>
      </w:r>
    </w:p>
  </w:comment>
  <w:comment w:id="12" w:author="Samuel Holcroft" w:date="2026-02-12T12:35:00Z" w:initials="SH">
    <w:p w14:paraId="163289D0" w14:textId="77777777" w:rsidR="00891EC1" w:rsidRDefault="00891EC1" w:rsidP="00891EC1">
      <w:r>
        <w:rPr>
          <w:rStyle w:val="CommentReference"/>
        </w:rPr>
        <w:annotationRef/>
      </w:r>
      <w:r>
        <w:rPr>
          <w:sz w:val="20"/>
          <w:szCs w:val="20"/>
        </w:rPr>
        <w:t>Good</w:t>
      </w:r>
    </w:p>
  </w:comment>
  <w:comment w:id="13" w:author="Samuel Holcroft" w:date="2026-02-12T12:38:00Z" w:initials="SH">
    <w:p w14:paraId="45C58BD7" w14:textId="77777777" w:rsidR="00250725" w:rsidRDefault="00250725" w:rsidP="00250725">
      <w:r>
        <w:rPr>
          <w:rStyle w:val="CommentReference"/>
        </w:rPr>
        <w:annotationRef/>
      </w:r>
      <w:r>
        <w:rPr>
          <w:sz w:val="20"/>
          <w:szCs w:val="20"/>
        </w:rPr>
        <w:t xml:space="preserve">His genuine identification with Lenin also made him speed up reforms that were having catastrophic economic effects; this is a prominent theme in Zubok's </w:t>
      </w:r>
      <w:r>
        <w:rPr>
          <w:i/>
          <w:iCs/>
          <w:sz w:val="20"/>
          <w:szCs w:val="20"/>
        </w:rPr>
        <w:t xml:space="preserve">Collapse. </w:t>
      </w:r>
      <w:r>
        <w:rPr>
          <w:sz w:val="20"/>
          <w:szCs w:val="20"/>
        </w:rPr>
        <w:t>After living through the stagnation of the Brezhnev years, he could not bear any more half-hearted, half-finished reforms.</w:t>
      </w:r>
    </w:p>
  </w:comment>
  <w:comment w:id="14" w:author="Samuel Holcroft" w:date="2026-02-16T17:01:00Z" w:initials="SH">
    <w:p w14:paraId="1CA50211" w14:textId="77777777" w:rsidR="00ED1646" w:rsidRDefault="00ED1646" w:rsidP="00ED1646">
      <w:r>
        <w:rPr>
          <w:rStyle w:val="CommentReference"/>
        </w:rPr>
        <w:annotationRef/>
      </w:r>
      <w:r>
        <w:rPr>
          <w:sz w:val="20"/>
          <w:szCs w:val="20"/>
        </w:rPr>
        <w:t>Excellent</w:t>
      </w:r>
    </w:p>
  </w:comment>
  <w:comment w:id="15" w:author="Samuel Holcroft" w:date="2026-02-16T17:05:00Z" w:initials="SH">
    <w:p w14:paraId="4461A3AB" w14:textId="77777777" w:rsidR="00ED1646" w:rsidRDefault="00ED1646" w:rsidP="00ED1646">
      <w:r>
        <w:rPr>
          <w:rStyle w:val="CommentReference"/>
        </w:rPr>
        <w:annotationRef/>
      </w:r>
      <w:r>
        <w:rPr>
          <w:sz w:val="20"/>
          <w:szCs w:val="20"/>
        </w:rPr>
        <w:t xml:space="preserve">This is a great essay Summit, well done! Your writing is improving week by week. </w:t>
      </w:r>
    </w:p>
    <w:p w14:paraId="70D0C078" w14:textId="77777777" w:rsidR="00ED1646" w:rsidRDefault="00ED1646" w:rsidP="00ED1646"/>
    <w:p w14:paraId="783AA6CF" w14:textId="77777777" w:rsidR="00ED1646" w:rsidRDefault="00ED1646" w:rsidP="00ED1646">
      <w:r>
        <w:rPr>
          <w:sz w:val="20"/>
          <w:szCs w:val="20"/>
        </w:rPr>
        <w:t xml:space="preserve">I don't have much to add except to ask the counterfactual question could another leader have held the Soviet bloc together? In </w:t>
      </w:r>
      <w:r>
        <w:rPr>
          <w:i/>
          <w:iCs/>
          <w:sz w:val="20"/>
          <w:szCs w:val="20"/>
        </w:rPr>
        <w:t xml:space="preserve">Collapse, </w:t>
      </w:r>
      <w:r>
        <w:rPr>
          <w:sz w:val="20"/>
          <w:szCs w:val="20"/>
        </w:rPr>
        <w:t>Zubok suggests that Andropov-style authoritarianism and radical market liberalisation would have been a “much more logical path” for the Soviet system; Gorbachev (whose grasp of economics was poor) put the “cart before the horse” in pushing for constitutional change before market liberalisation (which was carried out ineffectually in any case). But it's also important, of course, to remember that Gorbachev did not spring from nowhere; he was a product of the Soviet system. If he promoted suicidal liberalisation he was a product of the Khrushchev Thaw; if he was too sanguine about the USSR's capacity to survive the dissolution of the Party's monopoly on power, it was, in an odd way, because he was a true believer. Combined with his extraordinary pacifist ideals – his 'new thinking' arguably resembles nothing so much as Russell and Einstein's famous contributions to the Pugwash Conferences – and we get an almost totally unprecedented surrender of power.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027E0A" w15:done="0"/>
  <w15:commentEx w15:paraId="7960C7FB" w15:done="0"/>
  <w15:commentEx w15:paraId="56E34B4C" w15:done="0"/>
  <w15:commentEx w15:paraId="5BB306E9" w15:done="0"/>
  <w15:commentEx w15:paraId="7FE0C6E6" w15:done="0"/>
  <w15:commentEx w15:paraId="34794292" w15:done="0"/>
  <w15:commentEx w15:paraId="4766DFDF" w15:done="0"/>
  <w15:commentEx w15:paraId="0DD0CAD0" w15:done="0"/>
  <w15:commentEx w15:paraId="73D3C266" w15:done="0"/>
  <w15:commentEx w15:paraId="7A9C2C9A" w15:done="0"/>
  <w15:commentEx w15:paraId="067DEACE" w15:done="0"/>
  <w15:commentEx w15:paraId="4DED71A2" w15:done="0"/>
  <w15:commentEx w15:paraId="163289D0" w15:done="0"/>
  <w15:commentEx w15:paraId="45C58BD7" w15:done="0"/>
  <w15:commentEx w15:paraId="1CA50211" w15:done="0"/>
  <w15:commentEx w15:paraId="783AA6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3D309" w16cex:dateUtc="2026-02-12T11:57:00Z"/>
  <w16cex:commentExtensible w16cex:durableId="2B4161C3" w16cex:dateUtc="2026-02-12T11:57:00Z"/>
  <w16cex:commentExtensible w16cex:durableId="75801F3F" w16cex:dateUtc="2026-02-12T12:03:00Z"/>
  <w16cex:commentExtensible w16cex:durableId="53EC019B" w16cex:dateUtc="2026-02-12T12:06:00Z"/>
  <w16cex:commentExtensible w16cex:durableId="72D17208" w16cex:dateUtc="2026-02-12T12:13:00Z"/>
  <w16cex:commentExtensible w16cex:durableId="437ED7E6" w16cex:dateUtc="2026-02-12T12:18:00Z"/>
  <w16cex:commentExtensible w16cex:durableId="2660D069" w16cex:dateUtc="2026-02-12T12:19:00Z"/>
  <w16cex:commentExtensible w16cex:durableId="7240D690" w16cex:dateUtc="2026-02-12T12:20:00Z"/>
  <w16cex:commentExtensible w16cex:durableId="58D6912F" w16cex:dateUtc="2026-02-12T12:23:00Z"/>
  <w16cex:commentExtensible w16cex:durableId="3B0037B6" w16cex:dateUtc="2026-02-12T12:28:00Z"/>
  <w16cex:commentExtensible w16cex:durableId="71BE6EA7" w16cex:dateUtc="2026-02-12T12:33:00Z"/>
  <w16cex:commentExtensible w16cex:durableId="120DB459" w16cex:dateUtc="2026-02-12T12:35:00Z"/>
  <w16cex:commentExtensible w16cex:durableId="2578B120" w16cex:dateUtc="2026-02-12T12:35:00Z"/>
  <w16cex:commentExtensible w16cex:durableId="188251DE" w16cex:dateUtc="2026-02-12T12:38:00Z"/>
  <w16cex:commentExtensible w16cex:durableId="11EA276F" w16cex:dateUtc="2026-02-16T17:01:00Z"/>
  <w16cex:commentExtensible w16cex:durableId="1DCB524A" w16cex:dateUtc="2026-02-16T1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027E0A" w16cid:durableId="3A53D309"/>
  <w16cid:commentId w16cid:paraId="7960C7FB" w16cid:durableId="2B4161C3"/>
  <w16cid:commentId w16cid:paraId="56E34B4C" w16cid:durableId="75801F3F"/>
  <w16cid:commentId w16cid:paraId="5BB306E9" w16cid:durableId="53EC019B"/>
  <w16cid:commentId w16cid:paraId="7FE0C6E6" w16cid:durableId="72D17208"/>
  <w16cid:commentId w16cid:paraId="34794292" w16cid:durableId="437ED7E6"/>
  <w16cid:commentId w16cid:paraId="4766DFDF" w16cid:durableId="2660D069"/>
  <w16cid:commentId w16cid:paraId="0DD0CAD0" w16cid:durableId="7240D690"/>
  <w16cid:commentId w16cid:paraId="73D3C266" w16cid:durableId="58D6912F"/>
  <w16cid:commentId w16cid:paraId="7A9C2C9A" w16cid:durableId="3B0037B6"/>
  <w16cid:commentId w16cid:paraId="067DEACE" w16cid:durableId="71BE6EA7"/>
  <w16cid:commentId w16cid:paraId="4DED71A2" w16cid:durableId="120DB459"/>
  <w16cid:commentId w16cid:paraId="163289D0" w16cid:durableId="2578B120"/>
  <w16cid:commentId w16cid:paraId="45C58BD7" w16cid:durableId="188251DE"/>
  <w16cid:commentId w16cid:paraId="1CA50211" w16cid:durableId="11EA276F"/>
  <w16cid:commentId w16cid:paraId="783AA6CF" w16cid:durableId="1DCB52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752DD" w14:textId="77777777" w:rsidR="00CF7B2B" w:rsidRDefault="00CF7B2B">
      <w:pPr>
        <w:spacing w:line="240" w:lineRule="auto"/>
      </w:pPr>
      <w:r>
        <w:separator/>
      </w:r>
    </w:p>
  </w:endnote>
  <w:endnote w:type="continuationSeparator" w:id="0">
    <w:p w14:paraId="04202E40" w14:textId="77777777" w:rsidR="00CF7B2B" w:rsidRDefault="00CF7B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DB4853A-5AB8-D74A-9A67-1F2E397AFD3A}"/>
    <w:embedBold r:id="rId2" w:fontKey="{80E2161D-D530-164F-9FE0-F3B4DCCEBD91}"/>
    <w:embedItalic r:id="rId3" w:fontKey="{258DEDB5-2E82-7C4B-829E-F137066994F8}"/>
  </w:font>
  <w:font w:name="Times New Roman">
    <w:panose1 w:val="02020603050405020304"/>
    <w:charset w:val="00"/>
    <w:family w:val="roman"/>
    <w:pitch w:val="variable"/>
    <w:sig w:usb0="E0002EFF" w:usb1="C000785B" w:usb2="00000009" w:usb3="00000000" w:csb0="000001FF" w:csb1="00000000"/>
    <w:embedRegular r:id="rId4" w:fontKey="{E971A968-5038-E14C-8CB7-9D761498D2E7}"/>
    <w:embedBold r:id="rId5" w:fontKey="{7598F1E9-DE23-5E4E-863D-37AFDF9171A0}"/>
  </w:font>
  <w:font w:name="Georgia">
    <w:panose1 w:val="02040502050405020303"/>
    <w:charset w:val="00"/>
    <w:family w:val="roman"/>
    <w:pitch w:val="variable"/>
    <w:sig w:usb0="00000287" w:usb1="00000000" w:usb2="00000000" w:usb3="00000000" w:csb0="0000009F" w:csb1="00000000"/>
    <w:embedRegular r:id="rId6" w:fontKey="{E113F2EB-FF14-9447-A1E6-EBAF6769A5F8}"/>
    <w:embedBold r:id="rId7" w:fontKey="{9C937D4C-9718-504F-BB74-56781FC6A923}"/>
    <w:embedItalic r:id="rId8" w:fontKey="{D67B4A4E-969B-3C4C-B2F3-ECA85BDB0E18}"/>
  </w:font>
  <w:font w:name="Calibri">
    <w:panose1 w:val="020F0502020204030204"/>
    <w:charset w:val="00"/>
    <w:family w:val="swiss"/>
    <w:pitch w:val="variable"/>
    <w:sig w:usb0="E0002AFF" w:usb1="C000247B" w:usb2="00000009" w:usb3="00000000" w:csb0="000001FF" w:csb1="00000000"/>
    <w:embedRegular r:id="rId9" w:fontKey="{CD72521C-A475-BA4D-8F42-7617F4B3E96D}"/>
  </w:font>
  <w:font w:name="Cambria">
    <w:panose1 w:val="02040503050406030204"/>
    <w:charset w:val="00"/>
    <w:family w:val="roman"/>
    <w:pitch w:val="variable"/>
    <w:sig w:usb0="E00002FF" w:usb1="400004FF" w:usb2="00000000" w:usb3="00000000" w:csb0="0000019F" w:csb1="00000000"/>
    <w:embedRegular r:id="rId10" w:fontKey="{A8A07EBD-1FCF-644E-958F-1F19F0BD6EA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1D84D" w14:textId="77777777" w:rsidR="00CF7B2B" w:rsidRDefault="00CF7B2B">
      <w:pPr>
        <w:spacing w:line="240" w:lineRule="auto"/>
      </w:pPr>
      <w:r>
        <w:separator/>
      </w:r>
    </w:p>
  </w:footnote>
  <w:footnote w:type="continuationSeparator" w:id="0">
    <w:p w14:paraId="4FD7300A" w14:textId="77777777" w:rsidR="00CF7B2B" w:rsidRDefault="00CF7B2B">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Holcroft">
    <w15:presenceInfo w15:providerId="Windows Live" w15:userId="6d87fc6b14bc9b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D2F"/>
    <w:rsid w:val="00217219"/>
    <w:rsid w:val="00250725"/>
    <w:rsid w:val="00426734"/>
    <w:rsid w:val="00506E35"/>
    <w:rsid w:val="006F7899"/>
    <w:rsid w:val="00891EC1"/>
    <w:rsid w:val="008B1DEA"/>
    <w:rsid w:val="00CD3D2F"/>
    <w:rsid w:val="00CF7B2B"/>
    <w:rsid w:val="00ED16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4984D6"/>
  <w15:docId w15:val="{609D069D-D8A0-A042-9AD4-8D3F08EB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8B1DEA"/>
    <w:rPr>
      <w:sz w:val="16"/>
      <w:szCs w:val="16"/>
    </w:rPr>
  </w:style>
  <w:style w:type="paragraph" w:styleId="CommentText">
    <w:name w:val="annotation text"/>
    <w:basedOn w:val="Normal"/>
    <w:link w:val="CommentTextChar"/>
    <w:uiPriority w:val="99"/>
    <w:semiHidden/>
    <w:unhideWhenUsed/>
    <w:rsid w:val="008B1DEA"/>
    <w:pPr>
      <w:spacing w:line="240" w:lineRule="auto"/>
    </w:pPr>
    <w:rPr>
      <w:sz w:val="20"/>
      <w:szCs w:val="20"/>
    </w:rPr>
  </w:style>
  <w:style w:type="character" w:customStyle="1" w:styleId="CommentTextChar">
    <w:name w:val="Comment Text Char"/>
    <w:basedOn w:val="DefaultParagraphFont"/>
    <w:link w:val="CommentText"/>
    <w:uiPriority w:val="99"/>
    <w:semiHidden/>
    <w:rsid w:val="008B1DEA"/>
    <w:rPr>
      <w:sz w:val="20"/>
      <w:szCs w:val="20"/>
    </w:rPr>
  </w:style>
  <w:style w:type="paragraph" w:styleId="CommentSubject">
    <w:name w:val="annotation subject"/>
    <w:basedOn w:val="CommentText"/>
    <w:next w:val="CommentText"/>
    <w:link w:val="CommentSubjectChar"/>
    <w:uiPriority w:val="99"/>
    <w:semiHidden/>
    <w:unhideWhenUsed/>
    <w:rsid w:val="008B1DEA"/>
    <w:rPr>
      <w:b/>
      <w:bCs/>
    </w:rPr>
  </w:style>
  <w:style w:type="character" w:customStyle="1" w:styleId="CommentSubjectChar">
    <w:name w:val="Comment Subject Char"/>
    <w:basedOn w:val="CommentTextChar"/>
    <w:link w:val="CommentSubject"/>
    <w:uiPriority w:val="99"/>
    <w:semiHidden/>
    <w:rsid w:val="008B1DEA"/>
    <w:rPr>
      <w:b/>
      <w:bCs/>
      <w:sz w:val="20"/>
      <w:szCs w:val="20"/>
    </w:rPr>
  </w:style>
  <w:style w:type="paragraph" w:styleId="Header">
    <w:name w:val="header"/>
    <w:basedOn w:val="Normal"/>
    <w:link w:val="HeaderChar"/>
    <w:uiPriority w:val="99"/>
    <w:unhideWhenUsed/>
    <w:rsid w:val="00891EC1"/>
    <w:pPr>
      <w:tabs>
        <w:tab w:val="center" w:pos="4680"/>
        <w:tab w:val="right" w:pos="9360"/>
      </w:tabs>
      <w:spacing w:line="240" w:lineRule="auto"/>
    </w:pPr>
  </w:style>
  <w:style w:type="character" w:customStyle="1" w:styleId="HeaderChar">
    <w:name w:val="Header Char"/>
    <w:basedOn w:val="DefaultParagraphFont"/>
    <w:link w:val="Header"/>
    <w:uiPriority w:val="99"/>
    <w:rsid w:val="00891EC1"/>
  </w:style>
  <w:style w:type="paragraph" w:styleId="Footer">
    <w:name w:val="footer"/>
    <w:basedOn w:val="Normal"/>
    <w:link w:val="FooterChar"/>
    <w:uiPriority w:val="99"/>
    <w:unhideWhenUsed/>
    <w:rsid w:val="00891EC1"/>
    <w:pPr>
      <w:tabs>
        <w:tab w:val="center" w:pos="4680"/>
        <w:tab w:val="right" w:pos="9360"/>
      </w:tabs>
      <w:spacing w:line="240" w:lineRule="auto"/>
    </w:pPr>
  </w:style>
  <w:style w:type="character" w:customStyle="1" w:styleId="FooterChar">
    <w:name w:val="Footer Char"/>
    <w:basedOn w:val="DefaultParagraphFont"/>
    <w:link w:val="Footer"/>
    <w:uiPriority w:val="99"/>
    <w:rsid w:val="00891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17F29-5C12-CB4F-B02E-1353E2A22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Holcroft</cp:lastModifiedBy>
  <cp:revision>2</cp:revision>
  <dcterms:created xsi:type="dcterms:W3CDTF">2026-02-16T17:05:00Z</dcterms:created>
  <dcterms:modified xsi:type="dcterms:W3CDTF">2026-02-16T17:05:00Z</dcterms:modified>
</cp:coreProperties>
</file>