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520"/>
              <w:left w:type="dxa" w:w="560"/>
              <w:bottom w:type="dxa" w:w="520"/>
              <w:right w:type="dxa" w:w="560"/>
            </w:tcMar>
          </w:tcPr>
          <w:p>
            <w:pPr>
              <w:keepNext w:val="false"/>
              <w:spacing w:after="140" w:before="0" w:line="276"/>
              <w:jc w:val="left"/>
            </w:pPr>
            <w:r>
              <w:rPr>
                <w:rFonts w:ascii="Arial" w:cs="Arial" w:eastAsia="Arial" w:hAnsi="Arial"/>
                <w:b/>
                <w:bCs/>
                <w:caps/>
                <w:color w:val="D4A93A"/>
                <w:spacing w:val="80"/>
                <w:sz w:val="18"/>
                <w:szCs w:val="18"/>
              </w:rPr>
              <w:t xml:space="preserve">EXECUTIVE SUMMARY</w:t>
            </w:r>
          </w:p>
          <w:p>
            <w:pPr>
              <w:keepNext w:val="false"/>
              <w:spacing w:after="20" w:before="0" w:line="276"/>
              <w:jc w:val="left"/>
            </w:pPr>
            <w:r>
              <w:rPr>
                <w:rFonts w:ascii="Arial" w:cs="Arial" w:eastAsia="Arial" w:hAnsi="Arial"/>
                <w:b/>
                <w:bCs/>
                <w:caps w:val="false"/>
                <w:color w:val="FFFFFF"/>
                <w:sz w:val="60"/>
                <w:szCs w:val="60"/>
              </w:rPr>
              <w:t xml:space="preserve">Drava</w:t>
            </w:r>
          </w:p>
          <w:p>
            <w:pPr>
              <w:keepNext w:val="false"/>
              <w:spacing w:after="100" w:before="0" w:line="276"/>
              <w:jc w:val="left"/>
            </w:pPr>
            <w:r>
              <w:rPr>
                <w:rFonts w:ascii="Arial" w:cs="Arial" w:eastAsia="Arial" w:hAnsi="Arial"/>
                <w:b/>
                <w:bCs/>
                <w:caps w:val="false"/>
                <w:color w:val="EAEef7"/>
                <w:sz w:val="26"/>
                <w:szCs w:val="26"/>
              </w:rPr>
              <w:t xml:space="preserve">WhatsApp-Native Payments Platform</w:t>
            </w:r>
          </w:p>
          <w:p>
            <w:pPr>
              <w:keepNext w:val="false"/>
              <w:spacing w:after="0" w:before="0" w:line="300"/>
              <w:jc w:val="left"/>
            </w:pPr>
            <w:r>
              <w:rPr>
                <w:rFonts w:ascii="Arial" w:cs="Arial" w:eastAsia="Arial" w:hAnsi="Arial"/>
                <w:b/>
                <w:bCs/>
                <w:caps w:val="false"/>
                <w:color w:val="EAEef7"/>
                <w:sz w:val="21"/>
                <w:szCs w:val="21"/>
              </w:rPr>
              <w:t xml:space="preserve">Drava</w:t>
            </w:r>
            <w:r>
              <w:rPr>
                <w:rFonts w:ascii="Arial" w:cs="Arial" w:eastAsia="Arial" w:hAnsi="Arial"/>
                <w:b w:val="false"/>
                <w:bCs w:val="false"/>
                <w:caps w:val="false"/>
                <w:color w:val="C5CCE0"/>
                <w:sz w:val="21"/>
                <w:szCs w:val="21"/>
              </w:rPr>
              <w:t xml:space="preserve"> (Sanskrit: “to flow; liquid”). Project scope, phasing, and strategic rationale for a US → India remittance and SMB payments platform delivered through WhatsApp.</w:t>
            </w:r>
          </w:p>
        </w:tc>
      </w:tr>
    </w:tbl>
    <w:p>
      <w:pPr>
        <w:spacing w:after="2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2F2F2" w:val="clear"/>
            <w:tcMar>
              <w:top w:type="dxa" w:w="200"/>
              <w:left w:type="dxa" w:w="150"/>
              <w:bottom w:type="dxa" w:w="200"/>
              <w:right w:type="dxa" w:w="150"/>
            </w:tcMar>
          </w:tcPr>
          <w:p>
            <w:pPr>
              <w:keepNext w:val="false"/>
              <w:spacing w:after="50" w:before="0" w:line="276"/>
              <w:jc w:val="center"/>
            </w:pPr>
            <w:r>
              <w:rPr>
                <w:rFonts w:ascii="Arial" w:cs="Arial" w:eastAsia="Arial" w:hAnsi="Arial"/>
                <w:b/>
                <w:bCs/>
                <w:caps w:val="false"/>
                <w:color w:val="007A68"/>
                <w:sz w:val="34"/>
                <w:szCs w:val="34"/>
              </w:rPr>
              <w:t xml:space="preserve">$135B</w:t>
            </w:r>
          </w:p>
          <w:p>
            <w:pPr>
              <w:keepNext w:val="false"/>
              <w:spacing w:after="0" w:before="0" w:line="240"/>
              <w:jc w:val="center"/>
            </w:pPr>
            <w:r>
              <w:rPr>
                <w:rFonts w:ascii="Arial" w:cs="Arial" w:eastAsia="Arial" w:hAnsi="Arial"/>
                <w:b w:val="false"/>
                <w:bCs w:val="false"/>
                <w:caps w:val="false"/>
                <w:color w:val="595959"/>
                <w:sz w:val="15"/>
                <w:szCs w:val="15"/>
              </w:rPr>
              <w:t xml:space="preserve">India inbound remittances, FY25</w:t>
            </w:r>
          </w:p>
        </w:tc>
        <w:tc>
          <w:tcPr>
            <w:tcW w:type="dxa" w:w="2340"/>
            <w:tcBorders>
              <w:top w:val="none" w:color="FFFFFF" w:sz="0"/>
              <w:left w:val="none" w:color="FFFFFF" w:sz="0"/>
              <w:bottom w:val="none" w:color="FFFFFF" w:sz="0"/>
              <w:right w:val="none" w:color="FFFFFF" w:sz="0"/>
            </w:tcBorders>
            <w:shd w:fill="F2F2F2" w:val="clear"/>
            <w:tcMar>
              <w:top w:type="dxa" w:w="200"/>
              <w:left w:type="dxa" w:w="150"/>
              <w:bottom w:type="dxa" w:w="200"/>
              <w:right w:type="dxa" w:w="150"/>
            </w:tcMar>
          </w:tcPr>
          <w:p>
            <w:pPr>
              <w:keepNext w:val="false"/>
              <w:spacing w:after="50" w:before="0" w:line="276"/>
              <w:jc w:val="center"/>
            </w:pPr>
            <w:r>
              <w:rPr>
                <w:rFonts w:ascii="Arial" w:cs="Arial" w:eastAsia="Arial" w:hAnsi="Arial"/>
                <w:b/>
                <w:bCs/>
                <w:caps w:val="false"/>
                <w:color w:val="B8860B"/>
                <w:sz w:val="34"/>
                <w:szCs w:val="34"/>
              </w:rPr>
              <w:t xml:space="preserve">$12</w:t>
            </w:r>
          </w:p>
          <w:p>
            <w:pPr>
              <w:keepNext w:val="false"/>
              <w:spacing w:after="0" w:before="0" w:line="240"/>
              <w:jc w:val="center"/>
            </w:pPr>
            <w:r>
              <w:rPr>
                <w:rFonts w:ascii="Arial" w:cs="Arial" w:eastAsia="Arial" w:hAnsi="Arial"/>
                <w:b w:val="false"/>
                <w:bCs w:val="false"/>
                <w:caps w:val="false"/>
                <w:color w:val="595959"/>
                <w:sz w:val="15"/>
                <w:szCs w:val="15"/>
              </w:rPr>
              <w:t xml:space="preserve">Projected CAC vs. $80+ incumbents</w:t>
            </w:r>
          </w:p>
        </w:tc>
        <w:tc>
          <w:tcPr>
            <w:tcW w:type="dxa" w:w="2340"/>
            <w:tcBorders>
              <w:top w:val="none" w:color="FFFFFF" w:sz="0"/>
              <w:left w:val="none" w:color="FFFFFF" w:sz="0"/>
              <w:bottom w:val="none" w:color="FFFFFF" w:sz="0"/>
              <w:right w:val="none" w:color="FFFFFF" w:sz="0"/>
            </w:tcBorders>
            <w:shd w:fill="F2F2F2" w:val="clear"/>
            <w:tcMar>
              <w:top w:type="dxa" w:w="200"/>
              <w:left w:type="dxa" w:w="150"/>
              <w:bottom w:type="dxa" w:w="200"/>
              <w:right w:type="dxa" w:w="150"/>
            </w:tcMar>
          </w:tcPr>
          <w:p>
            <w:pPr>
              <w:keepNext w:val="false"/>
              <w:spacing w:after="50" w:before="0" w:line="276"/>
              <w:jc w:val="center"/>
            </w:pPr>
            <w:r>
              <w:rPr>
                <w:rFonts w:ascii="Arial" w:cs="Arial" w:eastAsia="Arial" w:hAnsi="Arial"/>
                <w:b/>
                <w:bCs/>
                <w:caps w:val="false"/>
                <w:color w:val="0D1B4B"/>
                <w:sz w:val="34"/>
                <w:szCs w:val="34"/>
              </w:rPr>
              <w:t xml:space="preserve">64</w:t>
            </w:r>
          </w:p>
          <w:p>
            <w:pPr>
              <w:keepNext w:val="false"/>
              <w:spacing w:after="0" w:before="0" w:line="240"/>
              <w:jc w:val="center"/>
            </w:pPr>
            <w:r>
              <w:rPr>
                <w:rFonts w:ascii="Arial" w:cs="Arial" w:eastAsia="Arial" w:hAnsi="Arial"/>
                <w:b w:val="false"/>
                <w:bCs w:val="false"/>
                <w:caps w:val="false"/>
                <w:color w:val="595959"/>
                <w:sz w:val="15"/>
                <w:szCs w:val="15"/>
              </w:rPr>
              <w:t xml:space="preserve">Features scoped for GTM launch</w:t>
            </w:r>
          </w:p>
        </w:tc>
        <w:tc>
          <w:tcPr>
            <w:tcW w:type="dxa" w:w="2340"/>
            <w:tcBorders>
              <w:top w:val="none" w:color="FFFFFF" w:sz="0"/>
              <w:left w:val="none" w:color="FFFFFF" w:sz="0"/>
              <w:bottom w:val="none" w:color="FFFFFF" w:sz="0"/>
              <w:right w:val="none" w:color="FFFFFF" w:sz="0"/>
            </w:tcBorders>
            <w:shd w:fill="F2F2F2" w:val="clear"/>
            <w:tcMar>
              <w:top w:type="dxa" w:w="200"/>
              <w:left w:type="dxa" w:w="150"/>
              <w:bottom w:type="dxa" w:w="200"/>
              <w:right w:type="dxa" w:w="150"/>
            </w:tcMar>
          </w:tcPr>
          <w:p>
            <w:pPr>
              <w:keepNext w:val="false"/>
              <w:spacing w:after="50" w:before="0" w:line="276"/>
              <w:jc w:val="center"/>
            </w:pPr>
            <w:r>
              <w:rPr>
                <w:rFonts w:ascii="Arial" w:cs="Arial" w:eastAsia="Arial" w:hAnsi="Arial"/>
                <w:b/>
                <w:bCs/>
                <w:caps w:val="false"/>
                <w:color w:val="C0392B"/>
                <w:sz w:val="34"/>
                <w:szCs w:val="34"/>
              </w:rPr>
              <w:t xml:space="preserve">2</w:t>
            </w:r>
          </w:p>
          <w:p>
            <w:pPr>
              <w:keepNext w:val="false"/>
              <w:spacing w:after="0" w:before="0" w:line="240"/>
              <w:jc w:val="center"/>
            </w:pPr>
            <w:r>
              <w:rPr>
                <w:rFonts w:ascii="Arial" w:cs="Arial" w:eastAsia="Arial" w:hAnsi="Arial"/>
                <w:b w:val="false"/>
                <w:bCs w:val="false"/>
                <w:caps w:val="false"/>
                <w:color w:val="595959"/>
                <w:sz w:val="15"/>
                <w:szCs w:val="15"/>
              </w:rPr>
              <w:t xml:space="preserve">Delivery phases: GTM then complete</w:t>
            </w:r>
          </w:p>
        </w:tc>
      </w:tr>
    </w:tbl>
    <w:p>
      <w:pPr>
        <w:spacing w:after="260"/>
      </w:pPr>
      <w:r>
        <w:t xml:space="preserve"/>
      </w:r>
    </w:p>
    <w:p>
      <w:pPr>
        <w:keepNext/>
        <w:spacing w:after="0" w:before="360"/>
      </w:pPr>
      <w:r>
        <w:rPr>
          <w:rFonts w:ascii="Arial" w:cs="Arial" w:eastAsia="Arial" w:hAnsi="Arial"/>
          <w:b/>
          <w:bCs/>
          <w:caps/>
          <w:color w:val="B8860B"/>
          <w:spacing w:val="40"/>
          <w:sz w:val="18"/>
          <w:szCs w:val="18"/>
        </w:rPr>
        <w:t xml:space="preserve">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The Opportunity</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Cross-border remittance is an $860B+ global market, and the US → India corridor is its single largest flow — India received a record $135B in FY25. The dominant players (Western Union, Remitly, Wise) all built their distribution around app downloads and paid acquisition, carrying customer-acquisition costs of $80 or more. Meanwhile, the population sending this money already lives on WhatsApp every day.</w:t>
      </w:r>
    </w:p>
    <w:p>
      <w:pPr>
        <w:keepNext w:val="false"/>
        <w:spacing w:after="140" w:before="0" w:line="288"/>
        <w:jc w:val="left"/>
      </w:pPr>
      <w:r>
        <w:rPr>
          <w:rFonts w:ascii="Arial" w:cs="Arial" w:eastAsia="Arial" w:hAnsi="Arial"/>
          <w:b w:val="false"/>
          <w:bCs w:val="false"/>
          <w:caps w:val="false"/>
          <w:color w:val="2A2A2A"/>
          <w:sz w:val="21"/>
          <w:szCs w:val="21"/>
        </w:rPr>
        <w:t xml:space="preserve">This platform — Drava — places payments directly inside the WhatsApp conversation where the decision to send money is already made. Remitly validated the thesis in April 2025 with a WhatsApp integration — but theirs redirects users to a browser to complete payment. </w:t>
      </w:r>
      <w:r>
        <w:rPr>
          <w:rFonts w:ascii="Arial" w:cs="Arial" w:eastAsia="Arial" w:hAnsi="Arial"/>
          <w:b/>
          <w:bCs/>
          <w:caps w:val="false"/>
          <w:color w:val="0D1B4B"/>
          <w:sz w:val="21"/>
          <w:szCs w:val="21"/>
        </w:rPr>
        <w:t xml:space="preserve">Drava completes the entire transaction natively in-chat, with no redirect</w:t>
      </w:r>
      <w:r>
        <w:rPr>
          <w:rFonts w:ascii="Arial" w:cs="Arial" w:eastAsia="Arial" w:hAnsi="Arial"/>
          <w:b w:val="false"/>
          <w:bCs w:val="false"/>
          <w:caps w:val="false"/>
          <w:color w:val="2A2A2A"/>
          <w:sz w:val="21"/>
          <w:szCs w:val="21"/>
        </w:rPr>
        <w:t xml:space="preserve">, supported by a companion app, a web admin console, and an AI engine for customer service and disputes.</w:t>
      </w:r>
    </w:p>
    <w:p>
      <w:pPr>
        <w:keepNext/>
        <w:spacing w:after="0" w:before="360"/>
      </w:pPr>
      <w:r>
        <w:rPr>
          <w:rFonts w:ascii="Arial" w:cs="Arial" w:eastAsia="Arial" w:hAnsi="Arial"/>
          <w:b/>
          <w:bCs/>
          <w:caps/>
          <w:color w:val="B8860B"/>
          <w:spacing w:val="40"/>
          <w:sz w:val="18"/>
          <w:szCs w:val="18"/>
        </w:rPr>
        <w:t xml:space="preserve">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Strategic Foundations</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Five decisions anchor the project. Each was selected to maximize speed to market and likelihood of success.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6660"/>
      </w:tblGrid>
      <w:tr>
        <w:tc>
          <w:tcPr>
            <w:tcW w:type="dxa" w:w="270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US → India lead corridor</w:t>
            </w:r>
          </w:p>
        </w:tc>
        <w:tc>
          <w:tcPr>
            <w:tcW w:type="dxa" w:w="666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Largest global remittance flow, the most mature instant rail (UPI), high WhatsApp penetration on both ends, and a banked sender profile that clears digital KYC at high rates.</w:t>
            </w:r>
          </w:p>
        </w:tc>
      </w:tr>
      <w:tr>
        <w:tc>
          <w:tcPr>
            <w:tcW w:type="dxa" w:w="270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Non-custodial at GTM</w:t>
            </w:r>
          </w:p>
        </w:tc>
        <w:tc>
          <w:tcPr>
            <w:tcW w:type="dxa" w:w="666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The platform orchestrates while licensed partners settle and hold funds — enabling launch in months rather than the years a custodial license would require. Custody becomes a Phase 2, volume-gated decision.</w:t>
            </w:r>
          </w:p>
        </w:tc>
      </w:tr>
      <w:tr>
        <w:tc>
          <w:tcPr>
            <w:tcW w:type="dxa" w:w="270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Consumer-led, light SMB</w:t>
            </w:r>
          </w:p>
        </w:tc>
        <w:tc>
          <w:tcPr>
            <w:tcW w:type="dxa" w:w="666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Remittance is the primary GTM product; merchant collections ship in a light form. Both share one infrastructure, so full SMB tooling extends naturally in Phase 2.</w:t>
            </w:r>
          </w:p>
        </w:tc>
      </w:tr>
      <w:tr>
        <w:tc>
          <w:tcPr>
            <w:tcW w:type="dxa" w:w="270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WhatsApp + companion app</w:t>
            </w:r>
          </w:p>
        </w:tc>
        <w:tc>
          <w:tcPr>
            <w:tcW w:type="dxa" w:w="666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WhatsApp is the primary relationship surface for every transaction, receipt, and support interaction; the app is a secondary surface.</w:t>
            </w:r>
          </w:p>
        </w:tc>
      </w:tr>
      <w:tr>
        <w:tc>
          <w:tcPr>
            <w:tcW w:type="dxa" w:w="270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AI engine in GTM</w:t>
            </w:r>
          </w:p>
        </w:tc>
        <w:tc>
          <w:tcPr>
            <w:tcW w:type="dxa" w:w="666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Customer service is autonomous from day one; dispute resolution runs as a full pipeline with human approval gates, graduating to autonomy as real data accumulates.</w:t>
            </w:r>
          </w:p>
        </w:tc>
      </w:tr>
    </w:tbl>
    <w:p>
      <w:pPr>
        <w:keepNext/>
        <w:spacing w:after="0" w:before="360"/>
      </w:pPr>
      <w:r>
        <w:rPr>
          <w:rFonts w:ascii="Arial" w:cs="Arial" w:eastAsia="Arial" w:hAnsi="Arial"/>
          <w:b/>
          <w:bCs/>
          <w:caps/>
          <w:color w:val="B8860B"/>
          <w:spacing w:val="40"/>
          <w:sz w:val="18"/>
          <w:szCs w:val="18"/>
        </w:rPr>
        <w:t xml:space="preserve">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The Competitive Wedge</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Four compounding advantages define the position, none of which the incumbents hold together:</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Superior UX — </w:t>
      </w:r>
      <w:r>
        <w:rPr>
          <w:rFonts w:ascii="Arial" w:cs="Arial" w:eastAsia="Arial" w:hAnsi="Arial"/>
          <w:b w:val="false"/>
          <w:bCs w:val="false"/>
          <w:caps w:val="false"/>
          <w:color w:val="2A2A2A"/>
          <w:sz w:val="21"/>
          <w:szCs w:val="21"/>
        </w:rPr>
        <w:t xml:space="preserve">fully native in-chat payment via WhatsApp Flows, with no browser redirect. This is the gap Remitly left open.</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Distribution economics — </w:t>
      </w:r>
      <w:r>
        <w:rPr>
          <w:rFonts w:ascii="Arial" w:cs="Arial" w:eastAsia="Arial" w:hAnsi="Arial"/>
          <w:b w:val="false"/>
          <w:bCs w:val="false"/>
          <w:caps w:val="false"/>
          <w:color w:val="2A2A2A"/>
          <w:sz w:val="21"/>
          <w:szCs w:val="21"/>
        </w:rPr>
        <w:t xml:space="preserve">acquisition through an app users already live in, projected at roughly one-tenth the cost incumbents pay.</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Digital-first compliance — </w:t>
      </w:r>
      <w:r>
        <w:rPr>
          <w:rFonts w:ascii="Arial" w:cs="Arial" w:eastAsia="Arial" w:hAnsi="Arial"/>
          <w:b w:val="false"/>
          <w:bCs w:val="false"/>
          <w:caps w:val="false"/>
          <w:color w:val="2A2A2A"/>
          <w:sz w:val="21"/>
          <w:szCs w:val="21"/>
        </w:rPr>
        <w:t xml:space="preserve">full regional KYC delivered through database and Aadhaar verification, so onboarding feels like three questions, not a paperwork wall.</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UPI-native core — </w:t>
      </w:r>
      <w:r>
        <w:rPr>
          <w:rFonts w:ascii="Arial" w:cs="Arial" w:eastAsia="Arial" w:hAnsi="Arial"/>
          <w:b w:val="false"/>
          <w:bCs w:val="false"/>
          <w:caps w:val="false"/>
          <w:color w:val="2A2A2A"/>
          <w:sz w:val="21"/>
          <w:szCs w:val="21"/>
        </w:rPr>
        <w:t xml:space="preserve">architected around UPI from day one, so every future UPI-enabled corridor (Gulf, SEA) becomes configuration, not a rewrite. Drava rides the rail that is becoming a global standard.</w:t>
      </w:r>
    </w:p>
    <w:p>
      <w:pPr>
        <w:spacing w:after="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
        <w:gridCol w:w="9190"/>
      </w:tblGrid>
      <w:tr>
        <w:tc>
          <w:tcPr>
            <w:tcW w:type="dxa" w:w="170"/>
            <w:tcBorders>
              <w:top w:val="none" w:color="FFFFFF" w:sz="0"/>
              <w:left w:val="none" w:color="FFFFFF" w:sz="0"/>
              <w:bottom w:val="none" w:color="FFFFFF" w:sz="0"/>
              <w:right w:val="none" w:color="FFFFFF" w:sz="0"/>
            </w:tcBorders>
            <w:shd w:fill="007A68" w:val="clear"/>
          </w:tcPr>
          <w:p>
            <w:pPr>
              <w:keepNext w:val="false"/>
              <w:spacing w:after="0" w:before="0" w:line="276"/>
              <w:jc w:val="left"/>
            </w:pPr>
          </w:p>
        </w:tc>
        <w:tc>
          <w:tcPr>
            <w:tcW w:type="dxa" w:w="9190"/>
            <w:tcBorders>
              <w:top w:val="none" w:color="FFFFFF" w:sz="0"/>
              <w:left w:val="none" w:color="FFFFFF" w:sz="0"/>
              <w:bottom w:val="none" w:color="FFFFFF" w:sz="0"/>
              <w:right w:val="none" w:color="FFFFFF" w:sz="0"/>
            </w:tcBorders>
            <w:shd w:fill="E8F5F3" w:val="clear"/>
            <w:tcMar>
              <w:top w:type="dxa" w:w="140"/>
              <w:left w:type="dxa" w:w="200"/>
              <w:bottom w:type="dxa" w:w="140"/>
              <w:right w:type="dxa" w:w="200"/>
            </w:tcMar>
          </w:tcPr>
          <w:p>
            <w:pPr>
              <w:keepNext w:val="false"/>
              <w:spacing w:after="60" w:before="0" w:line="276"/>
              <w:jc w:val="left"/>
            </w:pPr>
            <w:r>
              <w:rPr>
                <w:rFonts w:ascii="Arial" w:cs="Arial" w:eastAsia="Arial" w:hAnsi="Arial"/>
                <w:b/>
                <w:bCs/>
                <w:caps/>
                <w:color w:val="007A68"/>
                <w:spacing w:val="30"/>
                <w:sz w:val="16"/>
                <w:szCs w:val="16"/>
              </w:rPr>
              <w:t xml:space="preserve">Strategic Focus</w:t>
            </w:r>
          </w:p>
          <w:p>
            <w:pPr>
              <w:keepNext w:val="false"/>
              <w:spacing w:after="0" w:before="0" w:line="276"/>
              <w:jc w:val="left"/>
            </w:pPr>
            <w:r>
              <w:rPr>
                <w:rFonts w:ascii="Arial" w:cs="Arial" w:eastAsia="Arial" w:hAnsi="Arial"/>
                <w:b w:val="false"/>
                <w:bCs w:val="false"/>
                <w:caps w:val="false"/>
                <w:color w:val="1A1A1A"/>
                <w:sz w:val="20"/>
                <w:szCs w:val="20"/>
              </w:rPr>
              <w:t xml:space="preserve">Drava’s North Star: be the world’s best way to receive money from abroad into India via UPI — instant, transparent, best-FX, cleanest WhatsApp experience. A niche the domestic UPI giants ignore and the remittance incumbents handle clumsily. Drava is explicitly not a domestic UPI app and not a custodial wallet at GTM.</w:t>
            </w:r>
          </w:p>
        </w:tc>
      </w:tr>
    </w:tbl>
    <w:p>
      <w:pPr>
        <w:keepNext/>
        <w:spacing w:after="0" w:before="360"/>
      </w:pPr>
      <w:r>
        <w:rPr>
          <w:rFonts w:ascii="Arial" w:cs="Arial" w:eastAsia="Arial" w:hAnsi="Arial"/>
          <w:b/>
          <w:bCs/>
          <w:caps/>
          <w:color w:val="B8860B"/>
          <w:spacing w:val="40"/>
          <w:sz w:val="18"/>
          <w:szCs w:val="18"/>
        </w:rPr>
        <w:t xml:space="preserve">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How Drava Differs from Domestic Rails</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Paytm, Pix, and Interac are sometimes mistaken for competitors. They are domestic, single-rail, single-currency systems — the local rails Drava rides on each end, not rivals. Drava moves money between countries, across many rails, through WhatsApp. They move money within one country, on one rail, through their own app. Drava is the cross-border orchestration and relationship layer; the rails are plumbing it routes across.</w:t>
      </w:r>
    </w:p>
    <w:p>
      <w:pPr>
        <w:keepNext/>
        <w:spacing w:after="0" w:before="360"/>
      </w:pPr>
      <w:r>
        <w:rPr>
          <w:rFonts w:ascii="Arial" w:cs="Arial" w:eastAsia="Arial" w:hAnsi="Arial"/>
          <w:b/>
          <w:bCs/>
          <w:caps/>
          <w:color w:val="B8860B"/>
          <w:spacing w:val="40"/>
          <w:sz w:val="18"/>
          <w:szCs w:val="18"/>
        </w:rPr>
        <w:t xml:space="preserve">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Delivery Approach</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The platform is delivered in two phases across nine functional modules and 64 GTM-scoped features.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W w:type="dxa" w:w="1700"/>
            <w:tcBorders>
              <w:top w:val="none" w:color="FFFFFF" w:sz="0"/>
              <w:left w:val="none" w:color="FFFFFF" w:sz="0"/>
              <w:bottom w:val="none" w:color="FFFFFF" w:sz="0"/>
              <w:right w:val="none" w:color="FFFFFF" w:sz="0"/>
            </w:tcBorders>
            <w:shd w:fill="007A68" w:val="clear"/>
            <w:tcMar>
              <w:top w:type="dxa" w:w="160"/>
              <w:left w:type="dxa" w:w="200"/>
              <w:bottom w:type="dxa" w:w="160"/>
              <w:right w:type="dxa" w:w="200"/>
            </w:tcMar>
            <w:vAlign w:val="center"/>
          </w:tcPr>
          <w:p>
            <w:pPr>
              <w:keepNext w:val="false"/>
              <w:spacing w:after="30" w:before="0" w:line="276"/>
              <w:jc w:val="center"/>
            </w:pPr>
            <w:r>
              <w:rPr>
                <w:rFonts w:ascii="Arial" w:cs="Arial" w:eastAsia="Arial" w:hAnsi="Arial"/>
                <w:b/>
                <w:bCs/>
                <w:caps w:val="false"/>
                <w:color w:val="FFFFFF"/>
                <w:sz w:val="26"/>
                <w:szCs w:val="26"/>
              </w:rPr>
              <w:t xml:space="preserve">GTM</w:t>
            </w:r>
          </w:p>
          <w:p>
            <w:pPr>
              <w:keepNext w:val="false"/>
              <w:spacing w:after="0" w:before="0" w:line="276"/>
              <w:jc w:val="center"/>
            </w:pPr>
            <w:r>
              <w:rPr>
                <w:rFonts w:ascii="Arial" w:cs="Arial" w:eastAsia="Arial" w:hAnsi="Arial"/>
                <w:b w:val="false"/>
                <w:bCs w:val="false"/>
                <w:caps w:val="false"/>
                <w:color w:val="C5E8E2"/>
                <w:sz w:val="15"/>
                <w:szCs w:val="15"/>
              </w:rPr>
              <w:t xml:space="preserve">Phase 1</w:t>
            </w:r>
          </w:p>
        </w:tc>
        <w:tc>
          <w:tcPr>
            <w:tcW w:type="dxa" w:w="7660"/>
            <w:tcBorders>
              <w:top w:val="none" w:color="FFFFFF" w:sz="0"/>
              <w:left w:val="none" w:color="FFFFFF" w:sz="0"/>
              <w:bottom w:val="none" w:color="FFFFFF" w:sz="0"/>
              <w:right w:val="none" w:color="FFFFFF" w:sz="0"/>
            </w:tcBorders>
            <w:shd w:fill="E8F5F3" w:val="clear"/>
            <w:tcMar>
              <w:top w:type="dxa" w:w="160"/>
              <w:left w:type="dxa" w:w="220"/>
              <w:bottom w:type="dxa" w:w="160"/>
              <w:right w:type="dxa" w:w="220"/>
            </w:tcMar>
          </w:tcPr>
          <w:p>
            <w:pPr>
              <w:keepNext w:val="false"/>
              <w:spacing w:after="0" w:before="0" w:line="276"/>
              <w:jc w:val="left"/>
            </w:pPr>
            <w:r>
              <w:rPr>
                <w:rFonts w:ascii="Arial" w:cs="Arial" w:eastAsia="Arial" w:hAnsi="Arial"/>
                <w:b w:val="false"/>
                <w:bCs w:val="false"/>
                <w:caps w:val="false"/>
                <w:color w:val="1A1A1A"/>
                <w:sz w:val="19"/>
                <w:szCs w:val="19"/>
              </w:rPr>
              <w:t xml:space="preserve">A functional, compliant, revenue-generating product: native WhatsApp + app remittance on the US → India corridor, card and ACH funding, multi-rail UPI/bank payout, light SMB collections with compliant receipts and GST invoicing, an autonomous AI customer-service bot, a human-gated AI dispute pipeline, a full web admin console, and a referral engine.</w:t>
            </w:r>
          </w:p>
        </w:tc>
      </w:tr>
      <w:tr>
        <w:tc>
          <w:tcPr>
            <w:tcW w:type="dxa" w:w="1700"/>
            <w:tcBorders>
              <w:top w:val="none" w:color="FFFFFF" w:sz="0"/>
              <w:left w:val="none" w:color="FFFFFF" w:sz="0"/>
              <w:bottom w:val="none" w:color="FFFFFF" w:sz="0"/>
              <w:right w:val="none" w:color="FFFFFF" w:sz="0"/>
            </w:tcBorders>
            <w:shd w:fill="0D1B4B" w:val="clear"/>
            <w:tcMar>
              <w:top w:type="dxa" w:w="160"/>
              <w:left w:type="dxa" w:w="200"/>
              <w:bottom w:type="dxa" w:w="160"/>
              <w:right w:type="dxa" w:w="200"/>
            </w:tcMar>
            <w:vAlign w:val="center"/>
          </w:tcPr>
          <w:p>
            <w:pPr>
              <w:keepNext w:val="false"/>
              <w:spacing w:after="30" w:before="0" w:line="276"/>
              <w:jc w:val="center"/>
            </w:pPr>
            <w:r>
              <w:rPr>
                <w:rFonts w:ascii="Arial" w:cs="Arial" w:eastAsia="Arial" w:hAnsi="Arial"/>
                <w:b/>
                <w:bCs/>
                <w:caps w:val="false"/>
                <w:color w:val="FFFFFF"/>
                <w:sz w:val="26"/>
                <w:szCs w:val="26"/>
              </w:rPr>
              <w:t xml:space="preserve">P2</w:t>
            </w:r>
          </w:p>
          <w:p>
            <w:pPr>
              <w:keepNext w:val="false"/>
              <w:spacing w:after="0" w:before="0" w:line="276"/>
              <w:jc w:val="center"/>
            </w:pPr>
            <w:r>
              <w:rPr>
                <w:rFonts w:ascii="Arial" w:cs="Arial" w:eastAsia="Arial" w:hAnsi="Arial"/>
                <w:b w:val="false"/>
                <w:bCs w:val="false"/>
                <w:caps w:val="false"/>
                <w:color w:val="C5CCE0"/>
                <w:sz w:val="15"/>
                <w:szCs w:val="15"/>
              </w:rPr>
              <w:t xml:space="preserve">Phase 2</w:t>
            </w:r>
          </w:p>
        </w:tc>
        <w:tc>
          <w:tcPr>
            <w:tcW w:type="dxa" w:w="7660"/>
            <w:tcBorders>
              <w:top w:val="none" w:color="FFFFFF" w:sz="0"/>
              <w:left w:val="none" w:color="FFFFFF" w:sz="0"/>
              <w:bottom w:val="none" w:color="FFFFFF" w:sz="0"/>
              <w:right w:val="none" w:color="FFFFFF" w:sz="0"/>
            </w:tcBorders>
            <w:shd w:fill="E8EBF4" w:val="clear"/>
            <w:tcMar>
              <w:top w:type="dxa" w:w="160"/>
              <w:left w:type="dxa" w:w="220"/>
              <w:bottom w:type="dxa" w:w="160"/>
              <w:right w:type="dxa" w:w="220"/>
            </w:tcMar>
          </w:tcPr>
          <w:p>
            <w:pPr>
              <w:keepNext w:val="false"/>
              <w:spacing w:after="0" w:before="0" w:line="276"/>
              <w:jc w:val="left"/>
            </w:pPr>
            <w:r>
              <w:rPr>
                <w:rFonts w:ascii="Arial" w:cs="Arial" w:eastAsia="Arial" w:hAnsi="Arial"/>
                <w:b w:val="false"/>
                <w:bCs w:val="false"/>
                <w:caps w:val="false"/>
                <w:color w:val="1A1A1A"/>
                <w:sz w:val="19"/>
                <w:szCs w:val="19"/>
              </w:rPr>
              <w:t xml:space="preserve">Completes depth and scale: the custodial wallet transition with pre-funded liquidity pools, instant-transfer premium, full SMB suite (invoicing, reconciliation, in-chat catalog, subscriptions), graduated autonomous dispute resolution, multi-currency support, advanced analytics, and corridor expansion — with UPI’s international expansion as a strategic input.</w:t>
            </w:r>
          </w:p>
        </w:tc>
      </w:tr>
    </w:tbl>
    <w:p>
      <w:pPr>
        <w:keepNext/>
        <w:spacing w:after="0" w:before="360"/>
      </w:pPr>
      <w:r>
        <w:rPr>
          <w:rFonts w:ascii="Arial" w:cs="Arial" w:eastAsia="Arial" w:hAnsi="Arial"/>
          <w:b/>
          <w:bCs/>
          <w:caps/>
          <w:color w:val="B8860B"/>
          <w:spacing w:val="40"/>
          <w:sz w:val="18"/>
          <w:szCs w:val="18"/>
        </w:rPr>
        <w:t xml:space="preserve">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Next Steps</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With scope and phasing approved, the program proceeds to High-Level and Low-Level Design for each phase, beginning with GTM. Five parameters carry into that work: the AI dispute autonomy boundary, KYC limit thresholds, the custodial transition trigger, the UPI exportable-rail strategy, and ACH risk-hold parameters.</w:t>
      </w:r>
    </w:p>
    <w:p>
      <w:pPr>
        <w:spacing w:after="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
        <w:gridCol w:w="9190"/>
      </w:tblGrid>
      <w:tr>
        <w:tc>
          <w:tcPr>
            <w:tcW w:type="dxa" w:w="170"/>
            <w:tcBorders>
              <w:top w:val="none" w:color="FFFFFF" w:sz="0"/>
              <w:left w:val="none" w:color="FFFFFF" w:sz="0"/>
              <w:bottom w:val="none" w:color="FFFFFF" w:sz="0"/>
              <w:right w:val="none" w:color="FFFFFF" w:sz="0"/>
            </w:tcBorders>
            <w:shd w:fill="B8860B" w:val="clear"/>
          </w:tcPr>
          <w:p>
            <w:pPr>
              <w:keepNext w:val="false"/>
              <w:spacing w:after="0" w:before="0" w:line="276"/>
              <w:jc w:val="left"/>
            </w:pPr>
          </w:p>
        </w:tc>
        <w:tc>
          <w:tcPr>
            <w:tcW w:type="dxa" w:w="9190"/>
            <w:tcBorders>
              <w:top w:val="none" w:color="FFFFFF" w:sz="0"/>
              <w:left w:val="none" w:color="FFFFFF" w:sz="0"/>
              <w:bottom w:val="none" w:color="FFFFFF" w:sz="0"/>
              <w:right w:val="none" w:color="FFFFFF" w:sz="0"/>
            </w:tcBorders>
            <w:shd w:fill="FCF6E8" w:val="clear"/>
            <w:tcMar>
              <w:top w:type="dxa" w:w="140"/>
              <w:left w:type="dxa" w:w="200"/>
              <w:bottom w:type="dxa" w:w="140"/>
              <w:right w:type="dxa" w:w="200"/>
            </w:tcMar>
          </w:tcPr>
          <w:p>
            <w:pPr>
              <w:keepNext w:val="false"/>
              <w:spacing w:after="60" w:before="0" w:line="276"/>
              <w:jc w:val="left"/>
            </w:pPr>
            <w:r>
              <w:rPr>
                <w:rFonts w:ascii="Arial" w:cs="Arial" w:eastAsia="Arial" w:hAnsi="Arial"/>
                <w:b/>
                <w:bCs/>
                <w:caps/>
                <w:color w:val="B8860B"/>
                <w:spacing w:val="30"/>
                <w:sz w:val="16"/>
                <w:szCs w:val="16"/>
              </w:rPr>
              <w:t xml:space="preserve">The Core Thesis</w:t>
            </w:r>
          </w:p>
          <w:p>
            <w:pPr>
              <w:keepNext w:val="false"/>
              <w:spacing w:after="0" w:before="0" w:line="276"/>
              <w:jc w:val="left"/>
            </w:pPr>
            <w:r>
              <w:rPr>
                <w:rFonts w:ascii="Arial" w:cs="Arial" w:eastAsia="Arial" w:hAnsi="Arial"/>
                <w:b w:val="false"/>
                <w:bCs w:val="false"/>
                <w:caps w:val="false"/>
                <w:color w:val="1A1A1A"/>
                <w:sz w:val="20"/>
                <w:szCs w:val="20"/>
              </w:rPr>
              <w:t xml:space="preserve">The distribution channel is already built — 2.7 billion people use WhatsApp daily. The payment layer is not. This project builds that layer, starting with the world’s largest remittance corridor.</w:t>
            </w:r>
          </w:p>
        </w:tc>
      </w:tr>
    </w:tbl>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before="60"/>
      <w:jc w:val="center"/>
    </w:pPr>
    <w:r>
      <w:rPr>
        <w:rFonts w:ascii="Arial" w:cs="Arial" w:eastAsia="Arial" w:hAnsi="Arial"/>
        <w:b w:val="false"/>
        <w:bCs w:val="false"/>
        <w:caps w:val="false"/>
        <w:color w:val="595959"/>
        <w:sz w:val="15"/>
        <w:szCs w:val="15"/>
      </w:rPr>
      <w:t xml:space="preserve">Confidential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b w:val="false"/>
        <w:bCs w:val="false"/>
        <w:caps w:val="false"/>
        <w:color w:val="595959"/>
        <w:sz w:val="15"/>
        <w:szCs w:val="15"/>
      </w:rPr>
      <w:t xml:space="preserv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6"/>
      </w:pBdr>
      <w:tabs>
        <w:tab w:val="right" w:pos="9360"/>
      </w:tabs>
      <w:spacing w:after="0"/>
    </w:pPr>
    <w:r>
      <w:rPr>
        <w:rFonts w:ascii="Arial" w:cs="Arial" w:eastAsia="Arial" w:hAnsi="Arial"/>
        <w:b/>
        <w:bCs/>
        <w:caps/>
        <w:color w:val="0D1B4B"/>
        <w:spacing w:val="20"/>
        <w:sz w:val="15"/>
        <w:szCs w:val="15"/>
      </w:rPr>
      <w:t xml:space="preserve">EXECUTIVE SUMMARY</w:t>
    </w:r>
    <w:r>
      <w:rPr>
        <w:rFonts w:ascii="Arial" w:cs="Arial" w:eastAsia="Arial" w:hAnsi="Arial"/>
        <w:color w:val="595959"/>
        <w:sz w:val="15"/>
        <w:szCs w:val="15"/>
      </w:rPr>
      <w:t xml:space="preserve">	WhatsApp Payments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0D1B4B"/>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D1B4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Payments Platform — Executive Summary</dc:title>
  <dc:creator>Strategy &amp; Product</dc:creator>
  <cp:lastModifiedBy>Un-named</cp:lastModifiedBy>
  <cp:revision>1</cp:revision>
  <dcterms:created xsi:type="dcterms:W3CDTF">2026-06-02T22:09:48.919Z</dcterms:created>
  <dcterms:modified xsi:type="dcterms:W3CDTF">2026-06-02T22:09:48.919Z</dcterms:modified>
</cp:coreProperties>
</file>

<file path=docProps/custom.xml><?xml version="1.0" encoding="utf-8"?>
<Properties xmlns="http://schemas.openxmlformats.org/officeDocument/2006/custom-properties" xmlns:vt="http://schemas.openxmlformats.org/officeDocument/2006/docPropsVTypes"/>
</file>