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0D1B4B" w:val="clear"/>
            <w:tcMar>
              <w:top w:type="dxa" w:w="560"/>
              <w:left w:type="dxa" w:w="560"/>
              <w:bottom w:type="dxa" w:w="560"/>
              <w:right w:type="dxa" w:w="560"/>
            </w:tcMar>
          </w:tcPr>
          <w:p>
            <w:pPr>
              <w:keepNext w:val="false"/>
              <w:spacing w:after="140" w:before="0" w:line="276"/>
              <w:jc w:val="left"/>
            </w:pPr>
            <w:r>
              <w:rPr>
                <w:rFonts w:ascii="Arial" w:cs="Arial" w:eastAsia="Arial" w:hAnsi="Arial"/>
                <w:b/>
                <w:bCs/>
                <w:caps/>
                <w:color w:val="D4A93A"/>
                <w:spacing w:val="80"/>
                <w:sz w:val="18"/>
                <w:szCs w:val="18"/>
              </w:rPr>
              <w:t xml:space="preserve">PROJECT SPECIFICATION</w:t>
            </w:r>
          </w:p>
          <w:p>
            <w:pPr>
              <w:keepNext w:val="false"/>
              <w:spacing w:after="30" w:before="0" w:line="276"/>
              <w:jc w:val="left"/>
            </w:pPr>
            <w:r>
              <w:rPr>
                <w:rFonts w:ascii="Arial" w:cs="Arial" w:eastAsia="Arial" w:hAnsi="Arial"/>
                <w:b/>
                <w:bCs/>
                <w:caps w:val="false"/>
                <w:color w:val="FFFFFF"/>
                <w:sz w:val="64"/>
                <w:szCs w:val="64"/>
              </w:rPr>
              <w:t xml:space="preserve">Drava</w:t>
            </w:r>
          </w:p>
          <w:p>
            <w:pPr>
              <w:keepNext w:val="false"/>
              <w:spacing w:after="50" w:before="0" w:line="276"/>
              <w:jc w:val="left"/>
            </w:pPr>
            <w:r>
              <w:rPr>
                <w:rFonts w:ascii="Arial" w:cs="Arial" w:eastAsia="Arial" w:hAnsi="Arial"/>
                <w:b/>
                <w:bCs/>
                <w:caps w:val="false"/>
                <w:color w:val="EAEef7"/>
                <w:sz w:val="30"/>
                <w:szCs w:val="30"/>
              </w:rPr>
              <w:t xml:space="preserve">WhatsApp-Native Payments Platform</w:t>
            </w:r>
          </w:p>
          <w:p>
            <w:pPr>
              <w:keepNext w:val="false"/>
              <w:spacing w:after="200" w:before="0" w:line="276"/>
              <w:jc w:val="left"/>
            </w:pPr>
            <w:r>
              <w:rPr>
                <w:rFonts w:ascii="Arial" w:cs="Arial" w:eastAsia="Arial" w:hAnsi="Arial"/>
                <w:b/>
                <w:bCs/>
                <w:caps w:val="false"/>
                <w:color w:val="D4A93A"/>
                <w:sz w:val="22"/>
                <w:szCs w:val="22"/>
              </w:rPr>
              <w:t xml:space="preserve">Phase-Wise Delivery Plan &amp; Detailed Feature Specification</w:t>
            </w:r>
          </w:p>
          <w:p>
            <w:pPr>
              <w:keepNext w:val="false"/>
              <w:spacing w:after="0" w:before="0" w:line="300"/>
              <w:jc w:val="left"/>
            </w:pPr>
            <w:r>
              <w:rPr>
                <w:rFonts w:ascii="Arial" w:cs="Arial" w:eastAsia="Arial" w:hAnsi="Arial"/>
                <w:b/>
                <w:bCs/>
                <w:caps w:val="false"/>
                <w:color w:val="EAEef7"/>
                <w:sz w:val="20"/>
                <w:szCs w:val="20"/>
              </w:rPr>
              <w:t xml:space="preserve">Drava</w:t>
            </w:r>
            <w:r>
              <w:rPr>
                <w:rFonts w:ascii="Arial" w:cs="Arial" w:eastAsia="Arial" w:hAnsi="Arial"/>
                <w:b w:val="false"/>
                <w:bCs w:val="false"/>
                <w:caps w:val="false"/>
                <w:color w:val="C5CCE0"/>
                <w:sz w:val="20"/>
                <w:szCs w:val="20"/>
              </w:rPr>
              <w:t xml:space="preserve"> (Sanskrit: “to flow; liquid”) — the platform carries value across borders the way liquid flows: instantly, cleanly, and without friction. This document defines the complete scope for the US → India remittance and SMB payments platform, organized by delivery phase, with each feature defined by what it is, what it does, and the business value it delivers.</w:t>
            </w:r>
          </w:p>
        </w:tc>
      </w:tr>
    </w:tbl>
    <w:p>
      <w:pPr>
        <w:spacing w:after="18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2F2F2" w:val="clear"/>
            <w:tcMar>
              <w:top w:type="dxa" w:w="160"/>
              <w:left w:type="dxa" w:w="180"/>
              <w:bottom w:type="dxa" w:w="160"/>
              <w:right w:type="dxa" w:w="180"/>
            </w:tcMar>
          </w:tcPr>
          <w:p>
            <w:pPr>
              <w:keepNext w:val="false"/>
              <w:spacing w:after="40" w:before="0" w:line="276"/>
              <w:jc w:val="center"/>
            </w:pPr>
            <w:r>
              <w:rPr>
                <w:rFonts w:ascii="Arial" w:cs="Arial" w:eastAsia="Arial" w:hAnsi="Arial"/>
                <w:b/>
                <w:bCs/>
                <w:caps/>
                <w:color w:val="595959"/>
                <w:spacing w:val="20"/>
                <w:sz w:val="15"/>
                <w:szCs w:val="15"/>
              </w:rPr>
              <w:t xml:space="preserve">Lead Corridor</w:t>
            </w:r>
          </w:p>
          <w:p>
            <w:pPr>
              <w:keepNext w:val="false"/>
              <w:spacing w:after="0" w:before="0" w:line="276"/>
              <w:jc w:val="center"/>
            </w:pPr>
            <w:r>
              <w:rPr>
                <w:rFonts w:ascii="Arial" w:cs="Arial" w:eastAsia="Arial" w:hAnsi="Arial"/>
                <w:b/>
                <w:bCs/>
                <w:caps w:val="false"/>
                <w:color w:val="0D1B4B"/>
                <w:sz w:val="20"/>
                <w:szCs w:val="20"/>
              </w:rPr>
              <w:t xml:space="preserve">US → India</w:t>
            </w:r>
          </w:p>
        </w:tc>
        <w:tc>
          <w:tcPr>
            <w:tcW w:type="dxa" w:w="2340"/>
            <w:tcBorders>
              <w:top w:val="none" w:color="FFFFFF" w:sz="0"/>
              <w:left w:val="none" w:color="FFFFFF" w:sz="0"/>
              <w:bottom w:val="none" w:color="FFFFFF" w:sz="0"/>
              <w:right w:val="none" w:color="FFFFFF" w:sz="0"/>
            </w:tcBorders>
            <w:shd w:fill="E8EBF4" w:val="clear"/>
            <w:tcMar>
              <w:top w:type="dxa" w:w="160"/>
              <w:left w:type="dxa" w:w="180"/>
              <w:bottom w:type="dxa" w:w="160"/>
              <w:right w:type="dxa" w:w="180"/>
            </w:tcMar>
          </w:tcPr>
          <w:p>
            <w:pPr>
              <w:keepNext w:val="false"/>
              <w:spacing w:after="40" w:before="0" w:line="276"/>
              <w:jc w:val="center"/>
            </w:pPr>
            <w:r>
              <w:rPr>
                <w:rFonts w:ascii="Arial" w:cs="Arial" w:eastAsia="Arial" w:hAnsi="Arial"/>
                <w:b/>
                <w:bCs/>
                <w:caps/>
                <w:color w:val="595959"/>
                <w:spacing w:val="20"/>
                <w:sz w:val="15"/>
                <w:szCs w:val="15"/>
              </w:rPr>
              <w:t xml:space="preserve">Custody Model</w:t>
            </w:r>
          </w:p>
          <w:p>
            <w:pPr>
              <w:keepNext w:val="false"/>
              <w:spacing w:after="0" w:before="0" w:line="276"/>
              <w:jc w:val="center"/>
            </w:pPr>
            <w:r>
              <w:rPr>
                <w:rFonts w:ascii="Arial" w:cs="Arial" w:eastAsia="Arial" w:hAnsi="Arial"/>
                <w:b/>
                <w:bCs/>
                <w:caps w:val="false"/>
                <w:color w:val="0D1B4B"/>
                <w:sz w:val="20"/>
                <w:szCs w:val="20"/>
              </w:rPr>
              <w:t xml:space="preserve">Non-Custodial</w:t>
            </w:r>
          </w:p>
        </w:tc>
        <w:tc>
          <w:tcPr>
            <w:tcW w:type="dxa" w:w="2340"/>
            <w:tcBorders>
              <w:top w:val="none" w:color="FFFFFF" w:sz="0"/>
              <w:left w:val="none" w:color="FFFFFF" w:sz="0"/>
              <w:bottom w:val="none" w:color="FFFFFF" w:sz="0"/>
              <w:right w:val="none" w:color="FFFFFF" w:sz="0"/>
            </w:tcBorders>
            <w:shd w:fill="F2F2F2" w:val="clear"/>
            <w:tcMar>
              <w:top w:type="dxa" w:w="160"/>
              <w:left w:type="dxa" w:w="180"/>
              <w:bottom w:type="dxa" w:w="160"/>
              <w:right w:type="dxa" w:w="180"/>
            </w:tcMar>
          </w:tcPr>
          <w:p>
            <w:pPr>
              <w:keepNext w:val="false"/>
              <w:spacing w:after="40" w:before="0" w:line="276"/>
              <w:jc w:val="center"/>
            </w:pPr>
            <w:r>
              <w:rPr>
                <w:rFonts w:ascii="Arial" w:cs="Arial" w:eastAsia="Arial" w:hAnsi="Arial"/>
                <w:b/>
                <w:bCs/>
                <w:caps/>
                <w:color w:val="595959"/>
                <w:spacing w:val="20"/>
                <w:sz w:val="15"/>
                <w:szCs w:val="15"/>
              </w:rPr>
              <w:t xml:space="preserve">Client Surface</w:t>
            </w:r>
          </w:p>
          <w:p>
            <w:pPr>
              <w:keepNext w:val="false"/>
              <w:spacing w:after="0" w:before="0" w:line="276"/>
              <w:jc w:val="center"/>
            </w:pPr>
            <w:r>
              <w:rPr>
                <w:rFonts w:ascii="Arial" w:cs="Arial" w:eastAsia="Arial" w:hAnsi="Arial"/>
                <w:b/>
                <w:bCs/>
                <w:caps w:val="false"/>
                <w:color w:val="0D1B4B"/>
                <w:sz w:val="20"/>
                <w:szCs w:val="20"/>
              </w:rPr>
              <w:t xml:space="preserve">WhatsApp + App</w:t>
            </w:r>
          </w:p>
        </w:tc>
        <w:tc>
          <w:tcPr>
            <w:tcW w:type="dxa" w:w="2340"/>
            <w:tcBorders>
              <w:top w:val="none" w:color="FFFFFF" w:sz="0"/>
              <w:left w:val="none" w:color="FFFFFF" w:sz="0"/>
              <w:bottom w:val="none" w:color="FFFFFF" w:sz="0"/>
              <w:right w:val="none" w:color="FFFFFF" w:sz="0"/>
            </w:tcBorders>
            <w:shd w:fill="E8EBF4" w:val="clear"/>
            <w:tcMar>
              <w:top w:type="dxa" w:w="160"/>
              <w:left w:type="dxa" w:w="180"/>
              <w:bottom w:type="dxa" w:w="160"/>
              <w:right w:type="dxa" w:w="180"/>
            </w:tcMar>
          </w:tcPr>
          <w:p>
            <w:pPr>
              <w:keepNext w:val="false"/>
              <w:spacing w:after="40" w:before="0" w:line="276"/>
              <w:jc w:val="center"/>
            </w:pPr>
            <w:r>
              <w:rPr>
                <w:rFonts w:ascii="Arial" w:cs="Arial" w:eastAsia="Arial" w:hAnsi="Arial"/>
                <w:b/>
                <w:bCs/>
                <w:caps/>
                <w:color w:val="595959"/>
                <w:spacing w:val="20"/>
                <w:sz w:val="15"/>
                <w:szCs w:val="15"/>
              </w:rPr>
              <w:t xml:space="preserve">Phasing</w:t>
            </w:r>
          </w:p>
          <w:p>
            <w:pPr>
              <w:keepNext w:val="false"/>
              <w:spacing w:after="0" w:before="0" w:line="276"/>
              <w:jc w:val="center"/>
            </w:pPr>
            <w:r>
              <w:rPr>
                <w:rFonts w:ascii="Arial" w:cs="Arial" w:eastAsia="Arial" w:hAnsi="Arial"/>
                <w:b/>
                <w:bCs/>
                <w:caps w:val="false"/>
                <w:color w:val="0D1B4B"/>
                <w:sz w:val="20"/>
                <w:szCs w:val="20"/>
              </w:rPr>
              <w:t xml:space="preserve">GTM → Phase 2</w:t>
            </w:r>
          </w:p>
        </w:tc>
      </w:tr>
    </w:tbl>
    <w:p>
      <w:pPr>
        <w:spacing w:after="260"/>
      </w:pPr>
      <w:r>
        <w:t xml:space="preserve"/>
      </w:r>
    </w:p>
    <w:p>
      <w:pPr>
        <w:keepNext w:val="false"/>
        <w:pBdr>
          <w:bottom w:val="single" w:color="B8860B" w:sz="8" w:space="4"/>
        </w:pBdr>
        <w:spacing w:after="120" w:before="0" w:line="276"/>
        <w:jc w:val="left"/>
      </w:pPr>
      <w:r>
        <w:rPr>
          <w:rFonts w:ascii="Arial" w:cs="Arial" w:eastAsia="Arial" w:hAnsi="Arial"/>
          <w:b/>
          <w:bCs/>
          <w:caps w:val="false"/>
          <w:color w:val="0D1B4B"/>
          <w:sz w:val="26"/>
          <w:szCs w:val="26"/>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keepNext/>
        <w:spacing w:after="0" w:before="360"/>
      </w:pPr>
      <w:r>
        <w:rPr>
          <w:rFonts w:ascii="Arial" w:cs="Arial" w:eastAsia="Arial" w:hAnsi="Arial"/>
          <w:b/>
          <w:bCs/>
          <w:caps/>
          <w:color w:val="B8860B"/>
          <w:spacing w:val="40"/>
          <w:sz w:val="18"/>
          <w:szCs w:val="18"/>
        </w:rPr>
        <w:t xml:space="preserve">01  </w:t>
      </w:r>
    </w:p>
    <w:p>
      <w:pPr>
        <w:pStyle w:val="Heading1"/>
        <w:keepNext/>
        <w:pBdr>
          <w:bottom w:val="single" w:color="B8860B" w:sz="10" w:space="6"/>
        </w:pBdr>
        <w:spacing w:after="100" w:before="0"/>
      </w:pPr>
      <w:r>
        <w:rPr>
          <w:rFonts w:ascii="Arial" w:cs="Arial" w:eastAsia="Arial" w:hAnsi="Arial"/>
          <w:b/>
          <w:bCs/>
          <w:caps w:val="false"/>
          <w:color w:val="0D1B4B"/>
          <w:sz w:val="30"/>
          <w:szCs w:val="30"/>
        </w:rPr>
        <w:t xml:space="preserve">How to Read This Document</w:t>
      </w:r>
    </w:p>
    <w:p>
      <w:pPr>
        <w:spacing w:after="140"/>
      </w:pPr>
      <w:r>
        <w:t xml:space="preserve"/>
      </w:r>
    </w:p>
    <w:p>
      <w:pPr>
        <w:keepNext w:val="false"/>
        <w:spacing w:after="140" w:before="0" w:line="288"/>
        <w:jc w:val="left"/>
      </w:pPr>
      <w:r>
        <w:rPr>
          <w:rFonts w:ascii="Arial" w:cs="Arial" w:eastAsia="Arial" w:hAnsi="Arial"/>
          <w:b w:val="false"/>
          <w:bCs w:val="false"/>
          <w:caps w:val="false"/>
          <w:color w:val="2A2A2A"/>
          <w:sz w:val="21"/>
          <w:szCs w:val="21"/>
        </w:rPr>
        <w:t xml:space="preserve">This specification is organized by delivery phase. It states what the platform delivers at Go-To-Market (Phase 1) and what it delivers in the complete-the-app stage (Phase 2). Within each phase, features are grouped by functional module so engineering structure remains clear.</w:t>
      </w:r>
    </w:p>
    <w:p>
      <w:pPr>
        <w:keepNext w:val="false"/>
        <w:spacing w:after="140" w:before="0" w:line="288"/>
        <w:jc w:val="left"/>
      </w:pPr>
      <w:r>
        <w:rPr>
          <w:rFonts w:ascii="Arial" w:cs="Arial" w:eastAsia="Arial" w:hAnsi="Arial"/>
          <w:b w:val="false"/>
          <w:bCs w:val="false"/>
          <w:caps w:val="false"/>
          <w:color w:val="2A2A2A"/>
          <w:sz w:val="21"/>
          <w:szCs w:val="21"/>
        </w:rPr>
        <w:t xml:space="preserve">Every feature is described across three dimensions: </w:t>
      </w:r>
      <w:r>
        <w:rPr>
          <w:rFonts w:ascii="Arial" w:cs="Arial" w:eastAsia="Arial" w:hAnsi="Arial"/>
          <w:b/>
          <w:bCs/>
          <w:caps w:val="false"/>
          <w:color w:val="0D1B4B"/>
          <w:sz w:val="21"/>
          <w:szCs w:val="21"/>
        </w:rPr>
        <w:t xml:space="preserve">what it is</w:t>
      </w:r>
      <w:r>
        <w:rPr>
          <w:rFonts w:ascii="Arial" w:cs="Arial" w:eastAsia="Arial" w:hAnsi="Arial"/>
          <w:b w:val="false"/>
          <w:bCs w:val="false"/>
          <w:caps w:val="false"/>
          <w:color w:val="2A2A2A"/>
          <w:sz w:val="21"/>
          <w:szCs w:val="21"/>
        </w:rPr>
        <w:t xml:space="preserve"> (its definition), </w:t>
      </w:r>
      <w:r>
        <w:rPr>
          <w:rFonts w:ascii="Arial" w:cs="Arial" w:eastAsia="Arial" w:hAnsi="Arial"/>
          <w:b/>
          <w:bCs/>
          <w:caps w:val="false"/>
          <w:color w:val="0D1B4B"/>
          <w:sz w:val="21"/>
          <w:szCs w:val="21"/>
        </w:rPr>
        <w:t xml:space="preserve">what it does on the platform</w:t>
      </w:r>
      <w:r>
        <w:rPr>
          <w:rFonts w:ascii="Arial" w:cs="Arial" w:eastAsia="Arial" w:hAnsi="Arial"/>
          <w:b w:val="false"/>
          <w:bCs w:val="false"/>
          <w:caps w:val="false"/>
          <w:color w:val="2A2A2A"/>
          <w:sz w:val="21"/>
          <w:szCs w:val="21"/>
        </w:rPr>
        <w:t xml:space="preserve"> (its function in the system), and its </w:t>
      </w:r>
      <w:r>
        <w:rPr>
          <w:rFonts w:ascii="Arial" w:cs="Arial" w:eastAsia="Arial" w:hAnsi="Arial"/>
          <w:b/>
          <w:bCs/>
          <w:caps w:val="false"/>
          <w:color w:val="0D1B4B"/>
          <w:sz w:val="21"/>
          <w:szCs w:val="21"/>
        </w:rPr>
        <w:t xml:space="preserve">business value</w:t>
      </w:r>
      <w:r>
        <w:rPr>
          <w:rFonts w:ascii="Arial" w:cs="Arial" w:eastAsia="Arial" w:hAnsi="Arial"/>
          <w:b w:val="false"/>
          <w:bCs w:val="false"/>
          <w:caps w:val="false"/>
          <w:color w:val="2A2A2A"/>
          <w:sz w:val="21"/>
          <w:szCs w:val="21"/>
        </w:rPr>
        <w:t xml:space="preserve"> (why it earns a place in scope).</w:t>
      </w:r>
    </w:p>
    <w:p>
      <w:pPr>
        <w:pStyle w:val="Heading2"/>
        <w:keepNext/>
        <w:spacing w:after="100" w:before="280"/>
      </w:pPr>
      <w:r>
        <w:rPr>
          <w:rFonts w:ascii="Arial" w:cs="Arial" w:eastAsia="Arial" w:hAnsi="Arial"/>
          <w:b/>
          <w:bCs/>
          <w:caps w:val="false"/>
          <w:color w:val="0D1B4B"/>
          <w:sz w:val="24"/>
          <w:szCs w:val="24"/>
        </w:rPr>
        <w:t xml:space="preserve">Foundational Decisions (Locked)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600"/>
        <w:gridCol w:w="6760"/>
      </w:tblGrid>
      <w:tr>
        <w:tc>
          <w:tcPr>
            <w:tcW w:type="dxa" w:w="260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bCs/>
                <w:caps w:val="false"/>
                <w:color w:val="0D1B4B"/>
                <w:sz w:val="18"/>
                <w:szCs w:val="18"/>
              </w:rPr>
              <w:t xml:space="preserve">Lead corridor</w:t>
            </w:r>
          </w:p>
        </w:tc>
        <w:tc>
          <w:tcPr>
            <w:tcW w:type="dxa" w:w="676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9"/>
                <w:szCs w:val="19"/>
              </w:rPr>
              <w:t xml:space="preserve">US → India. Chosen for rail maturity (UPI), highest global remittance volume, high WhatsApp penetration on both ends, and a banked sender profile that clears digital KYC at high rates.</w:t>
            </w:r>
          </w:p>
        </w:tc>
      </w:tr>
      <w:tr>
        <w:tc>
          <w:tcPr>
            <w:tcW w:type="dxa" w:w="260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bCs/>
                <w:caps w:val="false"/>
                <w:color w:val="0D1B4B"/>
                <w:sz w:val="18"/>
                <w:szCs w:val="18"/>
              </w:rPr>
              <w:t xml:space="preserve">UPI-native core</w:t>
            </w:r>
          </w:p>
        </w:tc>
        <w:tc>
          <w:tcPr>
            <w:tcW w:type="dxa" w:w="676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9"/>
                <w:szCs w:val="19"/>
              </w:rPr>
              <w:t xml:space="preserve">Drava’s payment core is architected around UPI’s model from GTM. North-star goal: be the world’s best way to receive money from abroad into India via UPI. Not a domestic UPI app.</w:t>
            </w:r>
          </w:p>
        </w:tc>
      </w:tr>
      <w:tr>
        <w:tc>
          <w:tcPr>
            <w:tcW w:type="dxa" w:w="260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bCs/>
                <w:caps w:val="false"/>
                <w:color w:val="0D1B4B"/>
                <w:sz w:val="18"/>
                <w:szCs w:val="18"/>
              </w:rPr>
              <w:t xml:space="preserve">Custody model</w:t>
            </w:r>
          </w:p>
        </w:tc>
        <w:tc>
          <w:tcPr>
            <w:tcW w:type="dxa" w:w="676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9"/>
                <w:szCs w:val="19"/>
              </w:rPr>
              <w:t xml:space="preserve">Non-custodial at GTM. Licensed partners settle and hold funds; the platform orchestrates. Custodial wallet is a volume-gated Phase 2 decision.</w:t>
            </w:r>
          </w:p>
        </w:tc>
      </w:tr>
      <w:tr>
        <w:tc>
          <w:tcPr>
            <w:tcW w:type="dxa" w:w="260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bCs/>
                <w:caps w:val="false"/>
                <w:color w:val="0D1B4B"/>
                <w:sz w:val="18"/>
                <w:szCs w:val="18"/>
              </w:rPr>
              <w:t xml:space="preserve">Core product</w:t>
            </w:r>
          </w:p>
        </w:tc>
        <w:tc>
          <w:tcPr>
            <w:tcW w:type="dxa" w:w="676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9"/>
                <w:szCs w:val="19"/>
              </w:rPr>
              <w:t xml:space="preserve">Consumer remittance led (≈80%) with light SMB collections (≈20%) at GTM. Full SMB tooling in Phase 2.</w:t>
            </w:r>
          </w:p>
        </w:tc>
      </w:tr>
      <w:tr>
        <w:tc>
          <w:tcPr>
            <w:tcW w:type="dxa" w:w="260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bCs/>
                <w:caps w:val="false"/>
                <w:color w:val="0D1B4B"/>
                <w:sz w:val="18"/>
                <w:szCs w:val="18"/>
              </w:rPr>
              <w:t xml:space="preserve">Client surface</w:t>
            </w:r>
          </w:p>
        </w:tc>
        <w:tc>
          <w:tcPr>
            <w:tcW w:type="dxa" w:w="676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9"/>
                <w:szCs w:val="19"/>
              </w:rPr>
              <w:t xml:space="preserve">WhatsApp (Flows + bot) and a companion mobile app, both at GTM. WhatsApp is the primary relationship surface.</w:t>
            </w:r>
          </w:p>
        </w:tc>
      </w:tr>
      <w:tr>
        <w:tc>
          <w:tcPr>
            <w:tcW w:type="dxa" w:w="260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bCs/>
                <w:caps w:val="false"/>
                <w:color w:val="0D1B4B"/>
                <w:sz w:val="18"/>
                <w:szCs w:val="18"/>
              </w:rPr>
              <w:t xml:space="preserve">AI engine</w:t>
            </w:r>
          </w:p>
        </w:tc>
        <w:tc>
          <w:tcPr>
            <w:tcW w:type="dxa" w:w="676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9"/>
                <w:szCs w:val="19"/>
              </w:rPr>
              <w:t xml:space="preserve">Full build at GTM. Customer service autonomous; dispute resolution is a full pipeline with human-in-the-loop approval gates, graduating toward autonomy in Phase 2.</w:t>
            </w:r>
          </w:p>
        </w:tc>
      </w:tr>
      <w:tr>
        <w:tc>
          <w:tcPr>
            <w:tcW w:type="dxa" w:w="260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bCs/>
                <w:caps w:val="false"/>
                <w:color w:val="0D1B4B"/>
                <w:sz w:val="18"/>
                <w:szCs w:val="18"/>
              </w:rPr>
              <w:t xml:space="preserve">KYC approach</w:t>
            </w:r>
          </w:p>
        </w:tc>
        <w:tc>
          <w:tcPr>
            <w:tcW w:type="dxa" w:w="676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9"/>
                <w:szCs w:val="19"/>
              </w:rPr>
              <w:t xml:space="preserve">Progressive / digital-first. Full regional compliance (FinCEN CIP, RBI/PMLA) via automated database and Aadhaar verification, with document upload as the fallback only.</w:t>
            </w:r>
          </w:p>
        </w:tc>
      </w:tr>
    </w:tbl>
    <w:p>
      <w:pPr>
        <w:spacing w:after="14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70"/>
        <w:gridCol w:w="9190"/>
      </w:tblGrid>
      <w:tr>
        <w:tc>
          <w:tcPr>
            <w:tcW w:type="dxa" w:w="170"/>
            <w:tcBorders>
              <w:top w:val="none" w:color="FFFFFF" w:sz="0"/>
              <w:left w:val="none" w:color="FFFFFF" w:sz="0"/>
              <w:bottom w:val="none" w:color="FFFFFF" w:sz="0"/>
              <w:right w:val="none" w:color="FFFFFF" w:sz="0"/>
            </w:tcBorders>
            <w:shd w:fill="007A68" w:val="clear"/>
          </w:tcPr>
          <w:p>
            <w:pPr>
              <w:keepNext w:val="false"/>
              <w:spacing w:after="0" w:before="0" w:line="276"/>
              <w:jc w:val="left"/>
            </w:pPr>
          </w:p>
        </w:tc>
        <w:tc>
          <w:tcPr>
            <w:tcW w:type="dxa" w:w="9190"/>
            <w:tcBorders>
              <w:top w:val="none" w:color="FFFFFF" w:sz="0"/>
              <w:left w:val="none" w:color="FFFFFF" w:sz="0"/>
              <w:bottom w:val="none" w:color="FFFFFF" w:sz="0"/>
              <w:right w:val="none" w:color="FFFFFF" w:sz="0"/>
            </w:tcBorders>
            <w:shd w:fill="E8F5F3" w:val="clear"/>
            <w:tcMar>
              <w:top w:type="dxa" w:w="140"/>
              <w:left w:type="dxa" w:w="200"/>
              <w:bottom w:type="dxa" w:w="140"/>
              <w:right w:type="dxa" w:w="200"/>
            </w:tcMar>
          </w:tcPr>
          <w:p>
            <w:pPr>
              <w:keepNext w:val="false"/>
              <w:spacing w:after="60" w:before="0" w:line="276"/>
              <w:jc w:val="left"/>
            </w:pPr>
            <w:r>
              <w:rPr>
                <w:rFonts w:ascii="Arial" w:cs="Arial" w:eastAsia="Arial" w:hAnsi="Arial"/>
                <w:b/>
                <w:bCs/>
                <w:caps/>
                <w:color w:val="007A68"/>
                <w:spacing w:val="30"/>
                <w:sz w:val="16"/>
                <w:szCs w:val="16"/>
              </w:rPr>
              <w:t xml:space="preserve">Core Design Principle</w:t>
            </w:r>
          </w:p>
          <w:p>
            <w:pPr>
              <w:keepNext w:val="false"/>
              <w:spacing w:after="0" w:before="0" w:line="276"/>
              <w:jc w:val="left"/>
            </w:pPr>
            <w:r>
              <w:rPr>
                <w:rFonts w:ascii="Arial" w:cs="Arial" w:eastAsia="Arial" w:hAnsi="Arial"/>
                <w:b w:val="false"/>
                <w:bCs w:val="false"/>
                <w:caps w:val="false"/>
                <w:color w:val="1A1A1A"/>
                <w:sz w:val="20"/>
                <w:szCs w:val="20"/>
              </w:rPr>
              <w:t xml:space="preserve">Design principle — WhatsApp-first communication architecture: every transaction milestone, receipt, and support interaction is delivered on WhatsApp as the primary channel. The companion app is a secondary surface; SMS and email are fallback only.</w:t>
            </w:r>
          </w:p>
        </w:tc>
      </w:tr>
    </w:tbl>
    <w:p>
      <w:pPr>
        <w:spacing w:after="120"/>
      </w:pPr>
      <w:r>
        <w:t xml:space="preserve"/>
      </w:r>
    </w:p>
    <w:p>
      <w:pPr>
        <w:pStyle w:val="Heading2"/>
        <w:keepNext/>
        <w:spacing w:after="100" w:before="280"/>
      </w:pPr>
      <w:r>
        <w:rPr>
          <w:rFonts w:ascii="Arial" w:cs="Arial" w:eastAsia="Arial" w:hAnsi="Arial"/>
          <w:b/>
          <w:bCs/>
          <w:caps w:val="false"/>
          <w:color w:val="0D1B4B"/>
          <w:sz w:val="24"/>
          <w:szCs w:val="24"/>
        </w:rPr>
        <w:t xml:space="preserve">The Drava North Star</w:t>
      </w:r>
    </w:p>
    <w:p>
      <w:pPr>
        <w:keepNext w:val="false"/>
        <w:spacing w:after="140" w:before="0" w:line="288"/>
        <w:jc w:val="left"/>
      </w:pPr>
      <w:r>
        <w:rPr>
          <w:rFonts w:ascii="Arial" w:cs="Arial" w:eastAsia="Arial" w:hAnsi="Arial"/>
          <w:b w:val="false"/>
          <w:bCs w:val="false"/>
          <w:caps w:val="false"/>
          <w:color w:val="2A2A2A"/>
          <w:sz w:val="21"/>
          <w:szCs w:val="21"/>
        </w:rPr>
        <w:t xml:space="preserve">Drava’s GTM ambition is deliberately focused: to be </w:t>
      </w:r>
      <w:r>
        <w:rPr>
          <w:rFonts w:ascii="Arial" w:cs="Arial" w:eastAsia="Arial" w:hAnsi="Arial"/>
          <w:b/>
          <w:bCs/>
          <w:caps w:val="false"/>
          <w:color w:val="0D1B4B"/>
          <w:sz w:val="21"/>
          <w:szCs w:val="21"/>
        </w:rPr>
        <w:t xml:space="preserve">the world’s best way to receive money from abroad into India via UPI — instant, transparent, best-FX, with the cleanest WhatsApp experience.</w:t>
      </w:r>
    </w:p>
    <w:p>
      <w:pPr>
        <w:keepNext w:val="false"/>
        <w:spacing w:after="140" w:before="0" w:line="288"/>
        <w:jc w:val="left"/>
      </w:pPr>
      <w:r>
        <w:rPr>
          <w:rFonts w:ascii="Arial" w:cs="Arial" w:eastAsia="Arial" w:hAnsi="Arial"/>
          <w:b w:val="false"/>
          <w:bCs w:val="false"/>
          <w:caps w:val="false"/>
          <w:color w:val="2A2A2A"/>
          <w:sz w:val="21"/>
          <w:szCs w:val="21"/>
        </w:rPr>
        <w:t xml:space="preserve">This is a niche the domestic UPI giants ignore and the remittance incumbents handle clumsily. It is narrow enough to win at launch, large enough to matter, and it makes every downstream decision easier by defining clearly what Drava builds first — and what it deliberately does not.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70"/>
        <w:gridCol w:w="9190"/>
      </w:tblGrid>
      <w:tr>
        <w:tc>
          <w:tcPr>
            <w:tcW w:type="dxa" w:w="170"/>
            <w:tcBorders>
              <w:top w:val="none" w:color="FFFFFF" w:sz="0"/>
              <w:left w:val="none" w:color="FFFFFF" w:sz="0"/>
              <w:bottom w:val="none" w:color="FFFFFF" w:sz="0"/>
              <w:right w:val="none" w:color="FFFFFF" w:sz="0"/>
            </w:tcBorders>
            <w:shd w:fill="B8860B" w:val="clear"/>
          </w:tcPr>
          <w:p>
            <w:pPr>
              <w:keepNext w:val="false"/>
              <w:spacing w:after="0" w:before="0" w:line="276"/>
              <w:jc w:val="left"/>
            </w:pPr>
          </w:p>
        </w:tc>
        <w:tc>
          <w:tcPr>
            <w:tcW w:type="dxa" w:w="9190"/>
            <w:tcBorders>
              <w:top w:val="none" w:color="FFFFFF" w:sz="0"/>
              <w:left w:val="none" w:color="FFFFFF" w:sz="0"/>
              <w:bottom w:val="none" w:color="FFFFFF" w:sz="0"/>
              <w:right w:val="none" w:color="FFFFFF" w:sz="0"/>
            </w:tcBorders>
            <w:shd w:fill="FCF6E8" w:val="clear"/>
            <w:tcMar>
              <w:top w:type="dxa" w:w="140"/>
              <w:left w:type="dxa" w:w="200"/>
              <w:bottom w:type="dxa" w:w="140"/>
              <w:right w:type="dxa" w:w="200"/>
            </w:tcMar>
          </w:tcPr>
          <w:p>
            <w:pPr>
              <w:keepNext w:val="false"/>
              <w:spacing w:after="60" w:before="0" w:line="276"/>
              <w:jc w:val="left"/>
            </w:pPr>
            <w:r>
              <w:rPr>
                <w:rFonts w:ascii="Arial" w:cs="Arial" w:eastAsia="Arial" w:hAnsi="Arial"/>
                <w:b/>
                <w:bCs/>
                <w:caps/>
                <w:color w:val="B8860B"/>
                <w:spacing w:val="30"/>
                <w:sz w:val="16"/>
                <w:szCs w:val="16"/>
              </w:rPr>
              <w:t xml:space="preserve">Explicit Non-Goals</w:t>
            </w:r>
          </w:p>
          <w:p>
            <w:pPr>
              <w:keepNext w:val="false"/>
              <w:spacing w:after="0" w:before="0" w:line="276"/>
              <w:jc w:val="left"/>
            </w:pPr>
            <w:r>
              <w:rPr>
                <w:rFonts w:ascii="Arial" w:cs="Arial" w:eastAsia="Arial" w:hAnsi="Arial"/>
                <w:b w:val="false"/>
                <w:bCs w:val="false"/>
                <w:caps w:val="false"/>
                <w:color w:val="1A1A1A"/>
                <w:sz w:val="20"/>
                <w:szCs w:val="20"/>
              </w:rPr>
              <w:t xml:space="preserve">Scope discipline — what Drava is NOT at GTM: not a domestic UPI app (no competing with PhonePe, Google Pay, or Paytm on India-to-India payments), and not a custodial wallet. Drava is the cross-border receiving layer on UPI. That focus is on the record.</w:t>
            </w:r>
          </w:p>
        </w:tc>
      </w:tr>
    </w:tbl>
    <w:p>
      <w:pPr>
        <w:spacing w:after="120"/>
      </w:pPr>
      <w:r>
        <w:t xml:space="preserve"/>
      </w:r>
    </w:p>
    <w:p>
      <w:pPr>
        <w:pStyle w:val="Heading2"/>
        <w:keepNext/>
        <w:spacing w:after="100" w:before="280"/>
      </w:pPr>
      <w:r>
        <w:rPr>
          <w:rFonts w:ascii="Arial" w:cs="Arial" w:eastAsia="Arial" w:hAnsi="Arial"/>
          <w:b/>
          <w:bCs/>
          <w:caps w:val="false"/>
          <w:color w:val="0D1B4B"/>
          <w:sz w:val="24"/>
          <w:szCs w:val="24"/>
        </w:rPr>
        <w:t xml:space="preserve">How Drava Differs from Domestic Rails (Paytm, Pix, Interac)</w:t>
      </w:r>
    </w:p>
    <w:p>
      <w:pPr>
        <w:keepNext w:val="false"/>
        <w:spacing w:after="140" w:before="0" w:line="288"/>
        <w:jc w:val="left"/>
      </w:pPr>
      <w:r>
        <w:rPr>
          <w:rFonts w:ascii="Arial" w:cs="Arial" w:eastAsia="Arial" w:hAnsi="Arial"/>
          <w:b w:val="false"/>
          <w:bCs w:val="false"/>
          <w:caps w:val="false"/>
          <w:color w:val="2A2A2A"/>
          <w:sz w:val="21"/>
          <w:szCs w:val="21"/>
        </w:rPr>
        <w:t xml:space="preserve">Domestic number-to-number systems are sometimes mistaken for competitors. They are not — they are the local rails Drava rides on each end. The distinction is structural:</w:t>
      </w:r>
    </w:p>
    <w:p>
      <w:pPr>
        <w:pStyle w:val="ListParagraph"/>
        <w:numPr>
          <w:ilvl w:val="0"/>
          <w:numId w:val="2"/>
        </w:numPr>
        <w:spacing w:after="40" w:before="40" w:line="276"/>
        <w:ind w:left="620" w:hanging="360"/>
      </w:pPr>
      <w:r>
        <w:rPr>
          <w:rFonts w:ascii="Arial" w:cs="Arial" w:eastAsia="Arial" w:hAnsi="Arial"/>
          <w:b/>
          <w:bCs/>
          <w:caps w:val="false"/>
          <w:color w:val="0D1B4B"/>
          <w:sz w:val="21"/>
          <w:szCs w:val="21"/>
        </w:rPr>
        <w:t xml:space="preserve">Domestic islands vs. cross-border. </w:t>
      </w:r>
      <w:r>
        <w:rPr>
          <w:rFonts w:ascii="Arial" w:cs="Arial" w:eastAsia="Arial" w:hAnsi="Arial"/>
          <w:b w:val="false"/>
          <w:bCs w:val="false"/>
          <w:caps w:val="false"/>
          <w:color w:val="2A2A2A"/>
          <w:sz w:val="21"/>
          <w:szCs w:val="21"/>
        </w:rPr>
        <w:t xml:space="preserve">Pix works inside Brazil, Interac inside Canada, Paytm inside India. None moves money across a border or currency. Drava exists precisely for the border — the FX, the corridor, the dual-sided compliance.</w:t>
      </w:r>
    </w:p>
    <w:p>
      <w:pPr>
        <w:pStyle w:val="ListParagraph"/>
        <w:numPr>
          <w:ilvl w:val="0"/>
          <w:numId w:val="2"/>
        </w:numPr>
        <w:spacing w:after="40" w:before="40" w:line="276"/>
        <w:ind w:left="620" w:hanging="360"/>
      </w:pPr>
      <w:r>
        <w:rPr>
          <w:rFonts w:ascii="Arial" w:cs="Arial" w:eastAsia="Arial" w:hAnsi="Arial"/>
          <w:b/>
          <w:bCs/>
          <w:caps w:val="false"/>
          <w:color w:val="0D1B4B"/>
          <w:sz w:val="21"/>
          <w:szCs w:val="21"/>
        </w:rPr>
        <w:t xml:space="preserve">Single-rail vs. rail-agnostic. </w:t>
      </w:r>
      <w:r>
        <w:rPr>
          <w:rFonts w:ascii="Arial" w:cs="Arial" w:eastAsia="Arial" w:hAnsi="Arial"/>
          <w:b w:val="false"/>
          <w:bCs w:val="false"/>
          <w:caps w:val="false"/>
          <w:color w:val="2A2A2A"/>
          <w:sz w:val="21"/>
          <w:szCs w:val="21"/>
        </w:rPr>
        <w:t xml:space="preserve">Pix and Interac are rails. Drava is an orchestration layer above rails, routing across UPI, Pix, ACH, and more — the Stripe-to-Visa relationship, not a competitor to the rail.</w:t>
      </w:r>
    </w:p>
    <w:p>
      <w:pPr>
        <w:pStyle w:val="ListParagraph"/>
        <w:numPr>
          <w:ilvl w:val="0"/>
          <w:numId w:val="2"/>
        </w:numPr>
        <w:spacing w:after="40" w:before="40" w:line="276"/>
        <w:ind w:left="620" w:hanging="360"/>
      </w:pPr>
      <w:r>
        <w:rPr>
          <w:rFonts w:ascii="Arial" w:cs="Arial" w:eastAsia="Arial" w:hAnsi="Arial"/>
          <w:b/>
          <w:bCs/>
          <w:caps w:val="false"/>
          <w:color w:val="0D1B4B"/>
          <w:sz w:val="21"/>
          <w:szCs w:val="21"/>
        </w:rPr>
        <w:t xml:space="preserve">Their app vs. WhatsApp-native. </w:t>
      </w:r>
      <w:r>
        <w:rPr>
          <w:rFonts w:ascii="Arial" w:cs="Arial" w:eastAsia="Arial" w:hAnsi="Arial"/>
          <w:b w:val="false"/>
          <w:bCs w:val="false"/>
          <w:caps w:val="false"/>
          <w:color w:val="2A2A2A"/>
          <w:sz w:val="21"/>
          <w:szCs w:val="21"/>
        </w:rPr>
        <w:t xml:space="preserve">They require their own app and identity. Drava lives in the conversation already happening on WhatsApp, inheriting distribution and trust instead of fighting for an install.</w:t>
      </w:r>
    </w:p>
    <w:p>
      <w:pPr>
        <w:pStyle w:val="ListParagraph"/>
        <w:numPr>
          <w:ilvl w:val="0"/>
          <w:numId w:val="2"/>
        </w:numPr>
        <w:spacing w:after="40" w:before="40" w:line="276"/>
        <w:ind w:left="620" w:hanging="360"/>
      </w:pPr>
      <w:r>
        <w:rPr>
          <w:rFonts w:ascii="Arial" w:cs="Arial" w:eastAsia="Arial" w:hAnsi="Arial"/>
          <w:b/>
          <w:bCs/>
          <w:caps w:val="false"/>
          <w:color w:val="0D1B4B"/>
          <w:sz w:val="21"/>
          <w:szCs w:val="21"/>
        </w:rPr>
        <w:t xml:space="preserve">Utility vs. relationship layer. </w:t>
      </w:r>
      <w:r>
        <w:rPr>
          <w:rFonts w:ascii="Arial" w:cs="Arial" w:eastAsia="Arial" w:hAnsi="Arial"/>
          <w:b w:val="false"/>
          <w:bCs w:val="false"/>
          <w:caps w:val="false"/>
          <w:color w:val="2A2A2A"/>
          <w:sz w:val="21"/>
          <w:szCs w:val="21"/>
        </w:rPr>
        <w:t xml:space="preserve">Domestic rails are invisible plumbing with no customer relationship. Drava owns the sender, recipient, experience, FX transparency, and dispute resolution — the relationship is the moat, not the money movement.</w:t>
      </w:r>
    </w:p>
    <w:p>
      <w:pPr>
        <w:spacing w:after="120"/>
      </w:pPr>
      <w:r>
        <w:t xml:space="preserve"/>
      </w:r>
    </w:p>
    <w:p>
      <w:pPr>
        <w:pStyle w:val="Heading2"/>
        <w:keepNext/>
        <w:spacing w:after="100" w:before="280"/>
      </w:pPr>
      <w:r>
        <w:rPr>
          <w:rFonts w:ascii="Arial" w:cs="Arial" w:eastAsia="Arial" w:hAnsi="Arial"/>
          <w:b/>
          <w:bCs/>
          <w:caps w:val="false"/>
          <w:color w:val="0D1B4B"/>
          <w:sz w:val="24"/>
          <w:szCs w:val="24"/>
        </w:rPr>
        <w:t xml:space="preserve">UPI-Native Architecture — A GTM Pillar</w:t>
      </w:r>
    </w:p>
    <w:p>
      <w:pPr>
        <w:keepNext w:val="false"/>
        <w:spacing w:after="140" w:before="0" w:line="288"/>
        <w:jc w:val="left"/>
      </w:pPr>
      <w:r>
        <w:rPr>
          <w:rFonts w:ascii="Arial" w:cs="Arial" w:eastAsia="Arial" w:hAnsi="Arial"/>
          <w:b w:val="false"/>
          <w:bCs w:val="false"/>
          <w:caps w:val="false"/>
          <w:color w:val="2A2A2A"/>
          <w:sz w:val="21"/>
          <w:szCs w:val="21"/>
        </w:rPr>
        <w:t xml:space="preserve">Drava’s payment core is architected around UPI’s model from day one. This is a GTM design pillar, not a Phase 2 afterthought. UPI is the most advanced instant-payment design in existence — real-time, bank-to-bank, no stored value, near-zero cost, open API — and other rails (Pix, FedNow, SEPA Instant) are converging toward what it already does. Building the orchestration layer </w:t>
      </w:r>
      <w:r>
        <w:rPr>
          <w:rFonts w:ascii="Arial" w:cs="Arial" w:eastAsia="Arial" w:hAnsi="Arial"/>
          <w:b/>
          <w:bCs/>
          <w:caps w:val="false"/>
          <w:color w:val="0D1B4B"/>
          <w:sz w:val="21"/>
          <w:szCs w:val="21"/>
        </w:rPr>
        <w:t xml:space="preserve">in UPI’s image</w:t>
      </w:r>
      <w:r>
        <w:rPr>
          <w:rFonts w:ascii="Arial" w:cs="Arial" w:eastAsia="Arial" w:hAnsi="Arial"/>
          <w:b w:val="false"/>
          <w:bCs w:val="false"/>
          <w:caps w:val="false"/>
          <w:color w:val="2A2A2A"/>
          <w:sz w:val="21"/>
          <w:szCs w:val="21"/>
        </w:rPr>
        <w:t xml:space="preserve"> means every future UPI-enabled corridor becomes configuration, not a rewrite.</w:t>
      </w:r>
    </w:p>
    <w:p>
      <w:pPr>
        <w:keepNext w:val="false"/>
        <w:spacing w:after="140" w:before="0" w:line="288"/>
        <w:jc w:val="left"/>
      </w:pPr>
      <w:r>
        <w:rPr>
          <w:rFonts w:ascii="Arial" w:cs="Arial" w:eastAsia="Arial" w:hAnsi="Arial"/>
          <w:b w:val="false"/>
          <w:bCs w:val="false"/>
          <w:caps w:val="false"/>
          <w:color w:val="2A2A2A"/>
          <w:sz w:val="21"/>
          <w:szCs w:val="21"/>
        </w:rPr>
        <w:t xml:space="preserve">The compounding payoff: NPCI International is exporting UPI into the UAE, Singapore, Sri Lanka, Nepal, France, and beyond, and interlinking it with local instant-payment systems. Because Drava speaks UPI natively from GTM, it is positioned to flip on each new corridor — including the high-margin Gulf → India route — as the rail lights up, while competitors re-architect. </w:t>
      </w:r>
      <w:r>
        <w:rPr>
          <w:rFonts w:ascii="Arial" w:cs="Arial" w:eastAsia="Arial" w:hAnsi="Arial"/>
          <w:b/>
          <w:bCs/>
          <w:caps w:val="false"/>
          <w:color w:val="0D1B4B"/>
          <w:sz w:val="21"/>
          <w:szCs w:val="21"/>
        </w:rPr>
        <w:t xml:space="preserve">Drava’s leverage is not owning UPI but being the most fluent rider of the rail that is quietly becoming a global standard.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70"/>
        <w:gridCol w:w="9190"/>
      </w:tblGrid>
      <w:tr>
        <w:tc>
          <w:tcPr>
            <w:tcW w:type="dxa" w:w="170"/>
            <w:tcBorders>
              <w:top w:val="none" w:color="FFFFFF" w:sz="0"/>
              <w:left w:val="none" w:color="FFFFFF" w:sz="0"/>
              <w:bottom w:val="none" w:color="FFFFFF" w:sz="0"/>
              <w:right w:val="none" w:color="FFFFFF" w:sz="0"/>
            </w:tcBorders>
            <w:shd w:fill="595959" w:val="clear"/>
          </w:tcPr>
          <w:p>
            <w:pPr>
              <w:keepNext w:val="false"/>
              <w:spacing w:after="0" w:before="0" w:line="276"/>
              <w:jc w:val="left"/>
            </w:pPr>
          </w:p>
        </w:tc>
        <w:tc>
          <w:tcPr>
            <w:tcW w:type="dxa" w:w="9190"/>
            <w:tcBorders>
              <w:top w:val="none" w:color="FFFFFF" w:sz="0"/>
              <w:left w:val="none" w:color="FFFFFF" w:sz="0"/>
              <w:bottom w:val="none" w:color="FFFFFF" w:sz="0"/>
              <w:right w:val="none" w:color="FFFFFF" w:sz="0"/>
            </w:tcBorders>
            <w:shd w:fill="F2F2F2" w:val="clear"/>
            <w:tcMar>
              <w:top w:type="dxa" w:w="140"/>
              <w:left w:type="dxa" w:w="200"/>
              <w:bottom w:type="dxa" w:w="140"/>
              <w:right w:type="dxa" w:w="200"/>
            </w:tcMar>
          </w:tcPr>
          <w:p>
            <w:pPr>
              <w:keepNext w:val="false"/>
              <w:spacing w:after="60" w:before="0" w:line="276"/>
              <w:jc w:val="left"/>
            </w:pPr>
            <w:r>
              <w:rPr>
                <w:rFonts w:ascii="Arial" w:cs="Arial" w:eastAsia="Arial" w:hAnsi="Arial"/>
                <w:b/>
                <w:bCs/>
                <w:caps/>
                <w:color w:val="595959"/>
                <w:spacing w:val="30"/>
                <w:sz w:val="16"/>
                <w:szCs w:val="16"/>
              </w:rPr>
              <w:t xml:space="preserve">Strategic Caveat</w:t>
            </w:r>
          </w:p>
          <w:p>
            <w:pPr>
              <w:keepNext w:val="false"/>
              <w:spacing w:after="0" w:before="0" w:line="276"/>
              <w:jc w:val="left"/>
            </w:pPr>
            <w:r>
              <w:rPr>
                <w:rFonts w:ascii="Arial" w:cs="Arial" w:eastAsia="Arial" w:hAnsi="Arial"/>
                <w:b w:val="false"/>
                <w:bCs w:val="false"/>
                <w:caps w:val="false"/>
                <w:color w:val="1A1A1A"/>
                <w:sz w:val="20"/>
                <w:szCs w:val="20"/>
              </w:rPr>
              <w:t xml:space="preserve">Honest limit: UPI is sovereign infrastructure deployed government-to-government; Drava cannot “release” UPI in new markets itself. And UPI is near-zero-cost by design, so no rail margin can be extracted from the UPI leg — revenue comes from FX and the experience layer. The UPI-export vision is architecture Drava is ready for, not a dependency that gates GTM.</w:t>
            </w:r>
          </w:p>
        </w:tc>
      </w:tr>
    </w:tbl>
    <w:p>
      <w:r>
        <w:br w:type="page"/>
      </w:r>
    </w:p>
    <w:p>
      <w:pPr>
        <w:keepNext/>
        <w:spacing w:after="0" w:before="360"/>
      </w:pPr>
      <w:r>
        <w:rPr>
          <w:rFonts w:ascii="Arial" w:cs="Arial" w:eastAsia="Arial" w:hAnsi="Arial"/>
          <w:b/>
          <w:bCs/>
          <w:caps/>
          <w:color w:val="B8860B"/>
          <w:spacing w:val="40"/>
          <w:sz w:val="18"/>
          <w:szCs w:val="18"/>
        </w:rPr>
        <w:t xml:space="preserve">02  </w:t>
      </w:r>
    </w:p>
    <w:p>
      <w:pPr>
        <w:pStyle w:val="Heading1"/>
        <w:keepNext/>
        <w:pBdr>
          <w:bottom w:val="single" w:color="B8860B" w:sz="10" w:space="6"/>
        </w:pBdr>
        <w:spacing w:after="100" w:before="0"/>
      </w:pPr>
      <w:r>
        <w:rPr>
          <w:rFonts w:ascii="Arial" w:cs="Arial" w:eastAsia="Arial" w:hAnsi="Arial"/>
          <w:b/>
          <w:bCs/>
          <w:caps w:val="false"/>
          <w:color w:val="0D1B4B"/>
          <w:sz w:val="30"/>
          <w:szCs w:val="30"/>
        </w:rPr>
        <w:t xml:space="preserve">Phase 1 — Go-To-Market Delivery</w:t>
      </w:r>
    </w:p>
    <w:p>
      <w:pPr>
        <w:spacing w:after="14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900"/>
        <w:gridCol w:w="7460"/>
      </w:tblGrid>
      <w:tr>
        <w:tc>
          <w:tcPr>
            <w:tcW w:type="dxa" w:w="1900"/>
            <w:tcBorders>
              <w:top w:val="none" w:color="FFFFFF" w:sz="0"/>
              <w:left w:val="none" w:color="FFFFFF" w:sz="0"/>
              <w:bottom w:val="none" w:color="FFFFFF" w:sz="0"/>
              <w:right w:val="none" w:color="FFFFFF" w:sz="0"/>
            </w:tcBorders>
            <w:shd w:fill="007A68" w:val="clear"/>
            <w:tcMar>
              <w:top w:type="dxa" w:w="240"/>
              <w:left w:type="dxa" w:w="200"/>
              <w:bottom w:type="dxa" w:w="240"/>
              <w:right w:type="dxa" w:w="200"/>
            </w:tcMar>
            <w:vAlign w:val="center"/>
          </w:tcPr>
          <w:p>
            <w:pPr>
              <w:keepNext w:val="false"/>
              <w:spacing w:after="0" w:before="0" w:line="276"/>
              <w:jc w:val="center"/>
            </w:pPr>
            <w:r>
              <w:rPr>
                <w:rFonts w:ascii="Arial" w:cs="Arial" w:eastAsia="Arial" w:hAnsi="Arial"/>
                <w:b/>
                <w:bCs/>
                <w:caps w:val="false"/>
                <w:color w:val="FFFFFF"/>
                <w:sz w:val="32"/>
                <w:szCs w:val="32"/>
              </w:rPr>
              <w:t xml:space="preserve">GTM</w:t>
            </w:r>
          </w:p>
        </w:tc>
        <w:tc>
          <w:tcPr>
            <w:tcW w:type="dxa" w:w="7460"/>
            <w:tcBorders>
              <w:top w:val="none" w:color="FFFFFF" w:sz="0"/>
              <w:left w:val="none" w:color="FFFFFF" w:sz="0"/>
              <w:bottom w:val="none" w:color="FFFFFF" w:sz="0"/>
              <w:right w:val="none" w:color="FFFFFF" w:sz="0"/>
            </w:tcBorders>
            <w:shd w:fill="E8F5F3" w:val="clear"/>
            <w:tcMar>
              <w:top w:type="dxa" w:w="240"/>
              <w:left w:type="dxa" w:w="240"/>
              <w:bottom w:type="dxa" w:w="240"/>
              <w:right w:type="dxa" w:w="240"/>
            </w:tcMar>
            <w:vAlign w:val="center"/>
          </w:tcPr>
          <w:p>
            <w:pPr>
              <w:keepNext w:val="false"/>
              <w:spacing w:after="50" w:before="0" w:line="276"/>
              <w:jc w:val="left"/>
            </w:pPr>
            <w:r>
              <w:rPr>
                <w:rFonts w:ascii="Arial" w:cs="Arial" w:eastAsia="Arial" w:hAnsi="Arial"/>
                <w:b/>
                <w:bCs/>
                <w:caps w:val="false"/>
                <w:color w:val="007A68"/>
                <w:sz w:val="24"/>
                <w:szCs w:val="24"/>
              </w:rPr>
              <w:t xml:space="preserve">A functional, compliant, revenue-generating product</w:t>
            </w:r>
          </w:p>
          <w:p>
            <w:pPr>
              <w:keepNext w:val="false"/>
              <w:spacing w:after="0" w:before="0" w:line="264"/>
              <w:jc w:val="left"/>
            </w:pPr>
            <w:r>
              <w:rPr>
                <w:rFonts w:ascii="Arial" w:cs="Arial" w:eastAsia="Arial" w:hAnsi="Arial"/>
                <w:b w:val="false"/>
                <w:bCs w:val="false"/>
                <w:caps w:val="false"/>
                <w:color w:val="333333"/>
                <w:sz w:val="18"/>
                <w:szCs w:val="18"/>
              </w:rPr>
              <w:t xml:space="preserve">Native WhatsApp + app remittance on the US → India corridor, dual funding, multi-rail payout, light SMB collections, a full AI engine, a complete admin console, and a referral growth loop — everything required to launch and operate legally from day one.</w:t>
            </w:r>
          </w:p>
        </w:tc>
      </w:tr>
    </w:tbl>
    <w:p>
      <w:pPr>
        <w:spacing w:after="160"/>
      </w:pPr>
      <w:r>
        <w:t xml:space="preserve"/>
      </w:r>
    </w:p>
    <w:p>
      <w:pPr>
        <w:keepNext/>
        <w:pBdr>
          <w:bottom w:val="single" w:color="007A68" w:sz="4" w:space="4"/>
        </w:pBdr>
        <w:spacing w:after="100" w:before="240"/>
      </w:pPr>
      <w:r>
        <w:rPr>
          <w:rFonts w:ascii="Arial" w:cs="Arial" w:eastAsia="Arial" w:hAnsi="Arial"/>
          <w:b/>
          <w:bCs/>
          <w:caps w:val="false"/>
          <w:color w:val="007A68"/>
          <w:sz w:val="21"/>
          <w:szCs w:val="21"/>
        </w:rPr>
        <w:t xml:space="preserve">Module 1 — Identity, Onboarding &amp; KYC</w:t>
      </w:r>
    </w:p>
    <w:p>
      <w:pPr>
        <w:keepNext w:val="false"/>
        <w:spacing w:after="100" w:before="0" w:line="288"/>
        <w:jc w:val="left"/>
      </w:pPr>
      <w:r>
        <w:rPr>
          <w:rFonts w:ascii="Arial" w:cs="Arial" w:eastAsia="Arial" w:hAnsi="Arial"/>
          <w:b/>
          <w:bCs/>
          <w:caps w:val="false"/>
          <w:color w:val="0D1B4B"/>
          <w:sz w:val="19"/>
          <w:szCs w:val="19"/>
        </w:rPr>
        <w:t xml:space="preserve">KYC posture: </w:t>
      </w:r>
      <w:r>
        <w:rPr>
          <w:rFonts w:ascii="Arial" w:cs="Arial" w:eastAsia="Arial" w:hAnsi="Arial"/>
          <w:b w:val="false"/>
          <w:bCs w:val="false"/>
          <w:caps w:val="false"/>
          <w:color w:val="2A2A2A"/>
          <w:sz w:val="19"/>
          <w:szCs w:val="19"/>
        </w:rPr>
        <w:t xml:space="preserve">Progressive / digital-first. Full verification always occurs; method depth escalates only on failure or risk signal.</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040"/>
        <w:gridCol w:w="2440"/>
        <w:gridCol w:w="2440"/>
        <w:gridCol w:w="2440"/>
      </w:tblGrid>
      <w:tr>
        <w:trPr>
          <w:tblHeader/>
        </w:trPr>
        <w:tc>
          <w:tcPr>
            <w:tcW w:type="dxa" w:w="2040"/>
            <w:tcBorders>
              <w:top w:val="none" w:color="FFFFFF" w:sz="0"/>
              <w:left w:val="none" w:color="FFFFFF" w:sz="0"/>
              <w:bottom w:val="none" w:color="FFFFFF" w:sz="0"/>
              <w:right w:val="none" w:color="FFFFFF" w:sz="0"/>
            </w:tcBorders>
            <w:shd w:fill="0D1B4B" w:val="clear"/>
            <w:tcMar>
              <w:top w:type="dxa" w:w="90"/>
              <w:left w:type="dxa" w:w="130"/>
              <w:bottom w:type="dxa" w:w="90"/>
              <w:right w:type="dxa" w:w="130"/>
            </w:tcMar>
            <w:vAlign w:val="center"/>
          </w:tcPr>
          <w:p>
            <w:pPr>
              <w:keepNext w:val="false"/>
              <w:spacing w:after="0" w:before="0" w:line="276"/>
              <w:jc w:val="left"/>
            </w:pPr>
            <w:r>
              <w:rPr>
                <w:rFonts w:ascii="Arial" w:cs="Arial" w:eastAsia="Arial" w:hAnsi="Arial"/>
                <w:b/>
                <w:bCs/>
                <w:caps w:val="false"/>
                <w:color w:val="FFFFFF"/>
                <w:sz w:val="17"/>
                <w:szCs w:val="17"/>
              </w:rPr>
              <w:t xml:space="preserve">Feature</w:t>
            </w:r>
          </w:p>
        </w:tc>
        <w:tc>
          <w:tcPr>
            <w:tcW w:type="dxa" w:w="2440"/>
            <w:tcBorders>
              <w:top w:val="none" w:color="FFFFFF" w:sz="0"/>
              <w:left w:val="none" w:color="FFFFFF" w:sz="0"/>
              <w:bottom w:val="none" w:color="FFFFFF" w:sz="0"/>
              <w:right w:val="none" w:color="FFFFFF" w:sz="0"/>
            </w:tcBorders>
            <w:shd w:fill="0D1B4B" w:val="clear"/>
            <w:tcMar>
              <w:top w:type="dxa" w:w="90"/>
              <w:left w:type="dxa" w:w="130"/>
              <w:bottom w:type="dxa" w:w="90"/>
              <w:right w:type="dxa" w:w="130"/>
            </w:tcMar>
            <w:vAlign w:val="center"/>
          </w:tcPr>
          <w:p>
            <w:pPr>
              <w:keepNext w:val="false"/>
              <w:spacing w:after="0" w:before="0" w:line="276"/>
              <w:jc w:val="left"/>
            </w:pPr>
            <w:r>
              <w:rPr>
                <w:rFonts w:ascii="Arial" w:cs="Arial" w:eastAsia="Arial" w:hAnsi="Arial"/>
                <w:b/>
                <w:bCs/>
                <w:caps w:val="false"/>
                <w:color w:val="FFFFFF"/>
                <w:sz w:val="17"/>
                <w:szCs w:val="17"/>
              </w:rPr>
              <w:t xml:space="preserve">What it is</w:t>
            </w:r>
          </w:p>
        </w:tc>
        <w:tc>
          <w:tcPr>
            <w:tcW w:type="dxa" w:w="2440"/>
            <w:tcBorders>
              <w:top w:val="none" w:color="FFFFFF" w:sz="0"/>
              <w:left w:val="none" w:color="FFFFFF" w:sz="0"/>
              <w:bottom w:val="none" w:color="FFFFFF" w:sz="0"/>
              <w:right w:val="none" w:color="FFFFFF" w:sz="0"/>
            </w:tcBorders>
            <w:shd w:fill="0D1B4B" w:val="clear"/>
            <w:tcMar>
              <w:top w:type="dxa" w:w="90"/>
              <w:left w:type="dxa" w:w="130"/>
              <w:bottom w:type="dxa" w:w="90"/>
              <w:right w:type="dxa" w:w="130"/>
            </w:tcMar>
            <w:vAlign w:val="center"/>
          </w:tcPr>
          <w:p>
            <w:pPr>
              <w:keepNext w:val="false"/>
              <w:spacing w:after="0" w:before="0" w:line="276"/>
              <w:jc w:val="left"/>
            </w:pPr>
            <w:r>
              <w:rPr>
                <w:rFonts w:ascii="Arial" w:cs="Arial" w:eastAsia="Arial" w:hAnsi="Arial"/>
                <w:b/>
                <w:bCs/>
                <w:caps w:val="false"/>
                <w:color w:val="FFFFFF"/>
                <w:sz w:val="17"/>
                <w:szCs w:val="17"/>
              </w:rPr>
              <w:t xml:space="preserve">What it does on the platform</w:t>
            </w:r>
          </w:p>
        </w:tc>
        <w:tc>
          <w:tcPr>
            <w:tcW w:type="dxa" w:w="2440"/>
            <w:tcBorders>
              <w:top w:val="none" w:color="FFFFFF" w:sz="0"/>
              <w:left w:val="none" w:color="FFFFFF" w:sz="0"/>
              <w:bottom w:val="none" w:color="FFFFFF" w:sz="0"/>
              <w:right w:val="none" w:color="FFFFFF" w:sz="0"/>
            </w:tcBorders>
            <w:shd w:fill="0D1B4B" w:val="clear"/>
            <w:tcMar>
              <w:top w:type="dxa" w:w="90"/>
              <w:left w:type="dxa" w:w="130"/>
              <w:bottom w:type="dxa" w:w="90"/>
              <w:right w:type="dxa" w:w="130"/>
            </w:tcMar>
            <w:vAlign w:val="center"/>
          </w:tcPr>
          <w:p>
            <w:pPr>
              <w:keepNext w:val="false"/>
              <w:spacing w:after="0" w:before="0" w:line="276"/>
              <w:jc w:val="left"/>
            </w:pPr>
            <w:r>
              <w:rPr>
                <w:rFonts w:ascii="Arial" w:cs="Arial" w:eastAsia="Arial" w:hAnsi="Arial"/>
                <w:b/>
                <w:bCs/>
                <w:caps w:val="false"/>
                <w:color w:val="FFFFFF"/>
                <w:sz w:val="17"/>
                <w:szCs w:val="17"/>
              </w:rPr>
              <w:t xml:space="preserve">Business value</w:t>
            </w:r>
          </w:p>
        </w:tc>
      </w:tr>
      <w:tr>
        <w:tc>
          <w:tcPr>
            <w:tcW w:type="dxa" w:w="2040"/>
            <w:tcBorders>
              <w:top w:val="single" w:color="D9D9D9" w:sz="4"/>
              <w:left w:val="none" w:color="FFFFFF" w:sz="0"/>
              <w:bottom w:val="single" w:color="D9D9D9" w:sz="4"/>
              <w:right w:val="none" w:color="FFFFFF" w:sz="0"/>
            </w:tcBorders>
            <w:shd w:fill="FFFFFF"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WhatsApp number-based signup</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Registration that uses the user’s WhatsApp phone number as the primary identity anchor.</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Creates the account from within WhatsApp; no separate signup form or app download required to begin.</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Removes the single biggest drop-off point in onboarding, lifting conversion at the top of the funnel.</w:t>
            </w:r>
          </w:p>
        </w:tc>
      </w:tr>
      <w:tr>
        <w:tc>
          <w:tcPr>
            <w:tcW w:type="dxa" w:w="2040"/>
            <w:tcBorders>
              <w:top w:val="single" w:color="D9D9D9" w:sz="4"/>
              <w:left w:val="none" w:color="FFFFFF" w:sz="0"/>
              <w:bottom w:val="single" w:color="D9D9D9" w:sz="4"/>
              <w:right w:val="none" w:color="FFFFFF" w:sz="0"/>
            </w:tcBorders>
            <w:shd w:fill="F2F2F2"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Companion app registration</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A standard account creation path (phone + email) for the mobile app surface.</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Provisions an account for users who prefer the app, linked to the same identity as their WhatsApp profile.</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Serves users who want a richer interface and provides a fallback if WhatsApp is unavailable.</w:t>
            </w:r>
          </w:p>
        </w:tc>
      </w:tr>
      <w:tr>
        <w:tc>
          <w:tcPr>
            <w:tcW w:type="dxa" w:w="2040"/>
            <w:tcBorders>
              <w:top w:val="single" w:color="D9D9D9" w:sz="4"/>
              <w:left w:val="none" w:color="FFFFFF" w:sz="0"/>
              <w:bottom w:val="single" w:color="D9D9D9" w:sz="4"/>
              <w:right w:val="none" w:color="FFFFFF" w:sz="0"/>
            </w:tcBorders>
            <w:shd w:fill="FFFFFF"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Digital-first sender KYC (US)</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Identity verification of the US sender against credit-bureau and identity databases.</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Validates name, DOB, address and SSN instantly through a verification vendor; most users clear with no documents.</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Meets FinCEN CIP obligations while keeping onboarding nearly frictionless — the Remitly-grade experience.</w:t>
            </w:r>
          </w:p>
        </w:tc>
      </w:tr>
      <w:tr>
        <w:tc>
          <w:tcPr>
            <w:tcW w:type="dxa" w:w="2040"/>
            <w:tcBorders>
              <w:top w:val="single" w:color="D9D9D9" w:sz="4"/>
              <w:left w:val="none" w:color="FFFFFF" w:sz="0"/>
              <w:bottom w:val="single" w:color="D9D9D9" w:sz="4"/>
              <w:right w:val="none" w:color="FFFFFF" w:sz="0"/>
            </w:tcBorders>
            <w:shd w:fill="F2F2F2"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Aadhaar eKYC (India recipient)</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OTP-based electronic verification of the India-side recipient using Aadhaar.</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Confirms recipient identity in seconds with no paperwork via the Aadhaar eKYC API.</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Satisfies RBI requirements and exploits India’s paperless KYC infrastructure as a corridor advantage.</w:t>
            </w:r>
          </w:p>
        </w:tc>
      </w:tr>
      <w:tr>
        <w:tc>
          <w:tcPr>
            <w:tcW w:type="dxa" w:w="2040"/>
            <w:tcBorders>
              <w:top w:val="single" w:color="D9D9D9" w:sz="4"/>
              <w:left w:val="none" w:color="FFFFFF" w:sz="0"/>
              <w:bottom w:val="single" w:color="D9D9D9" w:sz="4"/>
              <w:right w:val="none" w:color="FFFFFF" w:sz="0"/>
            </w:tcBorders>
            <w:shd w:fill="FFFFFF"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Document + selfie fallback</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Manual document upload with liveness selfie, used only when automated checks fail.</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Triggers a guided capture flow when database or Aadhaar verification cannot confirm identity or risk flags fire.</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Ensures no legitimate user is permanently blocked while keeping manual review the exception, not the norm.</w:t>
            </w:r>
          </w:p>
        </w:tc>
      </w:tr>
      <w:tr>
        <w:tc>
          <w:tcPr>
            <w:tcW w:type="dxa" w:w="2040"/>
            <w:tcBorders>
              <w:top w:val="single" w:color="D9D9D9" w:sz="4"/>
              <w:left w:val="none" w:color="FFFFFF" w:sz="0"/>
              <w:bottom w:val="single" w:color="D9D9D9" w:sz="4"/>
              <w:right w:val="none" w:color="FFFFFF" w:sz="0"/>
            </w:tcBorders>
            <w:shd w:fill="F2F2F2"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Risk-based limit tiers</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A tiering model where verification depth maps to transaction-limit ceilings.</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Assigns each verified user a sending limit band consistent with FinCEN and RBI tier frameworks.</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Balances regulatory caution with conversion — small transfers face less friction, large ones more scrutiny.</w:t>
            </w:r>
          </w:p>
        </w:tc>
      </w:tr>
      <w:tr>
        <w:tc>
          <w:tcPr>
            <w:tcW w:type="dxa" w:w="2040"/>
            <w:tcBorders>
              <w:top w:val="single" w:color="D9D9D9" w:sz="4"/>
              <w:left w:val="none" w:color="FFFFFF" w:sz="0"/>
              <w:bottom w:val="single" w:color="D9D9D9" w:sz="4"/>
              <w:right w:val="none" w:color="FFFFFF" w:sz="0"/>
            </w:tcBorders>
            <w:shd w:fill="FFFFFF"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Bank-link identity verification</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Identity confirmation achieved by linking a funding bank account (via Plaid).</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Uses the bank-link step both to enable ACH funding and to corroborate the user’s identity in one action.</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Collapses two onboarding steps into one, reducing friction while strengthening identity assurance.</w:t>
            </w:r>
          </w:p>
        </w:tc>
      </w:tr>
      <w:tr>
        <w:tc>
          <w:tcPr>
            <w:tcW w:type="dxa" w:w="2040"/>
            <w:tcBorders>
              <w:top w:val="single" w:color="D9D9D9" w:sz="4"/>
              <w:left w:val="none" w:color="FFFFFF" w:sz="0"/>
              <w:bottom w:val="single" w:color="D9D9D9" w:sz="4"/>
              <w:right w:val="none" w:color="FFFFFF" w:sz="0"/>
            </w:tcBorders>
            <w:shd w:fill="F2F2F2"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Sanctions / PEP / watchlist screening</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Automated screening against sanctions, politically-exposed-person and watchlists.</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Checks every user at onboarding and screens transactions against updated lists continuously.</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A non-negotiable AML control; failure to screen carries severe regulatory and reputational penalties.</w:t>
            </w:r>
          </w:p>
        </w:tc>
      </w:tr>
      <w:tr>
        <w:tc>
          <w:tcPr>
            <w:tcW w:type="dxa" w:w="2040"/>
            <w:tcBorders>
              <w:top w:val="single" w:color="D9D9D9" w:sz="4"/>
              <w:left w:val="none" w:color="FFFFFF" w:sz="0"/>
              <w:bottom w:val="single" w:color="D9D9D9" w:sz="4"/>
              <w:right w:val="none" w:color="FFFFFF" w:sz="0"/>
            </w:tcBorders>
            <w:shd w:fill="FFFFFF"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Lightweight recipient onboarding</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A minimal capture flow for the receiving party (name + payout destination).</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Lets a sender add a recipient with only essential details; the recipient needs no full account or app.</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Removes friction on the receive side, which would otherwise block transfers to less tech-engaged family members.</w:t>
            </w:r>
          </w:p>
        </w:tc>
      </w:tr>
      <w:tr>
        <w:tc>
          <w:tcPr>
            <w:tcW w:type="dxa" w:w="2040"/>
            <w:tcBorders>
              <w:top w:val="single" w:color="D9D9D9" w:sz="4"/>
              <w:left w:val="none" w:color="FFFFFF" w:sz="0"/>
              <w:bottom w:val="single" w:color="D9D9D9" w:sz="4"/>
              <w:right w:val="none" w:color="FFFFFF" w:sz="0"/>
            </w:tcBorders>
            <w:shd w:fill="F2F2F2"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Multi-language onboarding</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Onboarding presented in English and Hindi at GTM.</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Renders all onboarding screens and prompts in the user’s chosen corridor language.</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Matches the linguistic reality of the corridor and improves comprehension, trust and completion rates.</w:t>
            </w:r>
          </w:p>
        </w:tc>
      </w:tr>
    </w:tbl>
    <w:p>
      <w:pPr>
        <w:keepNext/>
        <w:pBdr>
          <w:bottom w:val="single" w:color="007A68" w:sz="4" w:space="4"/>
        </w:pBdr>
        <w:spacing w:after="100" w:before="240"/>
      </w:pPr>
      <w:r>
        <w:rPr>
          <w:rFonts w:ascii="Arial" w:cs="Arial" w:eastAsia="Arial" w:hAnsi="Arial"/>
          <w:b/>
          <w:bCs/>
          <w:caps w:val="false"/>
          <w:color w:val="007A68"/>
          <w:sz w:val="21"/>
          <w:szCs w:val="21"/>
        </w:rPr>
        <w:t xml:space="preserve">Module 2 — Core Transfer Engine (Consumer Remittance)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040"/>
        <w:gridCol w:w="2440"/>
        <w:gridCol w:w="2440"/>
        <w:gridCol w:w="2440"/>
      </w:tblGrid>
      <w:tr>
        <w:trPr>
          <w:tblHeader/>
        </w:trPr>
        <w:tc>
          <w:tcPr>
            <w:tcW w:type="dxa" w:w="2040"/>
            <w:tcBorders>
              <w:top w:val="none" w:color="FFFFFF" w:sz="0"/>
              <w:left w:val="none" w:color="FFFFFF" w:sz="0"/>
              <w:bottom w:val="none" w:color="FFFFFF" w:sz="0"/>
              <w:right w:val="none" w:color="FFFFFF" w:sz="0"/>
            </w:tcBorders>
            <w:shd w:fill="0D1B4B" w:val="clear"/>
            <w:tcMar>
              <w:top w:type="dxa" w:w="90"/>
              <w:left w:type="dxa" w:w="130"/>
              <w:bottom w:type="dxa" w:w="90"/>
              <w:right w:type="dxa" w:w="130"/>
            </w:tcMar>
            <w:vAlign w:val="center"/>
          </w:tcPr>
          <w:p>
            <w:pPr>
              <w:keepNext w:val="false"/>
              <w:spacing w:after="0" w:before="0" w:line="276"/>
              <w:jc w:val="left"/>
            </w:pPr>
            <w:r>
              <w:rPr>
                <w:rFonts w:ascii="Arial" w:cs="Arial" w:eastAsia="Arial" w:hAnsi="Arial"/>
                <w:b/>
                <w:bCs/>
                <w:caps w:val="false"/>
                <w:color w:val="FFFFFF"/>
                <w:sz w:val="17"/>
                <w:szCs w:val="17"/>
              </w:rPr>
              <w:t xml:space="preserve">Feature</w:t>
            </w:r>
          </w:p>
        </w:tc>
        <w:tc>
          <w:tcPr>
            <w:tcW w:type="dxa" w:w="2440"/>
            <w:tcBorders>
              <w:top w:val="none" w:color="FFFFFF" w:sz="0"/>
              <w:left w:val="none" w:color="FFFFFF" w:sz="0"/>
              <w:bottom w:val="none" w:color="FFFFFF" w:sz="0"/>
              <w:right w:val="none" w:color="FFFFFF" w:sz="0"/>
            </w:tcBorders>
            <w:shd w:fill="0D1B4B" w:val="clear"/>
            <w:tcMar>
              <w:top w:type="dxa" w:w="90"/>
              <w:left w:type="dxa" w:w="130"/>
              <w:bottom w:type="dxa" w:w="90"/>
              <w:right w:type="dxa" w:w="130"/>
            </w:tcMar>
            <w:vAlign w:val="center"/>
          </w:tcPr>
          <w:p>
            <w:pPr>
              <w:keepNext w:val="false"/>
              <w:spacing w:after="0" w:before="0" w:line="276"/>
              <w:jc w:val="left"/>
            </w:pPr>
            <w:r>
              <w:rPr>
                <w:rFonts w:ascii="Arial" w:cs="Arial" w:eastAsia="Arial" w:hAnsi="Arial"/>
                <w:b/>
                <w:bCs/>
                <w:caps w:val="false"/>
                <w:color w:val="FFFFFF"/>
                <w:sz w:val="17"/>
                <w:szCs w:val="17"/>
              </w:rPr>
              <w:t xml:space="preserve">What it is</w:t>
            </w:r>
          </w:p>
        </w:tc>
        <w:tc>
          <w:tcPr>
            <w:tcW w:type="dxa" w:w="2440"/>
            <w:tcBorders>
              <w:top w:val="none" w:color="FFFFFF" w:sz="0"/>
              <w:left w:val="none" w:color="FFFFFF" w:sz="0"/>
              <w:bottom w:val="none" w:color="FFFFFF" w:sz="0"/>
              <w:right w:val="none" w:color="FFFFFF" w:sz="0"/>
            </w:tcBorders>
            <w:shd w:fill="0D1B4B" w:val="clear"/>
            <w:tcMar>
              <w:top w:type="dxa" w:w="90"/>
              <w:left w:type="dxa" w:w="130"/>
              <w:bottom w:type="dxa" w:w="90"/>
              <w:right w:type="dxa" w:w="130"/>
            </w:tcMar>
            <w:vAlign w:val="center"/>
          </w:tcPr>
          <w:p>
            <w:pPr>
              <w:keepNext w:val="false"/>
              <w:spacing w:after="0" w:before="0" w:line="276"/>
              <w:jc w:val="left"/>
            </w:pPr>
            <w:r>
              <w:rPr>
                <w:rFonts w:ascii="Arial" w:cs="Arial" w:eastAsia="Arial" w:hAnsi="Arial"/>
                <w:b/>
                <w:bCs/>
                <w:caps w:val="false"/>
                <w:color w:val="FFFFFF"/>
                <w:sz w:val="17"/>
                <w:szCs w:val="17"/>
              </w:rPr>
              <w:t xml:space="preserve">What it does on the platform</w:t>
            </w:r>
          </w:p>
        </w:tc>
        <w:tc>
          <w:tcPr>
            <w:tcW w:type="dxa" w:w="2440"/>
            <w:tcBorders>
              <w:top w:val="none" w:color="FFFFFF" w:sz="0"/>
              <w:left w:val="none" w:color="FFFFFF" w:sz="0"/>
              <w:bottom w:val="none" w:color="FFFFFF" w:sz="0"/>
              <w:right w:val="none" w:color="FFFFFF" w:sz="0"/>
            </w:tcBorders>
            <w:shd w:fill="0D1B4B" w:val="clear"/>
            <w:tcMar>
              <w:top w:type="dxa" w:w="90"/>
              <w:left w:type="dxa" w:w="130"/>
              <w:bottom w:type="dxa" w:w="90"/>
              <w:right w:type="dxa" w:w="130"/>
            </w:tcMar>
            <w:vAlign w:val="center"/>
          </w:tcPr>
          <w:p>
            <w:pPr>
              <w:keepNext w:val="false"/>
              <w:spacing w:after="0" w:before="0" w:line="276"/>
              <w:jc w:val="left"/>
            </w:pPr>
            <w:r>
              <w:rPr>
                <w:rFonts w:ascii="Arial" w:cs="Arial" w:eastAsia="Arial" w:hAnsi="Arial"/>
                <w:b/>
                <w:bCs/>
                <w:caps w:val="false"/>
                <w:color w:val="FFFFFF"/>
                <w:sz w:val="17"/>
                <w:szCs w:val="17"/>
              </w:rPr>
              <w:t xml:space="preserve">Business value</w:t>
            </w:r>
          </w:p>
        </w:tc>
      </w:tr>
      <w:tr>
        <w:tc>
          <w:tcPr>
            <w:tcW w:type="dxa" w:w="2040"/>
            <w:tcBorders>
              <w:top w:val="single" w:color="D9D9D9" w:sz="4"/>
              <w:left w:val="none" w:color="FFFFFF" w:sz="0"/>
              <w:bottom w:val="single" w:color="D9D9D9" w:sz="4"/>
              <w:right w:val="none" w:color="FFFFFF" w:sz="0"/>
            </w:tcBorders>
            <w:shd w:fill="FFFFFF"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Send-money flow (WhatsApp Flows)</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A fully native in-chat payment journey built on WhatsApp Flows.</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Walks the user through amount, recipient, funding and confirmation entirely inside WhatsApp — no browser redirect.</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The core product and primary differentiator versus Remitly; higher conversion through zero context-switching.</w:t>
            </w:r>
          </w:p>
        </w:tc>
      </w:tr>
      <w:tr>
        <w:tc>
          <w:tcPr>
            <w:tcW w:type="dxa" w:w="2040"/>
            <w:tcBorders>
              <w:top w:val="single" w:color="D9D9D9" w:sz="4"/>
              <w:left w:val="none" w:color="FFFFFF" w:sz="0"/>
              <w:bottom w:val="single" w:color="D9D9D9" w:sz="4"/>
              <w:right w:val="none" w:color="FFFFFF" w:sz="0"/>
            </w:tcBorders>
            <w:shd w:fill="F2F2F2"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Send-money flow (companion app)</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The same transfer journey delivered in the mobile app.</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Provides a parallel surface for initiating and confirming transfers for app-preferring users.</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Captures users who favor an app and reinforces the brand beyond the WhatsApp surface.</w:t>
            </w:r>
          </w:p>
        </w:tc>
      </w:tr>
      <w:tr>
        <w:tc>
          <w:tcPr>
            <w:tcW w:type="dxa" w:w="2040"/>
            <w:tcBorders>
              <w:top w:val="single" w:color="D9D9D9" w:sz="4"/>
              <w:left w:val="none" w:color="FFFFFF" w:sz="0"/>
              <w:bottom w:val="single" w:color="D9D9D9" w:sz="4"/>
              <w:right w:val="none" w:color="FFFFFF" w:sz="0"/>
            </w:tcBorders>
            <w:shd w:fill="FFFFFF"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Real-time FX quote + 30-min rate lock</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A live exchange-rate quote held for 30 minutes after initiation.</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Fetches the current corridor rate, applies the spread, and freezes the receive-amount during confirmation.</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Builds trust through certainty and protects platform margin from FX movement mid-transaction.</w:t>
            </w:r>
          </w:p>
        </w:tc>
      </w:tr>
      <w:tr>
        <w:tc>
          <w:tcPr>
            <w:tcW w:type="dxa" w:w="2040"/>
            <w:tcBorders>
              <w:top w:val="single" w:color="D9D9D9" w:sz="4"/>
              <w:left w:val="none" w:color="FFFFFF" w:sz="0"/>
              <w:bottom w:val="single" w:color="D9D9D9" w:sz="4"/>
              <w:right w:val="none" w:color="FFFFFF" w:sz="0"/>
            </w:tcBorders>
            <w:shd w:fill="F2F2F2"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Transparent fee display</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An explicit pre-confirmation breakdown of rate, fee and exact receive-amount.</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Shows the recipient’s exact INR amount before the user commits, with no hidden charges.</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The Wise-grade trust signal; transparency is a proven driver of conversion and retention in remittance.</w:t>
            </w:r>
          </w:p>
        </w:tc>
      </w:tr>
      <w:tr>
        <w:tc>
          <w:tcPr>
            <w:tcW w:type="dxa" w:w="2040"/>
            <w:tcBorders>
              <w:top w:val="single" w:color="D9D9D9" w:sz="4"/>
              <w:left w:val="none" w:color="FFFFFF" w:sz="0"/>
              <w:bottom w:val="single" w:color="D9D9D9" w:sz="4"/>
              <w:right w:val="none" w:color="FFFFFF" w:sz="0"/>
            </w:tcBorders>
            <w:shd w:fill="FFFFFF"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Card funding (debit/credit)</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Transaction funding via debit or credit card rails.</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Charges the sender’s card instantly to fund the transfer.</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Offers instant, familiar funding for urgency; broadens the addressable user base.</w:t>
            </w:r>
          </w:p>
        </w:tc>
      </w:tr>
      <w:tr>
        <w:tc>
          <w:tcPr>
            <w:tcW w:type="dxa" w:w="2040"/>
            <w:tcBorders>
              <w:top w:val="single" w:color="D9D9D9" w:sz="4"/>
              <w:left w:val="none" w:color="FFFFFF" w:sz="0"/>
              <w:bottom w:val="single" w:color="D9D9D9" w:sz="4"/>
              <w:right w:val="none" w:color="FFFFFF" w:sz="0"/>
            </w:tcBorders>
            <w:shd w:fill="F2F2F2"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ACH bank funding</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Transaction funding via ACH bank transfer.</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Pulls funds from the sender’s linked bank account at low flat cost over a multi-day window.</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Protects unit economics — ACH avoids the 1–3% interchange that can exceed the entire FX spread.</w:t>
            </w:r>
          </w:p>
        </w:tc>
      </w:tr>
      <w:tr>
        <w:tc>
          <w:tcPr>
            <w:tcW w:type="dxa" w:w="2040"/>
            <w:tcBorders>
              <w:top w:val="single" w:color="D9D9D9" w:sz="4"/>
              <w:left w:val="none" w:color="FFFFFF" w:sz="0"/>
              <w:bottom w:val="single" w:color="D9D9D9" w:sz="4"/>
              <w:right w:val="none" w:color="FFFFFF" w:sz="0"/>
            </w:tcBorders>
            <w:shd w:fill="FFFFFF"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ACH risk-hold policy</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A risk rule governing payout timing for ACH-funded transfers.</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Holds payout until ACH clears for new or low-trust users and releases instantly for trusted ones.</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Contains reversal and fraud loss on the multi-day ACH window without penalizing established users.</w:t>
            </w:r>
          </w:p>
        </w:tc>
      </w:tr>
      <w:tr>
        <w:tc>
          <w:tcPr>
            <w:tcW w:type="dxa" w:w="2040"/>
            <w:tcBorders>
              <w:top w:val="single" w:color="D9D9D9" w:sz="4"/>
              <w:left w:val="none" w:color="FFFFFF" w:sz="0"/>
              <w:bottom w:val="single" w:color="D9D9D9" w:sz="4"/>
              <w:right w:val="none" w:color="FFFFFF" w:sz="0"/>
            </w:tcBorders>
            <w:shd w:fill="F2F2F2"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Multi-rail payout routing (India)</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A routing layer offering bank transfer, UPI and wallet payout on the receive side.</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Selects the optimal India-side payout rail per recipient preference and cost.</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Maximizes delivery success and recipient convenience while optimizing per-transaction cost.</w:t>
            </w:r>
          </w:p>
        </w:tc>
      </w:tr>
      <w:tr>
        <w:tc>
          <w:tcPr>
            <w:tcW w:type="dxa" w:w="2040"/>
            <w:tcBorders>
              <w:top w:val="single" w:color="D9D9D9" w:sz="4"/>
              <w:left w:val="none" w:color="FFFFFF" w:sz="0"/>
              <w:bottom w:val="single" w:color="D9D9D9" w:sz="4"/>
              <w:right w:val="none" w:color="FFFFFF" w:sz="0"/>
            </w:tcBorders>
            <w:shd w:fill="FFFFFF"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Real-time transfer status tracking</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End-to-end visibility of a transfer’s state.</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Surfaces initiated, funded, in-transit, delivered and failed states in real time, pushed to WhatsApp.</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Directly addresses the highest-volume support query and reduces support load.</w:t>
            </w:r>
          </w:p>
        </w:tc>
      </w:tr>
      <w:tr>
        <w:tc>
          <w:tcPr>
            <w:tcW w:type="dxa" w:w="2040"/>
            <w:tcBorders>
              <w:top w:val="single" w:color="D9D9D9" w:sz="4"/>
              <w:left w:val="none" w:color="FFFFFF" w:sz="0"/>
              <w:bottom w:val="single" w:color="D9D9D9" w:sz="4"/>
              <w:right w:val="none" w:color="FFFFFF" w:sz="0"/>
            </w:tcBorders>
            <w:shd w:fill="F2F2F2"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Saved beneficiaries</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Stored recipient profiles for repeat transfers.</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Lets users re-send to a saved recipient in a couple of taps without re-entering details.</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Drives repeat usage and retention — the core economic engine of a remittance business.</w:t>
            </w:r>
          </w:p>
        </w:tc>
      </w:tr>
    </w:tbl>
    <w:p>
      <w:pPr>
        <w:keepNext/>
        <w:pBdr>
          <w:bottom w:val="single" w:color="007A68" w:sz="4" w:space="4"/>
        </w:pBdr>
        <w:spacing w:after="100" w:before="240"/>
      </w:pPr>
      <w:r>
        <w:rPr>
          <w:rFonts w:ascii="Arial" w:cs="Arial" w:eastAsia="Arial" w:hAnsi="Arial"/>
          <w:b/>
          <w:bCs/>
          <w:caps w:val="false"/>
          <w:color w:val="007A68"/>
          <w:sz w:val="21"/>
          <w:szCs w:val="21"/>
        </w:rPr>
        <w:t xml:space="preserve">Module 3 — SMB / Merchant Collections</w:t>
      </w:r>
    </w:p>
    <w:p>
      <w:pPr>
        <w:keepNext w:val="false"/>
        <w:spacing w:after="100" w:before="0" w:line="288"/>
        <w:jc w:val="left"/>
      </w:pPr>
      <w:r>
        <w:rPr>
          <w:rFonts w:ascii="Arial" w:cs="Arial" w:eastAsia="Arial" w:hAnsi="Arial"/>
          <w:b/>
          <w:bCs/>
          <w:caps w:val="false"/>
          <w:color w:val="0D1B4B"/>
          <w:sz w:val="19"/>
          <w:szCs w:val="19"/>
        </w:rPr>
        <w:t xml:space="preserve">Merchant compliance: </w:t>
      </w:r>
      <w:r>
        <w:rPr>
          <w:rFonts w:ascii="Arial" w:cs="Arial" w:eastAsia="Arial" w:hAnsi="Arial"/>
          <w:b w:val="false"/>
          <w:bCs w:val="false"/>
          <w:caps w:val="false"/>
          <w:color w:val="2A2A2A"/>
          <w:sz w:val="19"/>
          <w:szCs w:val="19"/>
        </w:rPr>
        <w:t xml:space="preserve">Receipts cover baseline record-keeping; GST-compliant tax invoicing is included in GTM, sequenced after the core launch.</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040"/>
        <w:gridCol w:w="2440"/>
        <w:gridCol w:w="2440"/>
        <w:gridCol w:w="2440"/>
      </w:tblGrid>
      <w:tr>
        <w:trPr>
          <w:tblHeader/>
        </w:trPr>
        <w:tc>
          <w:tcPr>
            <w:tcW w:type="dxa" w:w="2040"/>
            <w:tcBorders>
              <w:top w:val="none" w:color="FFFFFF" w:sz="0"/>
              <w:left w:val="none" w:color="FFFFFF" w:sz="0"/>
              <w:bottom w:val="none" w:color="FFFFFF" w:sz="0"/>
              <w:right w:val="none" w:color="FFFFFF" w:sz="0"/>
            </w:tcBorders>
            <w:shd w:fill="0D1B4B" w:val="clear"/>
            <w:tcMar>
              <w:top w:type="dxa" w:w="90"/>
              <w:left w:type="dxa" w:w="130"/>
              <w:bottom w:type="dxa" w:w="90"/>
              <w:right w:type="dxa" w:w="130"/>
            </w:tcMar>
            <w:vAlign w:val="center"/>
          </w:tcPr>
          <w:p>
            <w:pPr>
              <w:keepNext w:val="false"/>
              <w:spacing w:after="0" w:before="0" w:line="276"/>
              <w:jc w:val="left"/>
            </w:pPr>
            <w:r>
              <w:rPr>
                <w:rFonts w:ascii="Arial" w:cs="Arial" w:eastAsia="Arial" w:hAnsi="Arial"/>
                <w:b/>
                <w:bCs/>
                <w:caps w:val="false"/>
                <w:color w:val="FFFFFF"/>
                <w:sz w:val="17"/>
                <w:szCs w:val="17"/>
              </w:rPr>
              <w:t xml:space="preserve">Feature</w:t>
            </w:r>
          </w:p>
        </w:tc>
        <w:tc>
          <w:tcPr>
            <w:tcW w:type="dxa" w:w="2440"/>
            <w:tcBorders>
              <w:top w:val="none" w:color="FFFFFF" w:sz="0"/>
              <w:left w:val="none" w:color="FFFFFF" w:sz="0"/>
              <w:bottom w:val="none" w:color="FFFFFF" w:sz="0"/>
              <w:right w:val="none" w:color="FFFFFF" w:sz="0"/>
            </w:tcBorders>
            <w:shd w:fill="0D1B4B" w:val="clear"/>
            <w:tcMar>
              <w:top w:type="dxa" w:w="90"/>
              <w:left w:type="dxa" w:w="130"/>
              <w:bottom w:type="dxa" w:w="90"/>
              <w:right w:type="dxa" w:w="130"/>
            </w:tcMar>
            <w:vAlign w:val="center"/>
          </w:tcPr>
          <w:p>
            <w:pPr>
              <w:keepNext w:val="false"/>
              <w:spacing w:after="0" w:before="0" w:line="276"/>
              <w:jc w:val="left"/>
            </w:pPr>
            <w:r>
              <w:rPr>
                <w:rFonts w:ascii="Arial" w:cs="Arial" w:eastAsia="Arial" w:hAnsi="Arial"/>
                <w:b/>
                <w:bCs/>
                <w:caps w:val="false"/>
                <w:color w:val="FFFFFF"/>
                <w:sz w:val="17"/>
                <w:szCs w:val="17"/>
              </w:rPr>
              <w:t xml:space="preserve">What it is</w:t>
            </w:r>
          </w:p>
        </w:tc>
        <w:tc>
          <w:tcPr>
            <w:tcW w:type="dxa" w:w="2440"/>
            <w:tcBorders>
              <w:top w:val="none" w:color="FFFFFF" w:sz="0"/>
              <w:left w:val="none" w:color="FFFFFF" w:sz="0"/>
              <w:bottom w:val="none" w:color="FFFFFF" w:sz="0"/>
              <w:right w:val="none" w:color="FFFFFF" w:sz="0"/>
            </w:tcBorders>
            <w:shd w:fill="0D1B4B" w:val="clear"/>
            <w:tcMar>
              <w:top w:type="dxa" w:w="90"/>
              <w:left w:type="dxa" w:w="130"/>
              <w:bottom w:type="dxa" w:w="90"/>
              <w:right w:type="dxa" w:w="130"/>
            </w:tcMar>
            <w:vAlign w:val="center"/>
          </w:tcPr>
          <w:p>
            <w:pPr>
              <w:keepNext w:val="false"/>
              <w:spacing w:after="0" w:before="0" w:line="276"/>
              <w:jc w:val="left"/>
            </w:pPr>
            <w:r>
              <w:rPr>
                <w:rFonts w:ascii="Arial" w:cs="Arial" w:eastAsia="Arial" w:hAnsi="Arial"/>
                <w:b/>
                <w:bCs/>
                <w:caps w:val="false"/>
                <w:color w:val="FFFFFF"/>
                <w:sz w:val="17"/>
                <w:szCs w:val="17"/>
              </w:rPr>
              <w:t xml:space="preserve">What it does on the platform</w:t>
            </w:r>
          </w:p>
        </w:tc>
        <w:tc>
          <w:tcPr>
            <w:tcW w:type="dxa" w:w="2440"/>
            <w:tcBorders>
              <w:top w:val="none" w:color="FFFFFF" w:sz="0"/>
              <w:left w:val="none" w:color="FFFFFF" w:sz="0"/>
              <w:bottom w:val="none" w:color="FFFFFF" w:sz="0"/>
              <w:right w:val="none" w:color="FFFFFF" w:sz="0"/>
            </w:tcBorders>
            <w:shd w:fill="0D1B4B" w:val="clear"/>
            <w:tcMar>
              <w:top w:type="dxa" w:w="90"/>
              <w:left w:type="dxa" w:w="130"/>
              <w:bottom w:type="dxa" w:w="90"/>
              <w:right w:type="dxa" w:w="130"/>
            </w:tcMar>
            <w:vAlign w:val="center"/>
          </w:tcPr>
          <w:p>
            <w:pPr>
              <w:keepNext w:val="false"/>
              <w:spacing w:after="0" w:before="0" w:line="276"/>
              <w:jc w:val="left"/>
            </w:pPr>
            <w:r>
              <w:rPr>
                <w:rFonts w:ascii="Arial" w:cs="Arial" w:eastAsia="Arial" w:hAnsi="Arial"/>
                <w:b/>
                <w:bCs/>
                <w:caps w:val="false"/>
                <w:color w:val="FFFFFF"/>
                <w:sz w:val="17"/>
                <w:szCs w:val="17"/>
              </w:rPr>
              <w:t xml:space="preserve">Business value</w:t>
            </w:r>
          </w:p>
        </w:tc>
      </w:tr>
      <w:tr>
        <w:tc>
          <w:tcPr>
            <w:tcW w:type="dxa" w:w="2040"/>
            <w:tcBorders>
              <w:top w:val="single" w:color="D9D9D9" w:sz="4"/>
              <w:left w:val="none" w:color="FFFFFF" w:sz="0"/>
              <w:bottom w:val="single" w:color="D9D9D9" w:sz="4"/>
              <w:right w:val="none" w:color="FFFFFF" w:sz="0"/>
            </w:tcBorders>
            <w:shd w:fill="FFFFFF"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WhatsApp payment-link generation</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A shareable payment link a merchant sends inside a chat.</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Generates a unique link that opens a pre-filled payment flow for the merchant’s customer.</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The simplest possible collection mechanism; lets merchants accept money with zero technical setup.</w:t>
            </w:r>
          </w:p>
        </w:tc>
      </w:tr>
      <w:tr>
        <w:tc>
          <w:tcPr>
            <w:tcW w:type="dxa" w:w="2040"/>
            <w:tcBorders>
              <w:top w:val="single" w:color="D9D9D9" w:sz="4"/>
              <w:left w:val="none" w:color="FFFFFF" w:sz="0"/>
              <w:bottom w:val="single" w:color="D9D9D9" w:sz="4"/>
              <w:right w:val="none" w:color="FFFFFF" w:sz="0"/>
            </w:tcBorders>
            <w:shd w:fill="F2F2F2"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Static / dynamic collection QR</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QR codes — fixed or amount-specific — for collecting payment.</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Encodes the merchant’s payment destination so an in-person customer can scan and pay into the WhatsApp flow.</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Bridges offline commerce into the platform, capturing physical point-of-sale moments.</w:t>
            </w:r>
          </w:p>
        </w:tc>
      </w:tr>
      <w:tr>
        <w:tc>
          <w:tcPr>
            <w:tcW w:type="dxa" w:w="2040"/>
            <w:tcBorders>
              <w:top w:val="single" w:color="D9D9D9" w:sz="4"/>
              <w:left w:val="none" w:color="FFFFFF" w:sz="0"/>
              <w:bottom w:val="single" w:color="D9D9D9" w:sz="4"/>
              <w:right w:val="none" w:color="FFFFFF" w:sz="0"/>
            </w:tcBorders>
            <w:shd w:fill="FFFFFF"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Merchant payment notifications</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Real-time alerts confirming funds received.</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Notifies the merchant on WhatsApp the moment a customer payment settles.</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Gives merchants immediate confidence and closes the sale loop without manual checking.</w:t>
            </w:r>
          </w:p>
        </w:tc>
      </w:tr>
      <w:tr>
        <w:tc>
          <w:tcPr>
            <w:tcW w:type="dxa" w:w="2040"/>
            <w:tcBorders>
              <w:top w:val="single" w:color="D9D9D9" w:sz="4"/>
              <w:left w:val="none" w:color="FFFFFF" w:sz="0"/>
              <w:bottom w:val="single" w:color="D9D9D9" w:sz="4"/>
              <w:right w:val="none" w:color="FFFFFF" w:sz="0"/>
            </w:tcBorders>
            <w:shd w:fill="F2F2F2"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Basic compliant payment receipt</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An auto-generated proof-of-payment document.</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Issues a receipt (ID, amount, date, parties, reference) for every collection to both merchant and customer.</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Satisfies baseline legal record-keeping for the merchant and provides customer proof of payment.</w:t>
            </w:r>
          </w:p>
        </w:tc>
      </w:tr>
      <w:tr>
        <w:tc>
          <w:tcPr>
            <w:tcW w:type="dxa" w:w="2040"/>
            <w:tcBorders>
              <w:top w:val="single" w:color="D9D9D9" w:sz="4"/>
              <w:left w:val="none" w:color="FFFFFF" w:sz="0"/>
              <w:bottom w:val="single" w:color="D9D9D9" w:sz="4"/>
              <w:right w:val="none" w:color="FFFFFF" w:sz="0"/>
            </w:tcBorders>
            <w:shd w:fill="FFFFFF"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Merchant transaction history</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A chronological record of the merchant’s collections.</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Lists all received payments with status and reference in the merchant view.</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Provides minimum viable bookkeeping so merchants can reconcile their takings.</w:t>
            </w:r>
          </w:p>
        </w:tc>
      </w:tr>
      <w:tr>
        <w:tc>
          <w:tcPr>
            <w:tcW w:type="dxa" w:w="2040"/>
            <w:tcBorders>
              <w:top w:val="single" w:color="D9D9D9" w:sz="4"/>
              <w:left w:val="none" w:color="FFFFFF" w:sz="0"/>
              <w:bottom w:val="single" w:color="D9D9D9" w:sz="4"/>
              <w:right w:val="none" w:color="FFFFFF" w:sz="0"/>
            </w:tcBorders>
            <w:shd w:fill="F2F2F2"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Merchant payout to bank account</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Withdrawal of collected balances to the merchant’s bank.</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Transfers accumulated collections to the merchant’s linked account on a schedule or on demand.</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Closes the loop — merchants must be able to access the money they collect.</w:t>
            </w:r>
          </w:p>
        </w:tc>
      </w:tr>
      <w:tr>
        <w:tc>
          <w:tcPr>
            <w:tcW w:type="dxa" w:w="2040"/>
            <w:tcBorders>
              <w:top w:val="single" w:color="D9D9D9" w:sz="4"/>
              <w:left w:val="none" w:color="FFFFFF" w:sz="0"/>
              <w:bottom w:val="single" w:color="D9D9D9" w:sz="4"/>
              <w:right w:val="none" w:color="FFFFFF" w:sz="0"/>
            </w:tcBorders>
            <w:shd w:fill="FFFFFF"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GST-compliant tax invoicing</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Formal tax invoices meeting GST formatting rules.</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Generates sequentially-numbered invoices with tax breakdown for transactions that require them.</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Enables merchants to meet statutory tax-invoicing obligations, unlocking compliant business use.</w:t>
            </w:r>
          </w:p>
        </w:tc>
      </w:tr>
    </w:tbl>
    <w:p>
      <w:pPr>
        <w:keepNext/>
        <w:pBdr>
          <w:bottom w:val="single" w:color="007A68" w:sz="4" w:space="4"/>
        </w:pBdr>
        <w:spacing w:after="100" w:before="240"/>
      </w:pPr>
      <w:r>
        <w:rPr>
          <w:rFonts w:ascii="Arial" w:cs="Arial" w:eastAsia="Arial" w:hAnsi="Arial"/>
          <w:b/>
          <w:bCs/>
          <w:caps w:val="false"/>
          <w:color w:val="007A68"/>
          <w:sz w:val="21"/>
          <w:szCs w:val="21"/>
        </w:rPr>
        <w:t xml:space="preserve">Module 4 — AI Engine (Customer Service &amp; Disputes)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040"/>
        <w:gridCol w:w="2440"/>
        <w:gridCol w:w="2440"/>
        <w:gridCol w:w="2440"/>
      </w:tblGrid>
      <w:tr>
        <w:trPr>
          <w:tblHeader/>
        </w:trPr>
        <w:tc>
          <w:tcPr>
            <w:tcW w:type="dxa" w:w="2040"/>
            <w:tcBorders>
              <w:top w:val="none" w:color="FFFFFF" w:sz="0"/>
              <w:left w:val="none" w:color="FFFFFF" w:sz="0"/>
              <w:bottom w:val="none" w:color="FFFFFF" w:sz="0"/>
              <w:right w:val="none" w:color="FFFFFF" w:sz="0"/>
            </w:tcBorders>
            <w:shd w:fill="0D1B4B" w:val="clear"/>
            <w:tcMar>
              <w:top w:type="dxa" w:w="90"/>
              <w:left w:type="dxa" w:w="130"/>
              <w:bottom w:type="dxa" w:w="90"/>
              <w:right w:type="dxa" w:w="130"/>
            </w:tcMar>
            <w:vAlign w:val="center"/>
          </w:tcPr>
          <w:p>
            <w:pPr>
              <w:keepNext w:val="false"/>
              <w:spacing w:after="0" w:before="0" w:line="276"/>
              <w:jc w:val="left"/>
            </w:pPr>
            <w:r>
              <w:rPr>
                <w:rFonts w:ascii="Arial" w:cs="Arial" w:eastAsia="Arial" w:hAnsi="Arial"/>
                <w:b/>
                <w:bCs/>
                <w:caps w:val="false"/>
                <w:color w:val="FFFFFF"/>
                <w:sz w:val="17"/>
                <w:szCs w:val="17"/>
              </w:rPr>
              <w:t xml:space="preserve">Feature</w:t>
            </w:r>
          </w:p>
        </w:tc>
        <w:tc>
          <w:tcPr>
            <w:tcW w:type="dxa" w:w="2440"/>
            <w:tcBorders>
              <w:top w:val="none" w:color="FFFFFF" w:sz="0"/>
              <w:left w:val="none" w:color="FFFFFF" w:sz="0"/>
              <w:bottom w:val="none" w:color="FFFFFF" w:sz="0"/>
              <w:right w:val="none" w:color="FFFFFF" w:sz="0"/>
            </w:tcBorders>
            <w:shd w:fill="0D1B4B" w:val="clear"/>
            <w:tcMar>
              <w:top w:type="dxa" w:w="90"/>
              <w:left w:type="dxa" w:w="130"/>
              <w:bottom w:type="dxa" w:w="90"/>
              <w:right w:type="dxa" w:w="130"/>
            </w:tcMar>
            <w:vAlign w:val="center"/>
          </w:tcPr>
          <w:p>
            <w:pPr>
              <w:keepNext w:val="false"/>
              <w:spacing w:after="0" w:before="0" w:line="276"/>
              <w:jc w:val="left"/>
            </w:pPr>
            <w:r>
              <w:rPr>
                <w:rFonts w:ascii="Arial" w:cs="Arial" w:eastAsia="Arial" w:hAnsi="Arial"/>
                <w:b/>
                <w:bCs/>
                <w:caps w:val="false"/>
                <w:color w:val="FFFFFF"/>
                <w:sz w:val="17"/>
                <w:szCs w:val="17"/>
              </w:rPr>
              <w:t xml:space="preserve">What it is</w:t>
            </w:r>
          </w:p>
        </w:tc>
        <w:tc>
          <w:tcPr>
            <w:tcW w:type="dxa" w:w="2440"/>
            <w:tcBorders>
              <w:top w:val="none" w:color="FFFFFF" w:sz="0"/>
              <w:left w:val="none" w:color="FFFFFF" w:sz="0"/>
              <w:bottom w:val="none" w:color="FFFFFF" w:sz="0"/>
              <w:right w:val="none" w:color="FFFFFF" w:sz="0"/>
            </w:tcBorders>
            <w:shd w:fill="0D1B4B" w:val="clear"/>
            <w:tcMar>
              <w:top w:type="dxa" w:w="90"/>
              <w:left w:type="dxa" w:w="130"/>
              <w:bottom w:type="dxa" w:w="90"/>
              <w:right w:type="dxa" w:w="130"/>
            </w:tcMar>
            <w:vAlign w:val="center"/>
          </w:tcPr>
          <w:p>
            <w:pPr>
              <w:keepNext w:val="false"/>
              <w:spacing w:after="0" w:before="0" w:line="276"/>
              <w:jc w:val="left"/>
            </w:pPr>
            <w:r>
              <w:rPr>
                <w:rFonts w:ascii="Arial" w:cs="Arial" w:eastAsia="Arial" w:hAnsi="Arial"/>
                <w:b/>
                <w:bCs/>
                <w:caps w:val="false"/>
                <w:color w:val="FFFFFF"/>
                <w:sz w:val="17"/>
                <w:szCs w:val="17"/>
              </w:rPr>
              <w:t xml:space="preserve">What it does on the platform</w:t>
            </w:r>
          </w:p>
        </w:tc>
        <w:tc>
          <w:tcPr>
            <w:tcW w:type="dxa" w:w="2440"/>
            <w:tcBorders>
              <w:top w:val="none" w:color="FFFFFF" w:sz="0"/>
              <w:left w:val="none" w:color="FFFFFF" w:sz="0"/>
              <w:bottom w:val="none" w:color="FFFFFF" w:sz="0"/>
              <w:right w:val="none" w:color="FFFFFF" w:sz="0"/>
            </w:tcBorders>
            <w:shd w:fill="0D1B4B" w:val="clear"/>
            <w:tcMar>
              <w:top w:type="dxa" w:w="90"/>
              <w:left w:type="dxa" w:w="130"/>
              <w:bottom w:type="dxa" w:w="90"/>
              <w:right w:type="dxa" w:w="130"/>
            </w:tcMar>
            <w:vAlign w:val="center"/>
          </w:tcPr>
          <w:p>
            <w:pPr>
              <w:keepNext w:val="false"/>
              <w:spacing w:after="0" w:before="0" w:line="276"/>
              <w:jc w:val="left"/>
            </w:pPr>
            <w:r>
              <w:rPr>
                <w:rFonts w:ascii="Arial" w:cs="Arial" w:eastAsia="Arial" w:hAnsi="Arial"/>
                <w:b/>
                <w:bCs/>
                <w:caps w:val="false"/>
                <w:color w:val="FFFFFF"/>
                <w:sz w:val="17"/>
                <w:szCs w:val="17"/>
              </w:rPr>
              <w:t xml:space="preserve">Business value</w:t>
            </w:r>
          </w:p>
        </w:tc>
      </w:tr>
      <w:tr>
        <w:tc>
          <w:tcPr>
            <w:tcW w:type="dxa" w:w="2040"/>
            <w:tcBorders>
              <w:top w:val="single" w:color="D9D9D9" w:sz="4"/>
              <w:left w:val="none" w:color="FFFFFF" w:sz="0"/>
              <w:bottom w:val="single" w:color="D9D9D9" w:sz="4"/>
              <w:right w:val="none" w:color="FFFFFF" w:sz="0"/>
            </w:tcBorders>
            <w:shd w:fill="FFFFFF"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Autonomous AI customer-service bot</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A multilingual conversational agent handling support in-chat.</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Answers FAQs, reports transaction status, guides onboarding and resolves common issues without a human.</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Deflects the majority of support volume at near-zero marginal cost, critical for thin remittance margins.</w:t>
            </w:r>
          </w:p>
        </w:tc>
      </w:tr>
      <w:tr>
        <w:tc>
          <w:tcPr>
            <w:tcW w:type="dxa" w:w="2040"/>
            <w:tcBorders>
              <w:top w:val="single" w:color="D9D9D9" w:sz="4"/>
              <w:left w:val="none" w:color="FFFFFF" w:sz="0"/>
              <w:bottom w:val="single" w:color="D9D9D9" w:sz="4"/>
              <w:right w:val="none" w:color="FFFFFF" w:sz="0"/>
            </w:tcBorders>
            <w:shd w:fill="F2F2F2"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AI intent routing + escalation</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A classifier that routes queries and escalates when needed.</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Determines user intent, handles what it can, and hands off cleanly to a human agent for the rest.</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Ensures complex or sensitive cases reach humans while routine load stays automated.</w:t>
            </w:r>
          </w:p>
        </w:tc>
      </w:tr>
      <w:tr>
        <w:tc>
          <w:tcPr>
            <w:tcW w:type="dxa" w:w="2040"/>
            <w:tcBorders>
              <w:top w:val="single" w:color="D9D9D9" w:sz="4"/>
              <w:left w:val="none" w:color="FFFFFF" w:sz="0"/>
              <w:bottom w:val="single" w:color="D9D9D9" w:sz="4"/>
              <w:right w:val="none" w:color="FFFFFF" w:sz="0"/>
            </w:tcBorders>
            <w:shd w:fill="FFFFFF"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AI dispute intake + classification</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An automated front door for disputes.</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Captures dispute details and categorizes each case by type and severity.</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Standardizes and accelerates dispute handling from the first moment, improving resolution time.</w:t>
            </w:r>
          </w:p>
        </w:tc>
      </w:tr>
      <w:tr>
        <w:tc>
          <w:tcPr>
            <w:tcW w:type="dxa" w:w="2040"/>
            <w:tcBorders>
              <w:top w:val="single" w:color="D9D9D9" w:sz="4"/>
              <w:left w:val="none" w:color="FFFFFF" w:sz="0"/>
              <w:bottom w:val="single" w:color="D9D9D9" w:sz="4"/>
              <w:right w:val="none" w:color="FFFFFF" w:sz="0"/>
            </w:tcBorders>
            <w:shd w:fill="F2F2F2"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AI evidence gathering / case assembly</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Automated compilation of the facts behind a dispute.</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Pulls transaction records, timelines and communications into a structured case file.</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Removes hours of manual case-building per dispute, improving operator efficiency and consistency.</w:t>
            </w:r>
          </w:p>
        </w:tc>
      </w:tr>
      <w:tr>
        <w:tc>
          <w:tcPr>
            <w:tcW w:type="dxa" w:w="2040"/>
            <w:tcBorders>
              <w:top w:val="single" w:color="D9D9D9" w:sz="4"/>
              <w:left w:val="none" w:color="FFFFFF" w:sz="0"/>
              <w:bottom w:val="single" w:color="D9D9D9" w:sz="4"/>
              <w:right w:val="none" w:color="FFFFFF" w:sz="0"/>
            </w:tcBorders>
            <w:shd w:fill="FFFFFF"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AI draft resolution + approval gate</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An AI-proposed resolution reviewed by a human before action.</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Drafts a recommended outcome and routes it to an operator for approval in the admin console.</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Combines AI speed with human accountability — safe dispute handling before autonomy is earned.</w:t>
            </w:r>
          </w:p>
        </w:tc>
      </w:tr>
      <w:tr>
        <w:tc>
          <w:tcPr>
            <w:tcW w:type="dxa" w:w="2040"/>
            <w:tcBorders>
              <w:top w:val="single" w:color="D9D9D9" w:sz="4"/>
              <w:left w:val="none" w:color="FFFFFF" w:sz="0"/>
              <w:bottom w:val="single" w:color="D9D9D9" w:sz="4"/>
              <w:right w:val="none" w:color="FFFFFF" w:sz="0"/>
            </w:tcBorders>
            <w:shd w:fill="F2F2F2"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Sentiment / fraud-signal detection</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Real-time analysis of conversation tone and risk indicators.</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Flags distress, anger or fraud signals within chats for prioritization or intervention.</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Protects vulnerable users and surfaces fraud early, reducing loss and reputational risk.</w:t>
            </w:r>
          </w:p>
        </w:tc>
      </w:tr>
    </w:tbl>
    <w:p>
      <w:pPr>
        <w:keepNext/>
        <w:pBdr>
          <w:bottom w:val="single" w:color="007A68" w:sz="4" w:space="4"/>
        </w:pBdr>
        <w:spacing w:after="100" w:before="240"/>
      </w:pPr>
      <w:r>
        <w:rPr>
          <w:rFonts w:ascii="Arial" w:cs="Arial" w:eastAsia="Arial" w:hAnsi="Arial"/>
          <w:b/>
          <w:bCs/>
          <w:caps w:val="false"/>
          <w:color w:val="007A68"/>
          <w:sz w:val="21"/>
          <w:szCs w:val="21"/>
        </w:rPr>
        <w:t xml:space="preserve">Module 5 — Payments, Wallet &amp; Treasury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040"/>
        <w:gridCol w:w="2440"/>
        <w:gridCol w:w="2440"/>
        <w:gridCol w:w="2440"/>
      </w:tblGrid>
      <w:tr>
        <w:trPr>
          <w:tblHeader/>
        </w:trPr>
        <w:tc>
          <w:tcPr>
            <w:tcW w:type="dxa" w:w="2040"/>
            <w:tcBorders>
              <w:top w:val="none" w:color="FFFFFF" w:sz="0"/>
              <w:left w:val="none" w:color="FFFFFF" w:sz="0"/>
              <w:bottom w:val="none" w:color="FFFFFF" w:sz="0"/>
              <w:right w:val="none" w:color="FFFFFF" w:sz="0"/>
            </w:tcBorders>
            <w:shd w:fill="0D1B4B" w:val="clear"/>
            <w:tcMar>
              <w:top w:type="dxa" w:w="90"/>
              <w:left w:type="dxa" w:w="130"/>
              <w:bottom w:type="dxa" w:w="90"/>
              <w:right w:type="dxa" w:w="130"/>
            </w:tcMar>
            <w:vAlign w:val="center"/>
          </w:tcPr>
          <w:p>
            <w:pPr>
              <w:keepNext w:val="false"/>
              <w:spacing w:after="0" w:before="0" w:line="276"/>
              <w:jc w:val="left"/>
            </w:pPr>
            <w:r>
              <w:rPr>
                <w:rFonts w:ascii="Arial" w:cs="Arial" w:eastAsia="Arial" w:hAnsi="Arial"/>
                <w:b/>
                <w:bCs/>
                <w:caps w:val="false"/>
                <w:color w:val="FFFFFF"/>
                <w:sz w:val="17"/>
                <w:szCs w:val="17"/>
              </w:rPr>
              <w:t xml:space="preserve">Feature</w:t>
            </w:r>
          </w:p>
        </w:tc>
        <w:tc>
          <w:tcPr>
            <w:tcW w:type="dxa" w:w="2440"/>
            <w:tcBorders>
              <w:top w:val="none" w:color="FFFFFF" w:sz="0"/>
              <w:left w:val="none" w:color="FFFFFF" w:sz="0"/>
              <w:bottom w:val="none" w:color="FFFFFF" w:sz="0"/>
              <w:right w:val="none" w:color="FFFFFF" w:sz="0"/>
            </w:tcBorders>
            <w:shd w:fill="0D1B4B" w:val="clear"/>
            <w:tcMar>
              <w:top w:type="dxa" w:w="90"/>
              <w:left w:type="dxa" w:w="130"/>
              <w:bottom w:type="dxa" w:w="90"/>
              <w:right w:type="dxa" w:w="130"/>
            </w:tcMar>
            <w:vAlign w:val="center"/>
          </w:tcPr>
          <w:p>
            <w:pPr>
              <w:keepNext w:val="false"/>
              <w:spacing w:after="0" w:before="0" w:line="276"/>
              <w:jc w:val="left"/>
            </w:pPr>
            <w:r>
              <w:rPr>
                <w:rFonts w:ascii="Arial" w:cs="Arial" w:eastAsia="Arial" w:hAnsi="Arial"/>
                <w:b/>
                <w:bCs/>
                <w:caps w:val="false"/>
                <w:color w:val="FFFFFF"/>
                <w:sz w:val="17"/>
                <w:szCs w:val="17"/>
              </w:rPr>
              <w:t xml:space="preserve">What it is</w:t>
            </w:r>
          </w:p>
        </w:tc>
        <w:tc>
          <w:tcPr>
            <w:tcW w:type="dxa" w:w="2440"/>
            <w:tcBorders>
              <w:top w:val="none" w:color="FFFFFF" w:sz="0"/>
              <w:left w:val="none" w:color="FFFFFF" w:sz="0"/>
              <w:bottom w:val="none" w:color="FFFFFF" w:sz="0"/>
              <w:right w:val="none" w:color="FFFFFF" w:sz="0"/>
            </w:tcBorders>
            <w:shd w:fill="0D1B4B" w:val="clear"/>
            <w:tcMar>
              <w:top w:type="dxa" w:w="90"/>
              <w:left w:type="dxa" w:w="130"/>
              <w:bottom w:type="dxa" w:w="90"/>
              <w:right w:type="dxa" w:w="130"/>
            </w:tcMar>
            <w:vAlign w:val="center"/>
          </w:tcPr>
          <w:p>
            <w:pPr>
              <w:keepNext w:val="false"/>
              <w:spacing w:after="0" w:before="0" w:line="276"/>
              <w:jc w:val="left"/>
            </w:pPr>
            <w:r>
              <w:rPr>
                <w:rFonts w:ascii="Arial" w:cs="Arial" w:eastAsia="Arial" w:hAnsi="Arial"/>
                <w:b/>
                <w:bCs/>
                <w:caps w:val="false"/>
                <w:color w:val="FFFFFF"/>
                <w:sz w:val="17"/>
                <w:szCs w:val="17"/>
              </w:rPr>
              <w:t xml:space="preserve">What it does on the platform</w:t>
            </w:r>
          </w:p>
        </w:tc>
        <w:tc>
          <w:tcPr>
            <w:tcW w:type="dxa" w:w="2440"/>
            <w:tcBorders>
              <w:top w:val="none" w:color="FFFFFF" w:sz="0"/>
              <w:left w:val="none" w:color="FFFFFF" w:sz="0"/>
              <w:bottom w:val="none" w:color="FFFFFF" w:sz="0"/>
              <w:right w:val="none" w:color="FFFFFF" w:sz="0"/>
            </w:tcBorders>
            <w:shd w:fill="0D1B4B" w:val="clear"/>
            <w:tcMar>
              <w:top w:type="dxa" w:w="90"/>
              <w:left w:type="dxa" w:w="130"/>
              <w:bottom w:type="dxa" w:w="90"/>
              <w:right w:type="dxa" w:w="130"/>
            </w:tcMar>
            <w:vAlign w:val="center"/>
          </w:tcPr>
          <w:p>
            <w:pPr>
              <w:keepNext w:val="false"/>
              <w:spacing w:after="0" w:before="0" w:line="276"/>
              <w:jc w:val="left"/>
            </w:pPr>
            <w:r>
              <w:rPr>
                <w:rFonts w:ascii="Arial" w:cs="Arial" w:eastAsia="Arial" w:hAnsi="Arial"/>
                <w:b/>
                <w:bCs/>
                <w:caps w:val="false"/>
                <w:color w:val="FFFFFF"/>
                <w:sz w:val="17"/>
                <w:szCs w:val="17"/>
              </w:rPr>
              <w:t xml:space="preserve">Business value</w:t>
            </w:r>
          </w:p>
        </w:tc>
      </w:tr>
      <w:tr>
        <w:tc>
          <w:tcPr>
            <w:tcW w:type="dxa" w:w="2040"/>
            <w:tcBorders>
              <w:top w:val="single" w:color="D9D9D9" w:sz="4"/>
              <w:left w:val="none" w:color="FFFFFF" w:sz="0"/>
              <w:bottom w:val="single" w:color="D9D9D9" w:sz="4"/>
              <w:right w:val="none" w:color="FFFFFF" w:sz="0"/>
            </w:tcBorders>
            <w:shd w:fill="FFFFFF"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Non-custodial orchestration</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The GTM money-movement model where the platform never holds funds.</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Coordinates funding, FX and payout across licensed partners who hold and settle the money.</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Enables launch in months rather than years by avoiding custodial licensing, with no float risk.</w:t>
            </w:r>
          </w:p>
        </w:tc>
      </w:tr>
      <w:tr>
        <w:tc>
          <w:tcPr>
            <w:tcW w:type="dxa" w:w="2040"/>
            <w:tcBorders>
              <w:top w:val="single" w:color="D9D9D9" w:sz="4"/>
              <w:left w:val="none" w:color="FFFFFF" w:sz="0"/>
              <w:bottom w:val="single" w:color="D9D9D9" w:sz="4"/>
              <w:right w:val="none" w:color="FFFFFF" w:sz="0"/>
            </w:tcBorders>
            <w:shd w:fill="F2F2F2"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Partner settlement integration</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Integrations with licensed settlement partners on both corridor ends.</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Connects to US-side and India-side partners that execute the actual movement of funds.</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Provides the regulated rails that make legal money transmission possible at GTM.</w:t>
            </w:r>
          </w:p>
        </w:tc>
      </w:tr>
      <w:tr>
        <w:tc>
          <w:tcPr>
            <w:tcW w:type="dxa" w:w="2040"/>
            <w:tcBorders>
              <w:top w:val="single" w:color="D9D9D9" w:sz="4"/>
              <w:left w:val="none" w:color="FFFFFF" w:sz="0"/>
              <w:bottom w:val="single" w:color="D9D9D9" w:sz="4"/>
              <w:right w:val="none" w:color="FFFFFF" w:sz="0"/>
            </w:tcBorders>
            <w:shd w:fill="FFFFFF"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Payment-gateway integration</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Connections to card and ACH funding gateways.</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Processes inbound funding transactions and reports their status to the orchestration layer.</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The mechanism by which senders’ money enters the system reliably and securely.</w:t>
            </w:r>
          </w:p>
        </w:tc>
      </w:tr>
      <w:tr>
        <w:tc>
          <w:tcPr>
            <w:tcW w:type="dxa" w:w="2040"/>
            <w:tcBorders>
              <w:top w:val="single" w:color="D9D9D9" w:sz="4"/>
              <w:left w:val="none" w:color="FFFFFF" w:sz="0"/>
              <w:bottom w:val="single" w:color="D9D9D9" w:sz="4"/>
              <w:right w:val="none" w:color="FFFFFF" w:sz="0"/>
            </w:tcBorders>
            <w:shd w:fill="F2F2F2"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FX spread engine</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The component that applies the platform’s margin to the exchange rate.</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Layers a configurable spread on top of the partner’s mid-market rate per corridor.</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The primary revenue mechanism of the remittance product, tunable by market conditions.</w:t>
            </w:r>
          </w:p>
        </w:tc>
      </w:tr>
    </w:tbl>
    <w:p>
      <w:pPr>
        <w:keepNext/>
        <w:pBdr>
          <w:bottom w:val="single" w:color="007A68" w:sz="4" w:space="4"/>
        </w:pBdr>
        <w:spacing w:after="100" w:before="240"/>
      </w:pPr>
      <w:r>
        <w:rPr>
          <w:rFonts w:ascii="Arial" w:cs="Arial" w:eastAsia="Arial" w:hAnsi="Arial"/>
          <w:b/>
          <w:bCs/>
          <w:caps w:val="false"/>
          <w:color w:val="007A68"/>
          <w:sz w:val="21"/>
          <w:szCs w:val="21"/>
        </w:rPr>
        <w:t xml:space="preserve">Module 6 — Web Admin Console</w:t>
      </w:r>
    </w:p>
    <w:p>
      <w:pPr>
        <w:keepNext w:val="false"/>
        <w:spacing w:after="100" w:before="0" w:line="288"/>
        <w:jc w:val="left"/>
      </w:pPr>
      <w:r>
        <w:rPr>
          <w:rFonts w:ascii="Arial" w:cs="Arial" w:eastAsia="Arial" w:hAnsi="Arial"/>
          <w:b w:val="false"/>
          <w:bCs w:val="false"/>
          <w:caps w:val="false"/>
          <w:color w:val="2A2A2A"/>
          <w:sz w:val="21"/>
          <w:szCs w:val="21"/>
        </w:rPr>
        <w:t xml:space="preserve">Operating a regulated money product demands substantial admin capability from day one; the bulk of this module is GTM.</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040"/>
        <w:gridCol w:w="2440"/>
        <w:gridCol w:w="2440"/>
        <w:gridCol w:w="2440"/>
      </w:tblGrid>
      <w:tr>
        <w:trPr>
          <w:tblHeader/>
        </w:trPr>
        <w:tc>
          <w:tcPr>
            <w:tcW w:type="dxa" w:w="2040"/>
            <w:tcBorders>
              <w:top w:val="none" w:color="FFFFFF" w:sz="0"/>
              <w:left w:val="none" w:color="FFFFFF" w:sz="0"/>
              <w:bottom w:val="none" w:color="FFFFFF" w:sz="0"/>
              <w:right w:val="none" w:color="FFFFFF" w:sz="0"/>
            </w:tcBorders>
            <w:shd w:fill="0D1B4B" w:val="clear"/>
            <w:tcMar>
              <w:top w:type="dxa" w:w="90"/>
              <w:left w:type="dxa" w:w="130"/>
              <w:bottom w:type="dxa" w:w="90"/>
              <w:right w:type="dxa" w:w="130"/>
            </w:tcMar>
            <w:vAlign w:val="center"/>
          </w:tcPr>
          <w:p>
            <w:pPr>
              <w:keepNext w:val="false"/>
              <w:spacing w:after="0" w:before="0" w:line="276"/>
              <w:jc w:val="left"/>
            </w:pPr>
            <w:r>
              <w:rPr>
                <w:rFonts w:ascii="Arial" w:cs="Arial" w:eastAsia="Arial" w:hAnsi="Arial"/>
                <w:b/>
                <w:bCs/>
                <w:caps w:val="false"/>
                <w:color w:val="FFFFFF"/>
                <w:sz w:val="17"/>
                <w:szCs w:val="17"/>
              </w:rPr>
              <w:t xml:space="preserve">Feature</w:t>
            </w:r>
          </w:p>
        </w:tc>
        <w:tc>
          <w:tcPr>
            <w:tcW w:type="dxa" w:w="2440"/>
            <w:tcBorders>
              <w:top w:val="none" w:color="FFFFFF" w:sz="0"/>
              <w:left w:val="none" w:color="FFFFFF" w:sz="0"/>
              <w:bottom w:val="none" w:color="FFFFFF" w:sz="0"/>
              <w:right w:val="none" w:color="FFFFFF" w:sz="0"/>
            </w:tcBorders>
            <w:shd w:fill="0D1B4B" w:val="clear"/>
            <w:tcMar>
              <w:top w:type="dxa" w:w="90"/>
              <w:left w:type="dxa" w:w="130"/>
              <w:bottom w:type="dxa" w:w="90"/>
              <w:right w:type="dxa" w:w="130"/>
            </w:tcMar>
            <w:vAlign w:val="center"/>
          </w:tcPr>
          <w:p>
            <w:pPr>
              <w:keepNext w:val="false"/>
              <w:spacing w:after="0" w:before="0" w:line="276"/>
              <w:jc w:val="left"/>
            </w:pPr>
            <w:r>
              <w:rPr>
                <w:rFonts w:ascii="Arial" w:cs="Arial" w:eastAsia="Arial" w:hAnsi="Arial"/>
                <w:b/>
                <w:bCs/>
                <w:caps w:val="false"/>
                <w:color w:val="FFFFFF"/>
                <w:sz w:val="17"/>
                <w:szCs w:val="17"/>
              </w:rPr>
              <w:t xml:space="preserve">What it is</w:t>
            </w:r>
          </w:p>
        </w:tc>
        <w:tc>
          <w:tcPr>
            <w:tcW w:type="dxa" w:w="2440"/>
            <w:tcBorders>
              <w:top w:val="none" w:color="FFFFFF" w:sz="0"/>
              <w:left w:val="none" w:color="FFFFFF" w:sz="0"/>
              <w:bottom w:val="none" w:color="FFFFFF" w:sz="0"/>
              <w:right w:val="none" w:color="FFFFFF" w:sz="0"/>
            </w:tcBorders>
            <w:shd w:fill="0D1B4B" w:val="clear"/>
            <w:tcMar>
              <w:top w:type="dxa" w:w="90"/>
              <w:left w:type="dxa" w:w="130"/>
              <w:bottom w:type="dxa" w:w="90"/>
              <w:right w:type="dxa" w:w="130"/>
            </w:tcMar>
            <w:vAlign w:val="center"/>
          </w:tcPr>
          <w:p>
            <w:pPr>
              <w:keepNext w:val="false"/>
              <w:spacing w:after="0" w:before="0" w:line="276"/>
              <w:jc w:val="left"/>
            </w:pPr>
            <w:r>
              <w:rPr>
                <w:rFonts w:ascii="Arial" w:cs="Arial" w:eastAsia="Arial" w:hAnsi="Arial"/>
                <w:b/>
                <w:bCs/>
                <w:caps w:val="false"/>
                <w:color w:val="FFFFFF"/>
                <w:sz w:val="17"/>
                <w:szCs w:val="17"/>
              </w:rPr>
              <w:t xml:space="preserve">What it does on the platform</w:t>
            </w:r>
          </w:p>
        </w:tc>
        <w:tc>
          <w:tcPr>
            <w:tcW w:type="dxa" w:w="2440"/>
            <w:tcBorders>
              <w:top w:val="none" w:color="FFFFFF" w:sz="0"/>
              <w:left w:val="none" w:color="FFFFFF" w:sz="0"/>
              <w:bottom w:val="none" w:color="FFFFFF" w:sz="0"/>
              <w:right w:val="none" w:color="FFFFFF" w:sz="0"/>
            </w:tcBorders>
            <w:shd w:fill="0D1B4B" w:val="clear"/>
            <w:tcMar>
              <w:top w:type="dxa" w:w="90"/>
              <w:left w:type="dxa" w:w="130"/>
              <w:bottom w:type="dxa" w:w="90"/>
              <w:right w:type="dxa" w:w="130"/>
            </w:tcMar>
            <w:vAlign w:val="center"/>
          </w:tcPr>
          <w:p>
            <w:pPr>
              <w:keepNext w:val="false"/>
              <w:spacing w:after="0" w:before="0" w:line="276"/>
              <w:jc w:val="left"/>
            </w:pPr>
            <w:r>
              <w:rPr>
                <w:rFonts w:ascii="Arial" w:cs="Arial" w:eastAsia="Arial" w:hAnsi="Arial"/>
                <w:b/>
                <w:bCs/>
                <w:caps w:val="false"/>
                <w:color w:val="FFFFFF"/>
                <w:sz w:val="17"/>
                <w:szCs w:val="17"/>
              </w:rPr>
              <w:t xml:space="preserve">Business value</w:t>
            </w:r>
          </w:p>
        </w:tc>
      </w:tr>
      <w:tr>
        <w:tc>
          <w:tcPr>
            <w:tcW w:type="dxa" w:w="2040"/>
            <w:tcBorders>
              <w:top w:val="single" w:color="D9D9D9" w:sz="4"/>
              <w:left w:val="none" w:color="FFFFFF" w:sz="0"/>
              <w:bottom w:val="single" w:color="D9D9D9" w:sz="4"/>
              <w:right w:val="none" w:color="FFFFFF" w:sz="0"/>
            </w:tcBorders>
            <w:shd w:fill="FFFFFF"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Operations dashboard</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A live operational view of the platform.</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Displays real-time transaction volume, user counts and system health to operators.</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Lets the team run the business with visibility rather than operating blind.</w:t>
            </w:r>
          </w:p>
        </w:tc>
      </w:tr>
      <w:tr>
        <w:tc>
          <w:tcPr>
            <w:tcW w:type="dxa" w:w="2040"/>
            <w:tcBorders>
              <w:top w:val="single" w:color="D9D9D9" w:sz="4"/>
              <w:left w:val="none" w:color="FFFFFF" w:sz="0"/>
              <w:bottom w:val="single" w:color="D9D9D9" w:sz="4"/>
              <w:right w:val="none" w:color="FFFFFF" w:sz="0"/>
            </w:tcBorders>
            <w:shd w:fill="F2F2F2"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Transaction monitoring + intervention</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Tools to inspect and act on individual transactions.</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Allows operators to investigate, retry or manually resolve stuck and failed transfers.</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Recovers revenue and protects user trust when transactions go wrong.</w:t>
            </w:r>
          </w:p>
        </w:tc>
      </w:tr>
      <w:tr>
        <w:tc>
          <w:tcPr>
            <w:tcW w:type="dxa" w:w="2040"/>
            <w:tcBorders>
              <w:top w:val="single" w:color="D9D9D9" w:sz="4"/>
              <w:left w:val="none" w:color="FFFFFF" w:sz="0"/>
              <w:bottom w:val="single" w:color="D9D9D9" w:sz="4"/>
              <w:right w:val="none" w:color="FFFFFF" w:sz="0"/>
            </w:tcBorders>
            <w:shd w:fill="FFFFFF"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KYC / AML review queue</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A workqueue for flagged identities and screening hits.</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Routes verification edge-cases and AML alerts to compliance staff for human decision.</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Provides the mandatory human-review backbone for regulated onboarding.</w:t>
            </w:r>
          </w:p>
        </w:tc>
      </w:tr>
      <w:tr>
        <w:tc>
          <w:tcPr>
            <w:tcW w:type="dxa" w:w="2040"/>
            <w:tcBorders>
              <w:top w:val="single" w:color="D9D9D9" w:sz="4"/>
              <w:left w:val="none" w:color="FFFFFF" w:sz="0"/>
              <w:bottom w:val="single" w:color="D9D9D9" w:sz="4"/>
              <w:right w:val="none" w:color="FFFFFF" w:sz="0"/>
            </w:tcBorders>
            <w:shd w:fill="F2F2F2"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Dispute management console</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The operator workspace for disputes.</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Presents AI-assembled cases and draft resolutions for human approval and action.</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Where the human-in-the-loop dispute policy is actually executed.</w:t>
            </w:r>
          </w:p>
        </w:tc>
      </w:tr>
      <w:tr>
        <w:tc>
          <w:tcPr>
            <w:tcW w:type="dxa" w:w="2040"/>
            <w:tcBorders>
              <w:top w:val="single" w:color="D9D9D9" w:sz="4"/>
              <w:left w:val="none" w:color="FFFFFF" w:sz="0"/>
              <w:bottom w:val="single" w:color="D9D9D9" w:sz="4"/>
              <w:right w:val="none" w:color="FFFFFF" w:sz="0"/>
            </w:tcBorders>
            <w:shd w:fill="FFFFFF"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User management</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Administrative control over user accounts.</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Enables search, freeze, support and investigation actions on any account.</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Essential for support, compliance and fraud response.</w:t>
            </w:r>
          </w:p>
        </w:tc>
      </w:tr>
      <w:tr>
        <w:tc>
          <w:tcPr>
            <w:tcW w:type="dxa" w:w="2040"/>
            <w:tcBorders>
              <w:top w:val="single" w:color="D9D9D9" w:sz="4"/>
              <w:left w:val="none" w:color="FFFFFF" w:sz="0"/>
              <w:bottom w:val="single" w:color="D9D9D9" w:sz="4"/>
              <w:right w:val="none" w:color="FFFFFF" w:sz="0"/>
            </w:tcBorders>
            <w:shd w:fill="F2F2F2"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FX rate / spread configuration</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Live control of exchange-rate spreads.</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Lets operators adjust corridor spreads without a code deployment.</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Allows pricing and margin to respond to market conditions in real time.</w:t>
            </w:r>
          </w:p>
        </w:tc>
      </w:tr>
      <w:tr>
        <w:tc>
          <w:tcPr>
            <w:tcW w:type="dxa" w:w="2040"/>
            <w:tcBorders>
              <w:top w:val="single" w:color="D9D9D9" w:sz="4"/>
              <w:left w:val="none" w:color="FFFFFF" w:sz="0"/>
              <w:bottom w:val="single" w:color="D9D9D9" w:sz="4"/>
              <w:right w:val="none" w:color="FFFFFF" w:sz="0"/>
            </w:tcBorders>
            <w:shd w:fill="FFFFFF"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Fee / limit configuration</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Live control of fees and transaction limits.</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Adjusts fee schedules and risk limits operationally.</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Tunes economics and risk posture without engineering cycles.</w:t>
            </w:r>
          </w:p>
        </w:tc>
      </w:tr>
      <w:tr>
        <w:tc>
          <w:tcPr>
            <w:tcW w:type="dxa" w:w="2040"/>
            <w:tcBorders>
              <w:top w:val="single" w:color="D9D9D9" w:sz="4"/>
              <w:left w:val="none" w:color="FFFFFF" w:sz="0"/>
              <w:bottom w:val="single" w:color="D9D9D9" w:sz="4"/>
              <w:right w:val="none" w:color="FFFFFF" w:sz="0"/>
            </w:tcBorders>
            <w:shd w:fill="F2F2F2"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Fraud monitoring + case management</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A surface for reviewing and actioning fraud.</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Aggregates flagged transactions and supports investigation and resolution.</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Limits financial loss and meets AML obligations to act on suspicious activity.</w:t>
            </w:r>
          </w:p>
        </w:tc>
      </w:tr>
      <w:tr>
        <w:tc>
          <w:tcPr>
            <w:tcW w:type="dxa" w:w="2040"/>
            <w:tcBorders>
              <w:top w:val="single" w:color="D9D9D9" w:sz="4"/>
              <w:left w:val="none" w:color="FFFFFF" w:sz="0"/>
              <w:bottom w:val="single" w:color="D9D9D9" w:sz="4"/>
              <w:right w:val="none" w:color="FFFFFF" w:sz="0"/>
            </w:tcBorders>
            <w:shd w:fill="FFFFFF"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Compliance reporting (SAR/CTR)</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Automated regulatory report generation.</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Produces suspicious-activity and currency-transaction report exports from transaction data.</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Meets mandatory filing obligations and reduces manual compliance risk and effort.</w:t>
            </w:r>
          </w:p>
        </w:tc>
      </w:tr>
      <w:tr>
        <w:tc>
          <w:tcPr>
            <w:tcW w:type="dxa" w:w="2040"/>
            <w:tcBorders>
              <w:top w:val="single" w:color="D9D9D9" w:sz="4"/>
              <w:left w:val="none" w:color="FFFFFF" w:sz="0"/>
              <w:bottom w:val="single" w:color="D9D9D9" w:sz="4"/>
              <w:right w:val="none" w:color="FFFFFF" w:sz="0"/>
            </w:tcBorders>
            <w:shd w:fill="F2F2F2"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AI engine configuration</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Controls governing AI behavior.</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Lets operators tune prompts, thresholds and escalation rules for the AI engine.</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Keeps AI behavior controllable and improvable without redeploying code.</w:t>
            </w:r>
          </w:p>
        </w:tc>
      </w:tr>
      <w:tr>
        <w:tc>
          <w:tcPr>
            <w:tcW w:type="dxa" w:w="2040"/>
            <w:tcBorders>
              <w:top w:val="single" w:color="D9D9D9" w:sz="4"/>
              <w:left w:val="none" w:color="FFFFFF" w:sz="0"/>
              <w:bottom w:val="single" w:color="D9D9D9" w:sz="4"/>
              <w:right w:val="none" w:color="FFFFFF" w:sz="0"/>
            </w:tcBorders>
            <w:shd w:fill="FFFFFF"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Knowledge-base / FAQ CMS</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A content system feeding the AI bot.</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Lets staff author and update the knowledge the CS bot draws on.</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Keeps automated support accurate and current as the product evolves.</w:t>
            </w:r>
          </w:p>
        </w:tc>
      </w:tr>
      <w:tr>
        <w:tc>
          <w:tcPr>
            <w:tcW w:type="dxa" w:w="2040"/>
            <w:tcBorders>
              <w:top w:val="single" w:color="D9D9D9" w:sz="4"/>
              <w:left w:val="none" w:color="FFFFFF" w:sz="0"/>
              <w:bottom w:val="single" w:color="D9D9D9" w:sz="4"/>
              <w:right w:val="none" w:color="FFFFFF" w:sz="0"/>
            </w:tcBorders>
            <w:shd w:fill="F2F2F2"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Role-based admin access control</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Permissioning across admin functions.</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Restricts each operator’s access to the functions their role requires.</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Enforces least-privilege security and segregation of compliance, ops and engineering duties.</w:t>
            </w:r>
          </w:p>
        </w:tc>
      </w:tr>
      <w:tr>
        <w:tc>
          <w:tcPr>
            <w:tcW w:type="dxa" w:w="2040"/>
            <w:tcBorders>
              <w:top w:val="single" w:color="D9D9D9" w:sz="4"/>
              <w:left w:val="none" w:color="FFFFFF" w:sz="0"/>
              <w:bottom w:val="single" w:color="D9D9D9" w:sz="4"/>
              <w:right w:val="none" w:color="FFFFFF" w:sz="0"/>
            </w:tcBorders>
            <w:shd w:fill="FFFFFF"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Audit log / activity trail</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A tamper-evident record of system and operator actions.</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Logs every significant action with actor, time and detail.</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Provides forensic evidence for compliance audits and security investigations.</w:t>
            </w:r>
          </w:p>
        </w:tc>
      </w:tr>
    </w:tbl>
    <w:p>
      <w:pPr>
        <w:keepNext/>
        <w:pBdr>
          <w:bottom w:val="single" w:color="007A68" w:sz="4" w:space="4"/>
        </w:pBdr>
        <w:spacing w:after="100" w:before="240"/>
      </w:pPr>
      <w:r>
        <w:rPr>
          <w:rFonts w:ascii="Arial" w:cs="Arial" w:eastAsia="Arial" w:hAnsi="Arial"/>
          <w:b/>
          <w:bCs/>
          <w:caps w:val="false"/>
          <w:color w:val="007A68"/>
          <w:sz w:val="21"/>
          <w:szCs w:val="21"/>
        </w:rPr>
        <w:t xml:space="preserve">Module 7 — Notifications &amp; Communications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040"/>
        <w:gridCol w:w="2440"/>
        <w:gridCol w:w="2440"/>
        <w:gridCol w:w="2440"/>
      </w:tblGrid>
      <w:tr>
        <w:trPr>
          <w:tblHeader/>
        </w:trPr>
        <w:tc>
          <w:tcPr>
            <w:tcW w:type="dxa" w:w="2040"/>
            <w:tcBorders>
              <w:top w:val="none" w:color="FFFFFF" w:sz="0"/>
              <w:left w:val="none" w:color="FFFFFF" w:sz="0"/>
              <w:bottom w:val="none" w:color="FFFFFF" w:sz="0"/>
              <w:right w:val="none" w:color="FFFFFF" w:sz="0"/>
            </w:tcBorders>
            <w:shd w:fill="0D1B4B" w:val="clear"/>
            <w:tcMar>
              <w:top w:type="dxa" w:w="90"/>
              <w:left w:type="dxa" w:w="130"/>
              <w:bottom w:type="dxa" w:w="90"/>
              <w:right w:type="dxa" w:w="130"/>
            </w:tcMar>
            <w:vAlign w:val="center"/>
          </w:tcPr>
          <w:p>
            <w:pPr>
              <w:keepNext w:val="false"/>
              <w:spacing w:after="0" w:before="0" w:line="276"/>
              <w:jc w:val="left"/>
            </w:pPr>
            <w:r>
              <w:rPr>
                <w:rFonts w:ascii="Arial" w:cs="Arial" w:eastAsia="Arial" w:hAnsi="Arial"/>
                <w:b/>
                <w:bCs/>
                <w:caps w:val="false"/>
                <w:color w:val="FFFFFF"/>
                <w:sz w:val="17"/>
                <w:szCs w:val="17"/>
              </w:rPr>
              <w:t xml:space="preserve">Feature</w:t>
            </w:r>
          </w:p>
        </w:tc>
        <w:tc>
          <w:tcPr>
            <w:tcW w:type="dxa" w:w="2440"/>
            <w:tcBorders>
              <w:top w:val="none" w:color="FFFFFF" w:sz="0"/>
              <w:left w:val="none" w:color="FFFFFF" w:sz="0"/>
              <w:bottom w:val="none" w:color="FFFFFF" w:sz="0"/>
              <w:right w:val="none" w:color="FFFFFF" w:sz="0"/>
            </w:tcBorders>
            <w:shd w:fill="0D1B4B" w:val="clear"/>
            <w:tcMar>
              <w:top w:type="dxa" w:w="90"/>
              <w:left w:type="dxa" w:w="130"/>
              <w:bottom w:type="dxa" w:w="90"/>
              <w:right w:type="dxa" w:w="130"/>
            </w:tcMar>
            <w:vAlign w:val="center"/>
          </w:tcPr>
          <w:p>
            <w:pPr>
              <w:keepNext w:val="false"/>
              <w:spacing w:after="0" w:before="0" w:line="276"/>
              <w:jc w:val="left"/>
            </w:pPr>
            <w:r>
              <w:rPr>
                <w:rFonts w:ascii="Arial" w:cs="Arial" w:eastAsia="Arial" w:hAnsi="Arial"/>
                <w:b/>
                <w:bCs/>
                <w:caps w:val="false"/>
                <w:color w:val="FFFFFF"/>
                <w:sz w:val="17"/>
                <w:szCs w:val="17"/>
              </w:rPr>
              <w:t xml:space="preserve">What it is</w:t>
            </w:r>
          </w:p>
        </w:tc>
        <w:tc>
          <w:tcPr>
            <w:tcW w:type="dxa" w:w="2440"/>
            <w:tcBorders>
              <w:top w:val="none" w:color="FFFFFF" w:sz="0"/>
              <w:left w:val="none" w:color="FFFFFF" w:sz="0"/>
              <w:bottom w:val="none" w:color="FFFFFF" w:sz="0"/>
              <w:right w:val="none" w:color="FFFFFF" w:sz="0"/>
            </w:tcBorders>
            <w:shd w:fill="0D1B4B" w:val="clear"/>
            <w:tcMar>
              <w:top w:type="dxa" w:w="90"/>
              <w:left w:type="dxa" w:w="130"/>
              <w:bottom w:type="dxa" w:w="90"/>
              <w:right w:type="dxa" w:w="130"/>
            </w:tcMar>
            <w:vAlign w:val="center"/>
          </w:tcPr>
          <w:p>
            <w:pPr>
              <w:keepNext w:val="false"/>
              <w:spacing w:after="0" w:before="0" w:line="276"/>
              <w:jc w:val="left"/>
            </w:pPr>
            <w:r>
              <w:rPr>
                <w:rFonts w:ascii="Arial" w:cs="Arial" w:eastAsia="Arial" w:hAnsi="Arial"/>
                <w:b/>
                <w:bCs/>
                <w:caps w:val="false"/>
                <w:color w:val="FFFFFF"/>
                <w:sz w:val="17"/>
                <w:szCs w:val="17"/>
              </w:rPr>
              <w:t xml:space="preserve">What it does on the platform</w:t>
            </w:r>
          </w:p>
        </w:tc>
        <w:tc>
          <w:tcPr>
            <w:tcW w:type="dxa" w:w="2440"/>
            <w:tcBorders>
              <w:top w:val="none" w:color="FFFFFF" w:sz="0"/>
              <w:left w:val="none" w:color="FFFFFF" w:sz="0"/>
              <w:bottom w:val="none" w:color="FFFFFF" w:sz="0"/>
              <w:right w:val="none" w:color="FFFFFF" w:sz="0"/>
            </w:tcBorders>
            <w:shd w:fill="0D1B4B" w:val="clear"/>
            <w:tcMar>
              <w:top w:type="dxa" w:w="90"/>
              <w:left w:type="dxa" w:w="130"/>
              <w:bottom w:type="dxa" w:w="90"/>
              <w:right w:type="dxa" w:w="130"/>
            </w:tcMar>
            <w:vAlign w:val="center"/>
          </w:tcPr>
          <w:p>
            <w:pPr>
              <w:keepNext w:val="false"/>
              <w:spacing w:after="0" w:before="0" w:line="276"/>
              <w:jc w:val="left"/>
            </w:pPr>
            <w:r>
              <w:rPr>
                <w:rFonts w:ascii="Arial" w:cs="Arial" w:eastAsia="Arial" w:hAnsi="Arial"/>
                <w:b/>
                <w:bCs/>
                <w:caps w:val="false"/>
                <w:color w:val="FFFFFF"/>
                <w:sz w:val="17"/>
                <w:szCs w:val="17"/>
              </w:rPr>
              <w:t xml:space="preserve">Business value</w:t>
            </w:r>
          </w:p>
        </w:tc>
      </w:tr>
      <w:tr>
        <w:tc>
          <w:tcPr>
            <w:tcW w:type="dxa" w:w="2040"/>
            <w:tcBorders>
              <w:top w:val="single" w:color="D9D9D9" w:sz="4"/>
              <w:left w:val="none" w:color="FFFFFF" w:sz="0"/>
              <w:bottom w:val="single" w:color="D9D9D9" w:sz="4"/>
              <w:right w:val="none" w:color="FFFFFF" w:sz="0"/>
            </w:tcBorders>
            <w:shd w:fill="FFFFFF"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WhatsApp transactional messaging</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Status messages delivered on WhatsApp.</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Sends every transaction milestone as a WhatsApp message via approved templates.</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Keeps users informed on the channel they already use — the platform’s primary face.</w:t>
            </w:r>
          </w:p>
        </w:tc>
      </w:tr>
      <w:tr>
        <w:tc>
          <w:tcPr>
            <w:tcW w:type="dxa" w:w="2040"/>
            <w:tcBorders>
              <w:top w:val="single" w:color="D9D9D9" w:sz="4"/>
              <w:left w:val="none" w:color="FFFFFF" w:sz="0"/>
              <w:bottom w:val="single" w:color="D9D9D9" w:sz="4"/>
              <w:right w:val="none" w:color="FFFFFF" w:sz="0"/>
            </w:tcBorders>
            <w:shd w:fill="F2F2F2"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Companion app push notifications</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Push alerts to the mobile app.</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Notifies app users of status changes and relevant events.</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Maintains engagement for app-surface users.</w:t>
            </w:r>
          </w:p>
        </w:tc>
      </w:tr>
      <w:tr>
        <w:tc>
          <w:tcPr>
            <w:tcW w:type="dxa" w:w="2040"/>
            <w:tcBorders>
              <w:top w:val="single" w:color="D9D9D9" w:sz="4"/>
              <w:left w:val="none" w:color="FFFFFF" w:sz="0"/>
              <w:bottom w:val="single" w:color="D9D9D9" w:sz="4"/>
              <w:right w:val="none" w:color="FFFFFF" w:sz="0"/>
            </w:tcBorders>
            <w:shd w:fill="FFFFFF"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SMS / email fallback</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Backup delivery channels.</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Sends notifications via SMS or email only when WhatsApp delivery fails.</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Guarantees critical messages reach users even when the primary channel is unavailable.</w:t>
            </w:r>
          </w:p>
        </w:tc>
      </w:tr>
      <w:tr>
        <w:tc>
          <w:tcPr>
            <w:tcW w:type="dxa" w:w="2040"/>
            <w:tcBorders>
              <w:top w:val="single" w:color="D9D9D9" w:sz="4"/>
              <w:left w:val="none" w:color="FFFFFF" w:sz="0"/>
              <w:bottom w:val="single" w:color="D9D9D9" w:sz="4"/>
              <w:right w:val="none" w:color="FFFFFF" w:sz="0"/>
            </w:tcBorders>
            <w:shd w:fill="F2F2F2"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Multilingual message templates</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Pre-approved templates in corridor languages.</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Stores Meta-approved message templates in English and Hindi for transactional sends.</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Ensures compliant, comprehensible messaging at the speed transactions require.</w:t>
            </w:r>
          </w:p>
        </w:tc>
      </w:tr>
    </w:tbl>
    <w:p>
      <w:pPr>
        <w:keepNext/>
        <w:pBdr>
          <w:bottom w:val="single" w:color="007A68" w:sz="4" w:space="4"/>
        </w:pBdr>
        <w:spacing w:after="100" w:before="240"/>
      </w:pPr>
      <w:r>
        <w:rPr>
          <w:rFonts w:ascii="Arial" w:cs="Arial" w:eastAsia="Arial" w:hAnsi="Arial"/>
          <w:b/>
          <w:bCs/>
          <w:caps w:val="false"/>
          <w:color w:val="007A68"/>
          <w:sz w:val="21"/>
          <w:szCs w:val="21"/>
        </w:rPr>
        <w:t xml:space="preserve">Module 8 — Security, Compliance &amp; Platform</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040"/>
        <w:gridCol w:w="2440"/>
        <w:gridCol w:w="2440"/>
        <w:gridCol w:w="2440"/>
      </w:tblGrid>
      <w:tr>
        <w:trPr>
          <w:tblHeader/>
        </w:trPr>
        <w:tc>
          <w:tcPr>
            <w:tcW w:type="dxa" w:w="2040"/>
            <w:tcBorders>
              <w:top w:val="none" w:color="FFFFFF" w:sz="0"/>
              <w:left w:val="none" w:color="FFFFFF" w:sz="0"/>
              <w:bottom w:val="none" w:color="FFFFFF" w:sz="0"/>
              <w:right w:val="none" w:color="FFFFFF" w:sz="0"/>
            </w:tcBorders>
            <w:shd w:fill="0D1B4B" w:val="clear"/>
            <w:tcMar>
              <w:top w:type="dxa" w:w="90"/>
              <w:left w:type="dxa" w:w="130"/>
              <w:bottom w:type="dxa" w:w="90"/>
              <w:right w:type="dxa" w:w="130"/>
            </w:tcMar>
            <w:vAlign w:val="center"/>
          </w:tcPr>
          <w:p>
            <w:pPr>
              <w:keepNext w:val="false"/>
              <w:spacing w:after="0" w:before="0" w:line="276"/>
              <w:jc w:val="left"/>
            </w:pPr>
            <w:r>
              <w:rPr>
                <w:rFonts w:ascii="Arial" w:cs="Arial" w:eastAsia="Arial" w:hAnsi="Arial"/>
                <w:b/>
                <w:bCs/>
                <w:caps w:val="false"/>
                <w:color w:val="FFFFFF"/>
                <w:sz w:val="17"/>
                <w:szCs w:val="17"/>
              </w:rPr>
              <w:t xml:space="preserve">Feature</w:t>
            </w:r>
          </w:p>
        </w:tc>
        <w:tc>
          <w:tcPr>
            <w:tcW w:type="dxa" w:w="2440"/>
            <w:tcBorders>
              <w:top w:val="none" w:color="FFFFFF" w:sz="0"/>
              <w:left w:val="none" w:color="FFFFFF" w:sz="0"/>
              <w:bottom w:val="none" w:color="FFFFFF" w:sz="0"/>
              <w:right w:val="none" w:color="FFFFFF" w:sz="0"/>
            </w:tcBorders>
            <w:shd w:fill="0D1B4B" w:val="clear"/>
            <w:tcMar>
              <w:top w:type="dxa" w:w="90"/>
              <w:left w:type="dxa" w:w="130"/>
              <w:bottom w:type="dxa" w:w="90"/>
              <w:right w:type="dxa" w:w="130"/>
            </w:tcMar>
            <w:vAlign w:val="center"/>
          </w:tcPr>
          <w:p>
            <w:pPr>
              <w:keepNext w:val="false"/>
              <w:spacing w:after="0" w:before="0" w:line="276"/>
              <w:jc w:val="left"/>
            </w:pPr>
            <w:r>
              <w:rPr>
                <w:rFonts w:ascii="Arial" w:cs="Arial" w:eastAsia="Arial" w:hAnsi="Arial"/>
                <w:b/>
                <w:bCs/>
                <w:caps w:val="false"/>
                <w:color w:val="FFFFFF"/>
                <w:sz w:val="17"/>
                <w:szCs w:val="17"/>
              </w:rPr>
              <w:t xml:space="preserve">What it is</w:t>
            </w:r>
          </w:p>
        </w:tc>
        <w:tc>
          <w:tcPr>
            <w:tcW w:type="dxa" w:w="2440"/>
            <w:tcBorders>
              <w:top w:val="none" w:color="FFFFFF" w:sz="0"/>
              <w:left w:val="none" w:color="FFFFFF" w:sz="0"/>
              <w:bottom w:val="none" w:color="FFFFFF" w:sz="0"/>
              <w:right w:val="none" w:color="FFFFFF" w:sz="0"/>
            </w:tcBorders>
            <w:shd w:fill="0D1B4B" w:val="clear"/>
            <w:tcMar>
              <w:top w:type="dxa" w:w="90"/>
              <w:left w:type="dxa" w:w="130"/>
              <w:bottom w:type="dxa" w:w="90"/>
              <w:right w:type="dxa" w:w="130"/>
            </w:tcMar>
            <w:vAlign w:val="center"/>
          </w:tcPr>
          <w:p>
            <w:pPr>
              <w:keepNext w:val="false"/>
              <w:spacing w:after="0" w:before="0" w:line="276"/>
              <w:jc w:val="left"/>
            </w:pPr>
            <w:r>
              <w:rPr>
                <w:rFonts w:ascii="Arial" w:cs="Arial" w:eastAsia="Arial" w:hAnsi="Arial"/>
                <w:b/>
                <w:bCs/>
                <w:caps w:val="false"/>
                <w:color w:val="FFFFFF"/>
                <w:sz w:val="17"/>
                <w:szCs w:val="17"/>
              </w:rPr>
              <w:t xml:space="preserve">What it does on the platform</w:t>
            </w:r>
          </w:p>
        </w:tc>
        <w:tc>
          <w:tcPr>
            <w:tcW w:type="dxa" w:w="2440"/>
            <w:tcBorders>
              <w:top w:val="none" w:color="FFFFFF" w:sz="0"/>
              <w:left w:val="none" w:color="FFFFFF" w:sz="0"/>
              <w:bottom w:val="none" w:color="FFFFFF" w:sz="0"/>
              <w:right w:val="none" w:color="FFFFFF" w:sz="0"/>
            </w:tcBorders>
            <w:shd w:fill="0D1B4B" w:val="clear"/>
            <w:tcMar>
              <w:top w:type="dxa" w:w="90"/>
              <w:left w:type="dxa" w:w="130"/>
              <w:bottom w:type="dxa" w:w="90"/>
              <w:right w:type="dxa" w:w="130"/>
            </w:tcMar>
            <w:vAlign w:val="center"/>
          </w:tcPr>
          <w:p>
            <w:pPr>
              <w:keepNext w:val="false"/>
              <w:spacing w:after="0" w:before="0" w:line="276"/>
              <w:jc w:val="left"/>
            </w:pPr>
            <w:r>
              <w:rPr>
                <w:rFonts w:ascii="Arial" w:cs="Arial" w:eastAsia="Arial" w:hAnsi="Arial"/>
                <w:b/>
                <w:bCs/>
                <w:caps w:val="false"/>
                <w:color w:val="FFFFFF"/>
                <w:sz w:val="17"/>
                <w:szCs w:val="17"/>
              </w:rPr>
              <w:t xml:space="preserve">Business value</w:t>
            </w:r>
          </w:p>
        </w:tc>
      </w:tr>
      <w:tr>
        <w:tc>
          <w:tcPr>
            <w:tcW w:type="dxa" w:w="2040"/>
            <w:tcBorders>
              <w:top w:val="single" w:color="D9D9D9" w:sz="4"/>
              <w:left w:val="none" w:color="FFFFFF" w:sz="0"/>
              <w:bottom w:val="single" w:color="D9D9D9" w:sz="4"/>
              <w:right w:val="none" w:color="FFFFFF" w:sz="0"/>
            </w:tcBorders>
            <w:shd w:fill="FFFFFF"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End-to-end encryption (Flows)</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Encryption of sensitive Flows payloads.</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Encrypts card and personal data so it is unreadable to intermediaries including Meta.</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Protects sensitive data and is a precondition of PCI compliance.</w:t>
            </w:r>
          </w:p>
        </w:tc>
      </w:tr>
      <w:tr>
        <w:tc>
          <w:tcPr>
            <w:tcW w:type="dxa" w:w="2040"/>
            <w:tcBorders>
              <w:top w:val="single" w:color="D9D9D9" w:sz="4"/>
              <w:left w:val="none" w:color="FFFFFF" w:sz="0"/>
              <w:bottom w:val="single" w:color="D9D9D9" w:sz="4"/>
              <w:right w:val="none" w:color="FFFFFF" w:sz="0"/>
            </w:tcBorders>
            <w:shd w:fill="F2F2F2"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PCI-DSS compliant card handling</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Card-data handling meeting PCI-DSS.</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Processes and stores card data within PCI-compliant boundaries.</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A legal requirement wherever card data is touched; non-compliance forfeits the ability to process cards.</w:t>
            </w:r>
          </w:p>
        </w:tc>
      </w:tr>
      <w:tr>
        <w:tc>
          <w:tcPr>
            <w:tcW w:type="dxa" w:w="2040"/>
            <w:tcBorders>
              <w:top w:val="single" w:color="D9D9D9" w:sz="4"/>
              <w:left w:val="none" w:color="FFFFFF" w:sz="0"/>
              <w:bottom w:val="single" w:color="D9D9D9" w:sz="4"/>
              <w:right w:val="none" w:color="FFFFFF" w:sz="0"/>
            </w:tcBorders>
            <w:shd w:fill="FFFFFF"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Fraud detection / velocity limits</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Automated transaction-risk controls.</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Applies velocity and pattern rules to detect and block suspicious activity.</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Prevents financial loss and supports AML obligations.</w:t>
            </w:r>
          </w:p>
        </w:tc>
      </w:tr>
      <w:tr>
        <w:tc>
          <w:tcPr>
            <w:tcW w:type="dxa" w:w="2040"/>
            <w:tcBorders>
              <w:top w:val="single" w:color="D9D9D9" w:sz="4"/>
              <w:left w:val="none" w:color="FFFFFF" w:sz="0"/>
              <w:bottom w:val="single" w:color="D9D9D9" w:sz="4"/>
              <w:right w:val="none" w:color="FFFFFF" w:sz="0"/>
            </w:tcBorders>
            <w:shd w:fill="F2F2F2"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2FA / MFA</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Multi-factor authentication beyond WhatsApp identity.</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Requires an additional authentication factor for sensitive actions.</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Defends against SIM-swap account takeover, a real attack vector in the corridor.</w:t>
            </w:r>
          </w:p>
        </w:tc>
      </w:tr>
      <w:tr>
        <w:tc>
          <w:tcPr>
            <w:tcW w:type="dxa" w:w="2040"/>
            <w:tcBorders>
              <w:top w:val="single" w:color="D9D9D9" w:sz="4"/>
              <w:left w:val="none" w:color="FFFFFF" w:sz="0"/>
              <w:bottom w:val="single" w:color="D9D9D9" w:sz="4"/>
              <w:right w:val="none" w:color="FFFFFF" w:sz="0"/>
            </w:tcBorders>
            <w:shd w:fill="FFFFFF"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Transaction signing / confirmation</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Explicit authorization before money moves.</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Requires the user to confirm and authorize each transfer.</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Prevents accidental or unauthorized transactions and strengthens non-repudiation.</w:t>
            </w:r>
          </w:p>
        </w:tc>
      </w:tr>
      <w:tr>
        <w:tc>
          <w:tcPr>
            <w:tcW w:type="dxa" w:w="2040"/>
            <w:tcBorders>
              <w:top w:val="single" w:color="D9D9D9" w:sz="4"/>
              <w:left w:val="none" w:color="FFFFFF" w:sz="0"/>
              <w:bottom w:val="single" w:color="D9D9D9" w:sz="4"/>
              <w:right w:val="none" w:color="FFFFFF" w:sz="0"/>
            </w:tcBorders>
            <w:shd w:fill="F2F2F2"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Data residency (India localization)</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Storage of India payment data within India.</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Keeps India-side payment data on infrastructure located in India.</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Mandatory under RBI data-localization rules; a precondition of operating in the corridor.</w:t>
            </w:r>
          </w:p>
        </w:tc>
      </w:tr>
      <w:tr>
        <w:tc>
          <w:tcPr>
            <w:tcW w:type="dxa" w:w="2040"/>
            <w:tcBorders>
              <w:top w:val="single" w:color="D9D9D9" w:sz="4"/>
              <w:left w:val="none" w:color="FFFFFF" w:sz="0"/>
              <w:bottom w:val="single" w:color="D9D9D9" w:sz="4"/>
              <w:right w:val="none" w:color="FFFFFF" w:sz="0"/>
            </w:tcBorders>
            <w:shd w:fill="FFFFFF"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Audit logging</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Comprehensive system logging.</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Records system events for forensic and compliance purposes.</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Supports investigations, audits and regulatory inquiries.</w:t>
            </w:r>
          </w:p>
        </w:tc>
      </w:tr>
      <w:tr>
        <w:tc>
          <w:tcPr>
            <w:tcW w:type="dxa" w:w="2040"/>
            <w:tcBorders>
              <w:top w:val="single" w:color="D9D9D9" w:sz="4"/>
              <w:left w:val="none" w:color="FFFFFF" w:sz="0"/>
              <w:bottom w:val="single" w:color="D9D9D9" w:sz="4"/>
              <w:right w:val="none" w:color="FFFFFF" w:sz="0"/>
            </w:tcBorders>
            <w:shd w:fill="F2F2F2"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Rate limiting / DDoS protection</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Platform-hardening controls.</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Throttles abusive traffic and absorbs denial-of-service attempts.</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Protects availability and integrity of the service.</w:t>
            </w:r>
          </w:p>
        </w:tc>
      </w:tr>
      <w:tr>
        <w:tc>
          <w:tcPr>
            <w:tcW w:type="dxa" w:w="2040"/>
            <w:tcBorders>
              <w:top w:val="single" w:color="D9D9D9" w:sz="4"/>
              <w:left w:val="none" w:color="FFFFFF" w:sz="0"/>
              <w:bottom w:val="single" w:color="D9D9D9" w:sz="4"/>
              <w:right w:val="none" w:color="FFFFFF" w:sz="0"/>
            </w:tcBorders>
            <w:shd w:fill="FFFFFF"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Pre-launch penetration testing</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A security audit gate before go-live.</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Subjects the platform to adversarial testing prior to launch.</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Surfaces vulnerabilities before they reach production and real money.</w:t>
            </w:r>
          </w:p>
        </w:tc>
      </w:tr>
    </w:tbl>
    <w:p>
      <w:pPr>
        <w:keepNext/>
        <w:pBdr>
          <w:bottom w:val="single" w:color="007A68" w:sz="4" w:space="4"/>
        </w:pBdr>
        <w:spacing w:after="100" w:before="240"/>
      </w:pPr>
      <w:r>
        <w:rPr>
          <w:rFonts w:ascii="Arial" w:cs="Arial" w:eastAsia="Arial" w:hAnsi="Arial"/>
          <w:b/>
          <w:bCs/>
          <w:caps w:val="false"/>
          <w:color w:val="007A68"/>
          <w:sz w:val="21"/>
          <w:szCs w:val="21"/>
        </w:rPr>
        <w:t xml:space="preserve">Module 9 — Growth &amp; Engagement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040"/>
        <w:gridCol w:w="2440"/>
        <w:gridCol w:w="2440"/>
        <w:gridCol w:w="2440"/>
      </w:tblGrid>
      <w:tr>
        <w:trPr>
          <w:tblHeader/>
        </w:trPr>
        <w:tc>
          <w:tcPr>
            <w:tcW w:type="dxa" w:w="2040"/>
            <w:tcBorders>
              <w:top w:val="none" w:color="FFFFFF" w:sz="0"/>
              <w:left w:val="none" w:color="FFFFFF" w:sz="0"/>
              <w:bottom w:val="none" w:color="FFFFFF" w:sz="0"/>
              <w:right w:val="none" w:color="FFFFFF" w:sz="0"/>
            </w:tcBorders>
            <w:shd w:fill="0D1B4B" w:val="clear"/>
            <w:tcMar>
              <w:top w:type="dxa" w:w="90"/>
              <w:left w:type="dxa" w:w="130"/>
              <w:bottom w:type="dxa" w:w="90"/>
              <w:right w:type="dxa" w:w="130"/>
            </w:tcMar>
            <w:vAlign w:val="center"/>
          </w:tcPr>
          <w:p>
            <w:pPr>
              <w:keepNext w:val="false"/>
              <w:spacing w:after="0" w:before="0" w:line="276"/>
              <w:jc w:val="left"/>
            </w:pPr>
            <w:r>
              <w:rPr>
                <w:rFonts w:ascii="Arial" w:cs="Arial" w:eastAsia="Arial" w:hAnsi="Arial"/>
                <w:b/>
                <w:bCs/>
                <w:caps w:val="false"/>
                <w:color w:val="FFFFFF"/>
                <w:sz w:val="17"/>
                <w:szCs w:val="17"/>
              </w:rPr>
              <w:t xml:space="preserve">Feature</w:t>
            </w:r>
          </w:p>
        </w:tc>
        <w:tc>
          <w:tcPr>
            <w:tcW w:type="dxa" w:w="2440"/>
            <w:tcBorders>
              <w:top w:val="none" w:color="FFFFFF" w:sz="0"/>
              <w:left w:val="none" w:color="FFFFFF" w:sz="0"/>
              <w:bottom w:val="none" w:color="FFFFFF" w:sz="0"/>
              <w:right w:val="none" w:color="FFFFFF" w:sz="0"/>
            </w:tcBorders>
            <w:shd w:fill="0D1B4B" w:val="clear"/>
            <w:tcMar>
              <w:top w:type="dxa" w:w="90"/>
              <w:left w:type="dxa" w:w="130"/>
              <w:bottom w:type="dxa" w:w="90"/>
              <w:right w:type="dxa" w:w="130"/>
            </w:tcMar>
            <w:vAlign w:val="center"/>
          </w:tcPr>
          <w:p>
            <w:pPr>
              <w:keepNext w:val="false"/>
              <w:spacing w:after="0" w:before="0" w:line="276"/>
              <w:jc w:val="left"/>
            </w:pPr>
            <w:r>
              <w:rPr>
                <w:rFonts w:ascii="Arial" w:cs="Arial" w:eastAsia="Arial" w:hAnsi="Arial"/>
                <w:b/>
                <w:bCs/>
                <w:caps w:val="false"/>
                <w:color w:val="FFFFFF"/>
                <w:sz w:val="17"/>
                <w:szCs w:val="17"/>
              </w:rPr>
              <w:t xml:space="preserve">What it is</w:t>
            </w:r>
          </w:p>
        </w:tc>
        <w:tc>
          <w:tcPr>
            <w:tcW w:type="dxa" w:w="2440"/>
            <w:tcBorders>
              <w:top w:val="none" w:color="FFFFFF" w:sz="0"/>
              <w:left w:val="none" w:color="FFFFFF" w:sz="0"/>
              <w:bottom w:val="none" w:color="FFFFFF" w:sz="0"/>
              <w:right w:val="none" w:color="FFFFFF" w:sz="0"/>
            </w:tcBorders>
            <w:shd w:fill="0D1B4B" w:val="clear"/>
            <w:tcMar>
              <w:top w:type="dxa" w:w="90"/>
              <w:left w:type="dxa" w:w="130"/>
              <w:bottom w:type="dxa" w:w="90"/>
              <w:right w:type="dxa" w:w="130"/>
            </w:tcMar>
            <w:vAlign w:val="center"/>
          </w:tcPr>
          <w:p>
            <w:pPr>
              <w:keepNext w:val="false"/>
              <w:spacing w:after="0" w:before="0" w:line="276"/>
              <w:jc w:val="left"/>
            </w:pPr>
            <w:r>
              <w:rPr>
                <w:rFonts w:ascii="Arial" w:cs="Arial" w:eastAsia="Arial" w:hAnsi="Arial"/>
                <w:b/>
                <w:bCs/>
                <w:caps w:val="false"/>
                <w:color w:val="FFFFFF"/>
                <w:sz w:val="17"/>
                <w:szCs w:val="17"/>
              </w:rPr>
              <w:t xml:space="preserve">What it does on the platform</w:t>
            </w:r>
          </w:p>
        </w:tc>
        <w:tc>
          <w:tcPr>
            <w:tcW w:type="dxa" w:w="2440"/>
            <w:tcBorders>
              <w:top w:val="none" w:color="FFFFFF" w:sz="0"/>
              <w:left w:val="none" w:color="FFFFFF" w:sz="0"/>
              <w:bottom w:val="none" w:color="FFFFFF" w:sz="0"/>
              <w:right w:val="none" w:color="FFFFFF" w:sz="0"/>
            </w:tcBorders>
            <w:shd w:fill="0D1B4B" w:val="clear"/>
            <w:tcMar>
              <w:top w:type="dxa" w:w="90"/>
              <w:left w:type="dxa" w:w="130"/>
              <w:bottom w:type="dxa" w:w="90"/>
              <w:right w:type="dxa" w:w="130"/>
            </w:tcMar>
            <w:vAlign w:val="center"/>
          </w:tcPr>
          <w:p>
            <w:pPr>
              <w:keepNext w:val="false"/>
              <w:spacing w:after="0" w:before="0" w:line="276"/>
              <w:jc w:val="left"/>
            </w:pPr>
            <w:r>
              <w:rPr>
                <w:rFonts w:ascii="Arial" w:cs="Arial" w:eastAsia="Arial" w:hAnsi="Arial"/>
                <w:b/>
                <w:bCs/>
                <w:caps w:val="false"/>
                <w:color w:val="FFFFFF"/>
                <w:sz w:val="17"/>
                <w:szCs w:val="17"/>
              </w:rPr>
              <w:t xml:space="preserve">Business value</w:t>
            </w:r>
          </w:p>
        </w:tc>
      </w:tr>
      <w:tr>
        <w:tc>
          <w:tcPr>
            <w:tcW w:type="dxa" w:w="2040"/>
            <w:tcBorders>
              <w:top w:val="single" w:color="D9D9D9" w:sz="4"/>
              <w:left w:val="none" w:color="FFFFFF" w:sz="0"/>
              <w:bottom w:val="single" w:color="D9D9D9" w:sz="4"/>
              <w:right w:val="none" w:color="FFFFFF" w:sz="0"/>
            </w:tcBorders>
            <w:shd w:fill="FFFFFF"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Referral / invite engine</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A mechanism for users to invite others, with incentives.</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Lets a user invite family and contacts via WhatsApp, tracking referrals and rewards.</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The cheapest growth lever — remittance is community behavior, and one sender brings a network.</w:t>
            </w:r>
          </w:p>
        </w:tc>
      </w:tr>
    </w:tbl>
    <w:p>
      <w:r>
        <w:br w:type="page"/>
      </w:r>
    </w:p>
    <w:p>
      <w:pPr>
        <w:keepNext/>
        <w:spacing w:after="0" w:before="360"/>
      </w:pPr>
      <w:r>
        <w:rPr>
          <w:rFonts w:ascii="Arial" w:cs="Arial" w:eastAsia="Arial" w:hAnsi="Arial"/>
          <w:b/>
          <w:bCs/>
          <w:caps/>
          <w:color w:val="B8860B"/>
          <w:spacing w:val="40"/>
          <w:sz w:val="18"/>
          <w:szCs w:val="18"/>
        </w:rPr>
        <w:t xml:space="preserve">03  </w:t>
      </w:r>
    </w:p>
    <w:p>
      <w:pPr>
        <w:pStyle w:val="Heading1"/>
        <w:keepNext/>
        <w:pBdr>
          <w:bottom w:val="single" w:color="B8860B" w:sz="10" w:space="6"/>
        </w:pBdr>
        <w:spacing w:after="100" w:before="0"/>
      </w:pPr>
      <w:r>
        <w:rPr>
          <w:rFonts w:ascii="Arial" w:cs="Arial" w:eastAsia="Arial" w:hAnsi="Arial"/>
          <w:b/>
          <w:bCs/>
          <w:caps w:val="false"/>
          <w:color w:val="0D1B4B"/>
          <w:sz w:val="30"/>
          <w:szCs w:val="30"/>
        </w:rPr>
        <w:t xml:space="preserve">Phase 2 — Complete-the-App Delivery</w:t>
      </w:r>
    </w:p>
    <w:p>
      <w:pPr>
        <w:spacing w:after="14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900"/>
        <w:gridCol w:w="7460"/>
      </w:tblGrid>
      <w:tr>
        <w:tc>
          <w:tcPr>
            <w:tcW w:type="dxa" w:w="1900"/>
            <w:tcBorders>
              <w:top w:val="none" w:color="FFFFFF" w:sz="0"/>
              <w:left w:val="none" w:color="FFFFFF" w:sz="0"/>
              <w:bottom w:val="none" w:color="FFFFFF" w:sz="0"/>
              <w:right w:val="none" w:color="FFFFFF" w:sz="0"/>
            </w:tcBorders>
            <w:shd w:fill="0D1B4B" w:val="clear"/>
            <w:tcMar>
              <w:top w:type="dxa" w:w="240"/>
              <w:left w:type="dxa" w:w="200"/>
              <w:bottom w:type="dxa" w:w="240"/>
              <w:right w:type="dxa" w:w="200"/>
            </w:tcMar>
            <w:vAlign w:val="center"/>
          </w:tcPr>
          <w:p>
            <w:pPr>
              <w:keepNext w:val="false"/>
              <w:spacing w:after="0" w:before="0" w:line="276"/>
              <w:jc w:val="center"/>
            </w:pPr>
            <w:r>
              <w:rPr>
                <w:rFonts w:ascii="Arial" w:cs="Arial" w:eastAsia="Arial" w:hAnsi="Arial"/>
                <w:b/>
                <w:bCs/>
                <w:caps w:val="false"/>
                <w:color w:val="FFFFFF"/>
                <w:sz w:val="32"/>
                <w:szCs w:val="32"/>
              </w:rPr>
              <w:t xml:space="preserve">P2</w:t>
            </w:r>
          </w:p>
        </w:tc>
        <w:tc>
          <w:tcPr>
            <w:tcW w:type="dxa" w:w="7460"/>
            <w:tcBorders>
              <w:top w:val="none" w:color="FFFFFF" w:sz="0"/>
              <w:left w:val="none" w:color="FFFFFF" w:sz="0"/>
              <w:bottom w:val="none" w:color="FFFFFF" w:sz="0"/>
              <w:right w:val="none" w:color="FFFFFF" w:sz="0"/>
            </w:tcBorders>
            <w:shd w:fill="E8EBF4" w:val="clear"/>
            <w:tcMar>
              <w:top w:type="dxa" w:w="240"/>
              <w:left w:type="dxa" w:w="240"/>
              <w:bottom w:type="dxa" w:w="240"/>
              <w:right w:type="dxa" w:w="240"/>
            </w:tcMar>
            <w:vAlign w:val="center"/>
          </w:tcPr>
          <w:p>
            <w:pPr>
              <w:keepNext w:val="false"/>
              <w:spacing w:after="50" w:before="0" w:line="276"/>
              <w:jc w:val="left"/>
            </w:pPr>
            <w:r>
              <w:rPr>
                <w:rFonts w:ascii="Arial" w:cs="Arial" w:eastAsia="Arial" w:hAnsi="Arial"/>
                <w:b/>
                <w:bCs/>
                <w:caps w:val="false"/>
                <w:color w:val="0D1B4B"/>
                <w:sz w:val="24"/>
                <w:szCs w:val="24"/>
              </w:rPr>
              <w:t xml:space="preserve">Depth, scale, and the custodial transition</w:t>
            </w:r>
          </w:p>
          <w:p>
            <w:pPr>
              <w:keepNext w:val="false"/>
              <w:spacing w:after="0" w:before="0" w:line="264"/>
              <w:jc w:val="left"/>
            </w:pPr>
            <w:r>
              <w:rPr>
                <w:rFonts w:ascii="Arial" w:cs="Arial" w:eastAsia="Arial" w:hAnsi="Arial"/>
                <w:b w:val="false"/>
                <w:bCs w:val="false"/>
                <w:caps w:val="false"/>
                <w:color w:val="333333"/>
                <w:sz w:val="18"/>
                <w:szCs w:val="18"/>
              </w:rPr>
              <w:t xml:space="preserve">Builds on the GTM foundation with the move to holding balances, the full SMB suite, graduated AI autonomy, multi-currency support, advanced analytics, and the groundwork for corridor expansion. Items marked P2+ are lower priority or conditional.</w:t>
            </w:r>
          </w:p>
        </w:tc>
      </w:tr>
    </w:tbl>
    <w:p>
      <w:pPr>
        <w:spacing w:after="160"/>
      </w:pPr>
      <w:r>
        <w:t xml:space="preserve"/>
      </w:r>
    </w:p>
    <w:p>
      <w:pPr>
        <w:keepNext/>
        <w:pBdr>
          <w:bottom w:val="single" w:color="007A68" w:sz="4" w:space="4"/>
        </w:pBdr>
        <w:spacing w:after="100" w:before="240"/>
      </w:pPr>
      <w:r>
        <w:rPr>
          <w:rFonts w:ascii="Arial" w:cs="Arial" w:eastAsia="Arial" w:hAnsi="Arial"/>
          <w:b/>
          <w:bCs/>
          <w:caps w:val="false"/>
          <w:color w:val="007A68"/>
          <w:sz w:val="21"/>
          <w:szCs w:val="21"/>
        </w:rPr>
        <w:t xml:space="preserve">Module 1 — Identity, Onboarding &amp; KYC</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040"/>
        <w:gridCol w:w="2440"/>
        <w:gridCol w:w="2440"/>
        <w:gridCol w:w="2440"/>
      </w:tblGrid>
      <w:tr>
        <w:trPr>
          <w:tblHeader/>
        </w:trPr>
        <w:tc>
          <w:tcPr>
            <w:tcW w:type="dxa" w:w="2040"/>
            <w:tcBorders>
              <w:top w:val="none" w:color="FFFFFF" w:sz="0"/>
              <w:left w:val="none" w:color="FFFFFF" w:sz="0"/>
              <w:bottom w:val="none" w:color="FFFFFF" w:sz="0"/>
              <w:right w:val="none" w:color="FFFFFF" w:sz="0"/>
            </w:tcBorders>
            <w:shd w:fill="0D1B4B" w:val="clear"/>
            <w:tcMar>
              <w:top w:type="dxa" w:w="90"/>
              <w:left w:type="dxa" w:w="130"/>
              <w:bottom w:type="dxa" w:w="90"/>
              <w:right w:type="dxa" w:w="130"/>
            </w:tcMar>
            <w:vAlign w:val="center"/>
          </w:tcPr>
          <w:p>
            <w:pPr>
              <w:keepNext w:val="false"/>
              <w:spacing w:after="0" w:before="0" w:line="276"/>
              <w:jc w:val="left"/>
            </w:pPr>
            <w:r>
              <w:rPr>
                <w:rFonts w:ascii="Arial" w:cs="Arial" w:eastAsia="Arial" w:hAnsi="Arial"/>
                <w:b/>
                <w:bCs/>
                <w:caps w:val="false"/>
                <w:color w:val="FFFFFF"/>
                <w:sz w:val="17"/>
                <w:szCs w:val="17"/>
              </w:rPr>
              <w:t xml:space="preserve">Feature</w:t>
            </w:r>
          </w:p>
        </w:tc>
        <w:tc>
          <w:tcPr>
            <w:tcW w:type="dxa" w:w="2440"/>
            <w:tcBorders>
              <w:top w:val="none" w:color="FFFFFF" w:sz="0"/>
              <w:left w:val="none" w:color="FFFFFF" w:sz="0"/>
              <w:bottom w:val="none" w:color="FFFFFF" w:sz="0"/>
              <w:right w:val="none" w:color="FFFFFF" w:sz="0"/>
            </w:tcBorders>
            <w:shd w:fill="0D1B4B" w:val="clear"/>
            <w:tcMar>
              <w:top w:type="dxa" w:w="90"/>
              <w:left w:type="dxa" w:w="130"/>
              <w:bottom w:type="dxa" w:w="90"/>
              <w:right w:type="dxa" w:w="130"/>
            </w:tcMar>
            <w:vAlign w:val="center"/>
          </w:tcPr>
          <w:p>
            <w:pPr>
              <w:keepNext w:val="false"/>
              <w:spacing w:after="0" w:before="0" w:line="276"/>
              <w:jc w:val="left"/>
            </w:pPr>
            <w:r>
              <w:rPr>
                <w:rFonts w:ascii="Arial" w:cs="Arial" w:eastAsia="Arial" w:hAnsi="Arial"/>
                <w:b/>
                <w:bCs/>
                <w:caps w:val="false"/>
                <w:color w:val="FFFFFF"/>
                <w:sz w:val="17"/>
                <w:szCs w:val="17"/>
              </w:rPr>
              <w:t xml:space="preserve">What it is</w:t>
            </w:r>
          </w:p>
        </w:tc>
        <w:tc>
          <w:tcPr>
            <w:tcW w:type="dxa" w:w="2440"/>
            <w:tcBorders>
              <w:top w:val="none" w:color="FFFFFF" w:sz="0"/>
              <w:left w:val="none" w:color="FFFFFF" w:sz="0"/>
              <w:bottom w:val="none" w:color="FFFFFF" w:sz="0"/>
              <w:right w:val="none" w:color="FFFFFF" w:sz="0"/>
            </w:tcBorders>
            <w:shd w:fill="0D1B4B" w:val="clear"/>
            <w:tcMar>
              <w:top w:type="dxa" w:w="90"/>
              <w:left w:type="dxa" w:w="130"/>
              <w:bottom w:type="dxa" w:w="90"/>
              <w:right w:type="dxa" w:w="130"/>
            </w:tcMar>
            <w:vAlign w:val="center"/>
          </w:tcPr>
          <w:p>
            <w:pPr>
              <w:keepNext w:val="false"/>
              <w:spacing w:after="0" w:before="0" w:line="276"/>
              <w:jc w:val="left"/>
            </w:pPr>
            <w:r>
              <w:rPr>
                <w:rFonts w:ascii="Arial" w:cs="Arial" w:eastAsia="Arial" w:hAnsi="Arial"/>
                <w:b/>
                <w:bCs/>
                <w:caps w:val="false"/>
                <w:color w:val="FFFFFF"/>
                <w:sz w:val="17"/>
                <w:szCs w:val="17"/>
              </w:rPr>
              <w:t xml:space="preserve">What it does on the platform</w:t>
            </w:r>
          </w:p>
        </w:tc>
        <w:tc>
          <w:tcPr>
            <w:tcW w:type="dxa" w:w="2440"/>
            <w:tcBorders>
              <w:top w:val="none" w:color="FFFFFF" w:sz="0"/>
              <w:left w:val="none" w:color="FFFFFF" w:sz="0"/>
              <w:bottom w:val="none" w:color="FFFFFF" w:sz="0"/>
              <w:right w:val="none" w:color="FFFFFF" w:sz="0"/>
            </w:tcBorders>
            <w:shd w:fill="0D1B4B" w:val="clear"/>
            <w:tcMar>
              <w:top w:type="dxa" w:w="90"/>
              <w:left w:type="dxa" w:w="130"/>
              <w:bottom w:type="dxa" w:w="90"/>
              <w:right w:type="dxa" w:w="130"/>
            </w:tcMar>
            <w:vAlign w:val="center"/>
          </w:tcPr>
          <w:p>
            <w:pPr>
              <w:keepNext w:val="false"/>
              <w:spacing w:after="0" w:before="0" w:line="276"/>
              <w:jc w:val="left"/>
            </w:pPr>
            <w:r>
              <w:rPr>
                <w:rFonts w:ascii="Arial" w:cs="Arial" w:eastAsia="Arial" w:hAnsi="Arial"/>
                <w:b/>
                <w:bCs/>
                <w:caps w:val="false"/>
                <w:color w:val="FFFFFF"/>
                <w:sz w:val="17"/>
                <w:szCs w:val="17"/>
              </w:rPr>
              <w:t xml:space="preserve">Business value</w:t>
            </w:r>
          </w:p>
        </w:tc>
      </w:tr>
      <w:tr>
        <w:tc>
          <w:tcPr>
            <w:tcW w:type="dxa" w:w="2040"/>
            <w:tcBorders>
              <w:top w:val="single" w:color="D9D9D9" w:sz="4"/>
              <w:left w:val="none" w:color="FFFFFF" w:sz="0"/>
              <w:bottom w:val="single" w:color="D9D9D9" w:sz="4"/>
              <w:right w:val="none" w:color="FFFFFF" w:sz="0"/>
            </w:tcBorders>
            <w:shd w:fill="FFFFFF"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Periodic re-KYC / refresh</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Scheduled re-verification of existing users.</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Re-runs verification on a risk-based cadence as accounts age.</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Maintains compliance posture and data accuracy as the user base matures.</w:t>
            </w:r>
          </w:p>
        </w:tc>
      </w:tr>
      <w:tr>
        <w:tc>
          <w:tcPr>
            <w:tcW w:type="dxa" w:w="2040"/>
            <w:tcBorders>
              <w:top w:val="single" w:color="D9D9D9" w:sz="4"/>
              <w:left w:val="none" w:color="FFFFFF" w:sz="0"/>
              <w:bottom w:val="single" w:color="D9D9D9" w:sz="4"/>
              <w:right w:val="none" w:color="FFFFFF" w:sz="0"/>
            </w:tcBorders>
            <w:shd w:fill="F2F2F2"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Business KYB verification</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Full know-your-business verification for merchants.</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Verifies business registration, ownership and legitimacy for SMB accounts.</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Unlocks compliant onboarding of larger merchants for the full SMB suite.</w:t>
            </w:r>
          </w:p>
        </w:tc>
      </w:tr>
    </w:tbl>
    <w:p>
      <w:pPr>
        <w:keepNext/>
        <w:pBdr>
          <w:bottom w:val="single" w:color="007A68" w:sz="4" w:space="4"/>
        </w:pBdr>
        <w:spacing w:after="100" w:before="240"/>
      </w:pPr>
      <w:r>
        <w:rPr>
          <w:rFonts w:ascii="Arial" w:cs="Arial" w:eastAsia="Arial" w:hAnsi="Arial"/>
          <w:b/>
          <w:bCs/>
          <w:caps w:val="false"/>
          <w:color w:val="007A68"/>
          <w:sz w:val="21"/>
          <w:szCs w:val="21"/>
        </w:rPr>
        <w:t xml:space="preserve">Module 2 — Core Transfer Engine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040"/>
        <w:gridCol w:w="2440"/>
        <w:gridCol w:w="2440"/>
        <w:gridCol w:w="2440"/>
      </w:tblGrid>
      <w:tr>
        <w:trPr>
          <w:tblHeader/>
        </w:trPr>
        <w:tc>
          <w:tcPr>
            <w:tcW w:type="dxa" w:w="2040"/>
            <w:tcBorders>
              <w:top w:val="none" w:color="FFFFFF" w:sz="0"/>
              <w:left w:val="none" w:color="FFFFFF" w:sz="0"/>
              <w:bottom w:val="none" w:color="FFFFFF" w:sz="0"/>
              <w:right w:val="none" w:color="FFFFFF" w:sz="0"/>
            </w:tcBorders>
            <w:shd w:fill="0D1B4B" w:val="clear"/>
            <w:tcMar>
              <w:top w:type="dxa" w:w="90"/>
              <w:left w:type="dxa" w:w="130"/>
              <w:bottom w:type="dxa" w:w="90"/>
              <w:right w:type="dxa" w:w="130"/>
            </w:tcMar>
            <w:vAlign w:val="center"/>
          </w:tcPr>
          <w:p>
            <w:pPr>
              <w:keepNext w:val="false"/>
              <w:spacing w:after="0" w:before="0" w:line="276"/>
              <w:jc w:val="left"/>
            </w:pPr>
            <w:r>
              <w:rPr>
                <w:rFonts w:ascii="Arial" w:cs="Arial" w:eastAsia="Arial" w:hAnsi="Arial"/>
                <w:b/>
                <w:bCs/>
                <w:caps w:val="false"/>
                <w:color w:val="FFFFFF"/>
                <w:sz w:val="17"/>
                <w:szCs w:val="17"/>
              </w:rPr>
              <w:t xml:space="preserve">Feature</w:t>
            </w:r>
          </w:p>
        </w:tc>
        <w:tc>
          <w:tcPr>
            <w:tcW w:type="dxa" w:w="2440"/>
            <w:tcBorders>
              <w:top w:val="none" w:color="FFFFFF" w:sz="0"/>
              <w:left w:val="none" w:color="FFFFFF" w:sz="0"/>
              <w:bottom w:val="none" w:color="FFFFFF" w:sz="0"/>
              <w:right w:val="none" w:color="FFFFFF" w:sz="0"/>
            </w:tcBorders>
            <w:shd w:fill="0D1B4B" w:val="clear"/>
            <w:tcMar>
              <w:top w:type="dxa" w:w="90"/>
              <w:left w:type="dxa" w:w="130"/>
              <w:bottom w:type="dxa" w:w="90"/>
              <w:right w:type="dxa" w:w="130"/>
            </w:tcMar>
            <w:vAlign w:val="center"/>
          </w:tcPr>
          <w:p>
            <w:pPr>
              <w:keepNext w:val="false"/>
              <w:spacing w:after="0" w:before="0" w:line="276"/>
              <w:jc w:val="left"/>
            </w:pPr>
            <w:r>
              <w:rPr>
                <w:rFonts w:ascii="Arial" w:cs="Arial" w:eastAsia="Arial" w:hAnsi="Arial"/>
                <w:b/>
                <w:bCs/>
                <w:caps w:val="false"/>
                <w:color w:val="FFFFFF"/>
                <w:sz w:val="17"/>
                <w:szCs w:val="17"/>
              </w:rPr>
              <w:t xml:space="preserve">What it is</w:t>
            </w:r>
          </w:p>
        </w:tc>
        <w:tc>
          <w:tcPr>
            <w:tcW w:type="dxa" w:w="2440"/>
            <w:tcBorders>
              <w:top w:val="none" w:color="FFFFFF" w:sz="0"/>
              <w:left w:val="none" w:color="FFFFFF" w:sz="0"/>
              <w:bottom w:val="none" w:color="FFFFFF" w:sz="0"/>
              <w:right w:val="none" w:color="FFFFFF" w:sz="0"/>
            </w:tcBorders>
            <w:shd w:fill="0D1B4B" w:val="clear"/>
            <w:tcMar>
              <w:top w:type="dxa" w:w="90"/>
              <w:left w:type="dxa" w:w="130"/>
              <w:bottom w:type="dxa" w:w="90"/>
              <w:right w:type="dxa" w:w="130"/>
            </w:tcMar>
            <w:vAlign w:val="center"/>
          </w:tcPr>
          <w:p>
            <w:pPr>
              <w:keepNext w:val="false"/>
              <w:spacing w:after="0" w:before="0" w:line="276"/>
              <w:jc w:val="left"/>
            </w:pPr>
            <w:r>
              <w:rPr>
                <w:rFonts w:ascii="Arial" w:cs="Arial" w:eastAsia="Arial" w:hAnsi="Arial"/>
                <w:b/>
                <w:bCs/>
                <w:caps w:val="false"/>
                <w:color w:val="FFFFFF"/>
                <w:sz w:val="17"/>
                <w:szCs w:val="17"/>
              </w:rPr>
              <w:t xml:space="preserve">What it does on the platform</w:t>
            </w:r>
          </w:p>
        </w:tc>
        <w:tc>
          <w:tcPr>
            <w:tcW w:type="dxa" w:w="2440"/>
            <w:tcBorders>
              <w:top w:val="none" w:color="FFFFFF" w:sz="0"/>
              <w:left w:val="none" w:color="FFFFFF" w:sz="0"/>
              <w:bottom w:val="none" w:color="FFFFFF" w:sz="0"/>
              <w:right w:val="none" w:color="FFFFFF" w:sz="0"/>
            </w:tcBorders>
            <w:shd w:fill="0D1B4B" w:val="clear"/>
            <w:tcMar>
              <w:top w:type="dxa" w:w="90"/>
              <w:left w:type="dxa" w:w="130"/>
              <w:bottom w:type="dxa" w:w="90"/>
              <w:right w:type="dxa" w:w="130"/>
            </w:tcMar>
            <w:vAlign w:val="center"/>
          </w:tcPr>
          <w:p>
            <w:pPr>
              <w:keepNext w:val="false"/>
              <w:spacing w:after="0" w:before="0" w:line="276"/>
              <w:jc w:val="left"/>
            </w:pPr>
            <w:r>
              <w:rPr>
                <w:rFonts w:ascii="Arial" w:cs="Arial" w:eastAsia="Arial" w:hAnsi="Arial"/>
                <w:b/>
                <w:bCs/>
                <w:caps w:val="false"/>
                <w:color w:val="FFFFFF"/>
                <w:sz w:val="17"/>
                <w:szCs w:val="17"/>
              </w:rPr>
              <w:t xml:space="preserve">Business value</w:t>
            </w:r>
          </w:p>
        </w:tc>
      </w:tr>
      <w:tr>
        <w:tc>
          <w:tcPr>
            <w:tcW w:type="dxa" w:w="2040"/>
            <w:tcBorders>
              <w:top w:val="single" w:color="D9D9D9" w:sz="4"/>
              <w:left w:val="none" w:color="FFFFFF" w:sz="0"/>
              <w:bottom w:val="single" w:color="D9D9D9" w:sz="4"/>
              <w:right w:val="none" w:color="FFFFFF" w:sz="0"/>
            </w:tcBorders>
            <w:shd w:fill="FFFFFF"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Scheduled / recurring transfers</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Automated transfers on a defined schedule.</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Lets users set up repeating sends that execute automatically.</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Captures predictable remittance behavior and increases retention.</w:t>
            </w:r>
          </w:p>
        </w:tc>
      </w:tr>
      <w:tr>
        <w:tc>
          <w:tcPr>
            <w:tcW w:type="dxa" w:w="2040"/>
            <w:tcBorders>
              <w:top w:val="single" w:color="D9D9D9" w:sz="4"/>
              <w:left w:val="none" w:color="FFFFFF" w:sz="0"/>
              <w:bottom w:val="single" w:color="D9D9D9" w:sz="4"/>
              <w:right w:val="none" w:color="FFFFFF" w:sz="0"/>
            </w:tcBorders>
            <w:shd w:fill="F2F2F2"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Instant-transfer premium</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A paid express-settlement option.</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Offers minutes-not-hours delivery for a 1.5% premium, best served by custodial pools.</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A high-margin revenue stream monetizing urgency.</w:t>
            </w:r>
          </w:p>
        </w:tc>
      </w:tr>
      <w:tr>
        <w:tc>
          <w:tcPr>
            <w:tcW w:type="dxa" w:w="2040"/>
            <w:tcBorders>
              <w:top w:val="single" w:color="D9D9D9" w:sz="4"/>
              <w:left w:val="none" w:color="FFFFFF" w:sz="0"/>
              <w:bottom w:val="single" w:color="D9D9D9" w:sz="4"/>
              <w:right w:val="none" w:color="FFFFFF" w:sz="0"/>
            </w:tcBorders>
            <w:shd w:fill="FFFFFF"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Cash-pickup payout option</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Payout via physical cash-pickup agents.</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Enables recipients to collect cash at partner agent locations.</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Reaches unbanked recipients, widening the serviceable market.</w:t>
            </w:r>
          </w:p>
        </w:tc>
      </w:tr>
      <w:tr>
        <w:tc>
          <w:tcPr>
            <w:tcW w:type="dxa" w:w="2040"/>
            <w:tcBorders>
              <w:top w:val="single" w:color="D9D9D9" w:sz="4"/>
              <w:left w:val="none" w:color="FFFFFF" w:sz="0"/>
              <w:bottom w:val="single" w:color="D9D9D9" w:sz="4"/>
              <w:right w:val="none" w:color="FFFFFF" w:sz="0"/>
            </w:tcBorders>
            <w:shd w:fill="F2F2F2"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Bulk / split transfers</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P2+ — sending to multiple recipients at once.</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Allows a single instruction to fund several recipients.</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Serves edge cases such as group support; lower GTM priority.</w:t>
            </w:r>
          </w:p>
        </w:tc>
      </w:tr>
    </w:tbl>
    <w:p>
      <w:pPr>
        <w:keepNext/>
        <w:pBdr>
          <w:bottom w:val="single" w:color="007A68" w:sz="4" w:space="4"/>
        </w:pBdr>
        <w:spacing w:after="100" w:before="240"/>
      </w:pPr>
      <w:r>
        <w:rPr>
          <w:rFonts w:ascii="Arial" w:cs="Arial" w:eastAsia="Arial" w:hAnsi="Arial"/>
          <w:b/>
          <w:bCs/>
          <w:caps w:val="false"/>
          <w:color w:val="007A68"/>
          <w:sz w:val="21"/>
          <w:szCs w:val="21"/>
        </w:rPr>
        <w:t xml:space="preserve">Module 3 — SMB / Merchant Collections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040"/>
        <w:gridCol w:w="2440"/>
        <w:gridCol w:w="2440"/>
        <w:gridCol w:w="2440"/>
      </w:tblGrid>
      <w:tr>
        <w:trPr>
          <w:tblHeader/>
        </w:trPr>
        <w:tc>
          <w:tcPr>
            <w:tcW w:type="dxa" w:w="2040"/>
            <w:tcBorders>
              <w:top w:val="none" w:color="FFFFFF" w:sz="0"/>
              <w:left w:val="none" w:color="FFFFFF" w:sz="0"/>
              <w:bottom w:val="none" w:color="FFFFFF" w:sz="0"/>
              <w:right w:val="none" w:color="FFFFFF" w:sz="0"/>
            </w:tcBorders>
            <w:shd w:fill="0D1B4B" w:val="clear"/>
            <w:tcMar>
              <w:top w:type="dxa" w:w="90"/>
              <w:left w:type="dxa" w:w="130"/>
              <w:bottom w:type="dxa" w:w="90"/>
              <w:right w:type="dxa" w:w="130"/>
            </w:tcMar>
            <w:vAlign w:val="center"/>
          </w:tcPr>
          <w:p>
            <w:pPr>
              <w:keepNext w:val="false"/>
              <w:spacing w:after="0" w:before="0" w:line="276"/>
              <w:jc w:val="left"/>
            </w:pPr>
            <w:r>
              <w:rPr>
                <w:rFonts w:ascii="Arial" w:cs="Arial" w:eastAsia="Arial" w:hAnsi="Arial"/>
                <w:b/>
                <w:bCs/>
                <w:caps w:val="false"/>
                <w:color w:val="FFFFFF"/>
                <w:sz w:val="17"/>
                <w:szCs w:val="17"/>
              </w:rPr>
              <w:t xml:space="preserve">Feature</w:t>
            </w:r>
          </w:p>
        </w:tc>
        <w:tc>
          <w:tcPr>
            <w:tcW w:type="dxa" w:w="2440"/>
            <w:tcBorders>
              <w:top w:val="none" w:color="FFFFFF" w:sz="0"/>
              <w:left w:val="none" w:color="FFFFFF" w:sz="0"/>
              <w:bottom w:val="none" w:color="FFFFFF" w:sz="0"/>
              <w:right w:val="none" w:color="FFFFFF" w:sz="0"/>
            </w:tcBorders>
            <w:shd w:fill="0D1B4B" w:val="clear"/>
            <w:tcMar>
              <w:top w:type="dxa" w:w="90"/>
              <w:left w:type="dxa" w:w="130"/>
              <w:bottom w:type="dxa" w:w="90"/>
              <w:right w:type="dxa" w:w="130"/>
            </w:tcMar>
            <w:vAlign w:val="center"/>
          </w:tcPr>
          <w:p>
            <w:pPr>
              <w:keepNext w:val="false"/>
              <w:spacing w:after="0" w:before="0" w:line="276"/>
              <w:jc w:val="left"/>
            </w:pPr>
            <w:r>
              <w:rPr>
                <w:rFonts w:ascii="Arial" w:cs="Arial" w:eastAsia="Arial" w:hAnsi="Arial"/>
                <w:b/>
                <w:bCs/>
                <w:caps w:val="false"/>
                <w:color w:val="FFFFFF"/>
                <w:sz w:val="17"/>
                <w:szCs w:val="17"/>
              </w:rPr>
              <w:t xml:space="preserve">What it is</w:t>
            </w:r>
          </w:p>
        </w:tc>
        <w:tc>
          <w:tcPr>
            <w:tcW w:type="dxa" w:w="2440"/>
            <w:tcBorders>
              <w:top w:val="none" w:color="FFFFFF" w:sz="0"/>
              <w:left w:val="none" w:color="FFFFFF" w:sz="0"/>
              <w:bottom w:val="none" w:color="FFFFFF" w:sz="0"/>
              <w:right w:val="none" w:color="FFFFFF" w:sz="0"/>
            </w:tcBorders>
            <w:shd w:fill="0D1B4B" w:val="clear"/>
            <w:tcMar>
              <w:top w:type="dxa" w:w="90"/>
              <w:left w:type="dxa" w:w="130"/>
              <w:bottom w:type="dxa" w:w="90"/>
              <w:right w:type="dxa" w:w="130"/>
            </w:tcMar>
            <w:vAlign w:val="center"/>
          </w:tcPr>
          <w:p>
            <w:pPr>
              <w:keepNext w:val="false"/>
              <w:spacing w:after="0" w:before="0" w:line="276"/>
              <w:jc w:val="left"/>
            </w:pPr>
            <w:r>
              <w:rPr>
                <w:rFonts w:ascii="Arial" w:cs="Arial" w:eastAsia="Arial" w:hAnsi="Arial"/>
                <w:b/>
                <w:bCs/>
                <w:caps w:val="false"/>
                <w:color w:val="FFFFFF"/>
                <w:sz w:val="17"/>
                <w:szCs w:val="17"/>
              </w:rPr>
              <w:t xml:space="preserve">What it does on the platform</w:t>
            </w:r>
          </w:p>
        </w:tc>
        <w:tc>
          <w:tcPr>
            <w:tcW w:type="dxa" w:w="2440"/>
            <w:tcBorders>
              <w:top w:val="none" w:color="FFFFFF" w:sz="0"/>
              <w:left w:val="none" w:color="FFFFFF" w:sz="0"/>
              <w:bottom w:val="none" w:color="FFFFFF" w:sz="0"/>
              <w:right w:val="none" w:color="FFFFFF" w:sz="0"/>
            </w:tcBorders>
            <w:shd w:fill="0D1B4B" w:val="clear"/>
            <w:tcMar>
              <w:top w:type="dxa" w:w="90"/>
              <w:left w:type="dxa" w:w="130"/>
              <w:bottom w:type="dxa" w:w="90"/>
              <w:right w:type="dxa" w:w="130"/>
            </w:tcMar>
            <w:vAlign w:val="center"/>
          </w:tcPr>
          <w:p>
            <w:pPr>
              <w:keepNext w:val="false"/>
              <w:spacing w:after="0" w:before="0" w:line="276"/>
              <w:jc w:val="left"/>
            </w:pPr>
            <w:r>
              <w:rPr>
                <w:rFonts w:ascii="Arial" w:cs="Arial" w:eastAsia="Arial" w:hAnsi="Arial"/>
                <w:b/>
                <w:bCs/>
                <w:caps w:val="false"/>
                <w:color w:val="FFFFFF"/>
                <w:sz w:val="17"/>
                <w:szCs w:val="17"/>
              </w:rPr>
              <w:t xml:space="preserve">Business value</w:t>
            </w:r>
          </w:p>
        </w:tc>
      </w:tr>
      <w:tr>
        <w:tc>
          <w:tcPr>
            <w:tcW w:type="dxa" w:w="2040"/>
            <w:tcBorders>
              <w:top w:val="single" w:color="D9D9D9" w:sz="4"/>
              <w:left w:val="none" w:color="FFFFFF" w:sz="0"/>
              <w:bottom w:val="single" w:color="D9D9D9" w:sz="4"/>
              <w:right w:val="none" w:color="FFFFFF" w:sz="0"/>
            </w:tcBorders>
            <w:shd w:fill="FFFFFF"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Reconciliation &amp; settlement reports</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Accounting-grade financial reporting for merchants.</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Generates detailed settlement and reconciliation statements.</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Meets the bookkeeping needs of larger, more sophisticated merchants.</w:t>
            </w:r>
          </w:p>
        </w:tc>
      </w:tr>
      <w:tr>
        <w:tc>
          <w:tcPr>
            <w:tcW w:type="dxa" w:w="2040"/>
            <w:tcBorders>
              <w:top w:val="single" w:color="D9D9D9" w:sz="4"/>
              <w:left w:val="none" w:color="FFFFFF" w:sz="0"/>
              <w:bottom w:val="single" w:color="D9D9D9" w:sz="4"/>
              <w:right w:val="none" w:color="FFFFFF" w:sz="0"/>
            </w:tcBorders>
            <w:shd w:fill="F2F2F2"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In-chat catalog / product checkout</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Conversational commerce inside WhatsApp.</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Lets customers browse a catalog and check out within the chat.</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Turns the platform into a full sales channel, deepening merchant dependence.</w:t>
            </w:r>
          </w:p>
        </w:tc>
      </w:tr>
      <w:tr>
        <w:tc>
          <w:tcPr>
            <w:tcW w:type="dxa" w:w="2040"/>
            <w:tcBorders>
              <w:top w:val="single" w:color="D9D9D9" w:sz="4"/>
              <w:left w:val="none" w:color="FFFFFF" w:sz="0"/>
              <w:bottom w:val="single" w:color="D9D9D9" w:sz="4"/>
              <w:right w:val="none" w:color="FFFFFF" w:sz="0"/>
            </w:tcBorders>
            <w:shd w:fill="FFFFFF"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Subscription / recurring billing</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Merchant-side recurring charges.</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Enables merchants to bill customers on a repeating schedule.</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Adds predictable revenue for merchants and stickiness for the platform.</w:t>
            </w:r>
          </w:p>
        </w:tc>
      </w:tr>
      <w:tr>
        <w:tc>
          <w:tcPr>
            <w:tcW w:type="dxa" w:w="2040"/>
            <w:tcBorders>
              <w:top w:val="single" w:color="D9D9D9" w:sz="4"/>
              <w:left w:val="none" w:color="FFFFFF" w:sz="0"/>
              <w:bottom w:val="single" w:color="D9D9D9" w:sz="4"/>
              <w:right w:val="none" w:color="FFFFFF" w:sz="0"/>
            </w:tcBorders>
            <w:shd w:fill="F2F2F2"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Multi-user merchant accounts</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Team access with roles for a merchant.</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Allows multiple staff to operate one merchant account with permissions.</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Supports larger businesses with multiple operators.</w:t>
            </w:r>
          </w:p>
        </w:tc>
      </w:tr>
    </w:tbl>
    <w:p>
      <w:pPr>
        <w:keepNext/>
        <w:pBdr>
          <w:bottom w:val="single" w:color="007A68" w:sz="4" w:space="4"/>
        </w:pBdr>
        <w:spacing w:after="100" w:before="240"/>
      </w:pPr>
      <w:r>
        <w:rPr>
          <w:rFonts w:ascii="Arial" w:cs="Arial" w:eastAsia="Arial" w:hAnsi="Arial"/>
          <w:b/>
          <w:bCs/>
          <w:caps w:val="false"/>
          <w:color w:val="007A68"/>
          <w:sz w:val="21"/>
          <w:szCs w:val="21"/>
        </w:rPr>
        <w:t xml:space="preserve">Module 4 — AI Engine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040"/>
        <w:gridCol w:w="2440"/>
        <w:gridCol w:w="2440"/>
        <w:gridCol w:w="2440"/>
      </w:tblGrid>
      <w:tr>
        <w:trPr>
          <w:tblHeader/>
        </w:trPr>
        <w:tc>
          <w:tcPr>
            <w:tcW w:type="dxa" w:w="2040"/>
            <w:tcBorders>
              <w:top w:val="none" w:color="FFFFFF" w:sz="0"/>
              <w:left w:val="none" w:color="FFFFFF" w:sz="0"/>
              <w:bottom w:val="none" w:color="FFFFFF" w:sz="0"/>
              <w:right w:val="none" w:color="FFFFFF" w:sz="0"/>
            </w:tcBorders>
            <w:shd w:fill="0D1B4B" w:val="clear"/>
            <w:tcMar>
              <w:top w:type="dxa" w:w="90"/>
              <w:left w:type="dxa" w:w="130"/>
              <w:bottom w:type="dxa" w:w="90"/>
              <w:right w:type="dxa" w:w="130"/>
            </w:tcMar>
            <w:vAlign w:val="center"/>
          </w:tcPr>
          <w:p>
            <w:pPr>
              <w:keepNext w:val="false"/>
              <w:spacing w:after="0" w:before="0" w:line="276"/>
              <w:jc w:val="left"/>
            </w:pPr>
            <w:r>
              <w:rPr>
                <w:rFonts w:ascii="Arial" w:cs="Arial" w:eastAsia="Arial" w:hAnsi="Arial"/>
                <w:b/>
                <w:bCs/>
                <w:caps w:val="false"/>
                <w:color w:val="FFFFFF"/>
                <w:sz w:val="17"/>
                <w:szCs w:val="17"/>
              </w:rPr>
              <w:t xml:space="preserve">Feature</w:t>
            </w:r>
          </w:p>
        </w:tc>
        <w:tc>
          <w:tcPr>
            <w:tcW w:type="dxa" w:w="2440"/>
            <w:tcBorders>
              <w:top w:val="none" w:color="FFFFFF" w:sz="0"/>
              <w:left w:val="none" w:color="FFFFFF" w:sz="0"/>
              <w:bottom w:val="none" w:color="FFFFFF" w:sz="0"/>
              <w:right w:val="none" w:color="FFFFFF" w:sz="0"/>
            </w:tcBorders>
            <w:shd w:fill="0D1B4B" w:val="clear"/>
            <w:tcMar>
              <w:top w:type="dxa" w:w="90"/>
              <w:left w:type="dxa" w:w="130"/>
              <w:bottom w:type="dxa" w:w="90"/>
              <w:right w:type="dxa" w:w="130"/>
            </w:tcMar>
            <w:vAlign w:val="center"/>
          </w:tcPr>
          <w:p>
            <w:pPr>
              <w:keepNext w:val="false"/>
              <w:spacing w:after="0" w:before="0" w:line="276"/>
              <w:jc w:val="left"/>
            </w:pPr>
            <w:r>
              <w:rPr>
                <w:rFonts w:ascii="Arial" w:cs="Arial" w:eastAsia="Arial" w:hAnsi="Arial"/>
                <w:b/>
                <w:bCs/>
                <w:caps w:val="false"/>
                <w:color w:val="FFFFFF"/>
                <w:sz w:val="17"/>
                <w:szCs w:val="17"/>
              </w:rPr>
              <w:t xml:space="preserve">What it is</w:t>
            </w:r>
          </w:p>
        </w:tc>
        <w:tc>
          <w:tcPr>
            <w:tcW w:type="dxa" w:w="2440"/>
            <w:tcBorders>
              <w:top w:val="none" w:color="FFFFFF" w:sz="0"/>
              <w:left w:val="none" w:color="FFFFFF" w:sz="0"/>
              <w:bottom w:val="none" w:color="FFFFFF" w:sz="0"/>
              <w:right w:val="none" w:color="FFFFFF" w:sz="0"/>
            </w:tcBorders>
            <w:shd w:fill="0D1B4B" w:val="clear"/>
            <w:tcMar>
              <w:top w:type="dxa" w:w="90"/>
              <w:left w:type="dxa" w:w="130"/>
              <w:bottom w:type="dxa" w:w="90"/>
              <w:right w:type="dxa" w:w="130"/>
            </w:tcMar>
            <w:vAlign w:val="center"/>
          </w:tcPr>
          <w:p>
            <w:pPr>
              <w:keepNext w:val="false"/>
              <w:spacing w:after="0" w:before="0" w:line="276"/>
              <w:jc w:val="left"/>
            </w:pPr>
            <w:r>
              <w:rPr>
                <w:rFonts w:ascii="Arial" w:cs="Arial" w:eastAsia="Arial" w:hAnsi="Arial"/>
                <w:b/>
                <w:bCs/>
                <w:caps w:val="false"/>
                <w:color w:val="FFFFFF"/>
                <w:sz w:val="17"/>
                <w:szCs w:val="17"/>
              </w:rPr>
              <w:t xml:space="preserve">What it does on the platform</w:t>
            </w:r>
          </w:p>
        </w:tc>
        <w:tc>
          <w:tcPr>
            <w:tcW w:type="dxa" w:w="2440"/>
            <w:tcBorders>
              <w:top w:val="none" w:color="FFFFFF" w:sz="0"/>
              <w:left w:val="none" w:color="FFFFFF" w:sz="0"/>
              <w:bottom w:val="none" w:color="FFFFFF" w:sz="0"/>
              <w:right w:val="none" w:color="FFFFFF" w:sz="0"/>
            </w:tcBorders>
            <w:shd w:fill="0D1B4B" w:val="clear"/>
            <w:tcMar>
              <w:top w:type="dxa" w:w="90"/>
              <w:left w:type="dxa" w:w="130"/>
              <w:bottom w:type="dxa" w:w="90"/>
              <w:right w:type="dxa" w:w="130"/>
            </w:tcMar>
            <w:vAlign w:val="center"/>
          </w:tcPr>
          <w:p>
            <w:pPr>
              <w:keepNext w:val="false"/>
              <w:spacing w:after="0" w:before="0" w:line="276"/>
              <w:jc w:val="left"/>
            </w:pPr>
            <w:r>
              <w:rPr>
                <w:rFonts w:ascii="Arial" w:cs="Arial" w:eastAsia="Arial" w:hAnsi="Arial"/>
                <w:b/>
                <w:bCs/>
                <w:caps w:val="false"/>
                <w:color w:val="FFFFFF"/>
                <w:sz w:val="17"/>
                <w:szCs w:val="17"/>
              </w:rPr>
              <w:t xml:space="preserve">Business value</w:t>
            </w:r>
          </w:p>
        </w:tc>
      </w:tr>
      <w:tr>
        <w:tc>
          <w:tcPr>
            <w:tcW w:type="dxa" w:w="2040"/>
            <w:tcBorders>
              <w:top w:val="single" w:color="D9D9D9" w:sz="4"/>
              <w:left w:val="none" w:color="FFFFFF" w:sz="0"/>
              <w:bottom w:val="single" w:color="D9D9D9" w:sz="4"/>
              <w:right w:val="none" w:color="FFFFFF" w:sz="0"/>
            </w:tcBorders>
            <w:shd w:fill="FFFFFF"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Self-updating knowledge base</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An AI knowledge base that maintains itself.</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Learns from resolved cases to keep support content current automatically.</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Reduces manual content operations and improves answer quality over time.</w:t>
            </w:r>
          </w:p>
        </w:tc>
      </w:tr>
      <w:tr>
        <w:tc>
          <w:tcPr>
            <w:tcW w:type="dxa" w:w="2040"/>
            <w:tcBorders>
              <w:top w:val="single" w:color="D9D9D9" w:sz="4"/>
              <w:left w:val="none" w:color="FFFFFF" w:sz="0"/>
              <w:bottom w:val="single" w:color="D9D9D9" w:sz="4"/>
              <w:right w:val="none" w:color="FFFFFF" w:sz="0"/>
            </w:tcBorders>
            <w:shd w:fill="F2F2F2"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Graduated autonomous dispute resolution</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Progressive removal of human approval gates.</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Allows the AI to resolve proven dispute types autonomously as reliability is demonstrated.</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Scales dispute handling without proportional headcount once trust is earned.</w:t>
            </w:r>
          </w:p>
        </w:tc>
      </w:tr>
      <w:tr>
        <w:tc>
          <w:tcPr>
            <w:tcW w:type="dxa" w:w="2040"/>
            <w:tcBorders>
              <w:top w:val="single" w:color="D9D9D9" w:sz="4"/>
              <w:left w:val="none" w:color="FFFFFF" w:sz="0"/>
              <w:bottom w:val="single" w:color="D9D9D9" w:sz="4"/>
              <w:right w:val="none" w:color="FFFFFF" w:sz="0"/>
            </w:tcBorders>
            <w:shd w:fill="FFFFFF"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AI proactive notifications</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AI-initiated contextual nudges.</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Sends timely, relevant prompts such as favorable-rate alerts.</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Drives re-engagement and positions the platform as an active money tool.</w:t>
            </w:r>
          </w:p>
        </w:tc>
      </w:tr>
      <w:tr>
        <w:tc>
          <w:tcPr>
            <w:tcW w:type="dxa" w:w="2040"/>
            <w:tcBorders>
              <w:top w:val="single" w:color="D9D9D9" w:sz="4"/>
              <w:left w:val="none" w:color="FFFFFF" w:sz="0"/>
              <w:bottom w:val="single" w:color="D9D9D9" w:sz="4"/>
              <w:right w:val="none" w:color="FFFFFF" w:sz="0"/>
            </w:tcBorders>
            <w:shd w:fill="F2F2F2"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Voice-based AI support</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P2+ — spoken-language AI support.</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Handles support interactions by voice for low-literacy users.</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Improves accessibility for an underserved segment; high future value.</w:t>
            </w:r>
          </w:p>
        </w:tc>
      </w:tr>
    </w:tbl>
    <w:p>
      <w:pPr>
        <w:keepNext/>
        <w:pBdr>
          <w:bottom w:val="single" w:color="007A68" w:sz="4" w:space="4"/>
        </w:pBdr>
        <w:spacing w:after="100" w:before="240"/>
      </w:pPr>
      <w:r>
        <w:rPr>
          <w:rFonts w:ascii="Arial" w:cs="Arial" w:eastAsia="Arial" w:hAnsi="Arial"/>
          <w:b/>
          <w:bCs/>
          <w:caps w:val="false"/>
          <w:color w:val="007A68"/>
          <w:sz w:val="21"/>
          <w:szCs w:val="21"/>
        </w:rPr>
        <w:t xml:space="preserve">Module 5 — Payments, Wallet &amp; Treasury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040"/>
        <w:gridCol w:w="2440"/>
        <w:gridCol w:w="2440"/>
        <w:gridCol w:w="2440"/>
      </w:tblGrid>
      <w:tr>
        <w:trPr>
          <w:tblHeader/>
        </w:trPr>
        <w:tc>
          <w:tcPr>
            <w:tcW w:type="dxa" w:w="2040"/>
            <w:tcBorders>
              <w:top w:val="none" w:color="FFFFFF" w:sz="0"/>
              <w:left w:val="none" w:color="FFFFFF" w:sz="0"/>
              <w:bottom w:val="none" w:color="FFFFFF" w:sz="0"/>
              <w:right w:val="none" w:color="FFFFFF" w:sz="0"/>
            </w:tcBorders>
            <w:shd w:fill="0D1B4B" w:val="clear"/>
            <w:tcMar>
              <w:top w:type="dxa" w:w="90"/>
              <w:left w:type="dxa" w:w="130"/>
              <w:bottom w:type="dxa" w:w="90"/>
              <w:right w:type="dxa" w:w="130"/>
            </w:tcMar>
            <w:vAlign w:val="center"/>
          </w:tcPr>
          <w:p>
            <w:pPr>
              <w:keepNext w:val="false"/>
              <w:spacing w:after="0" w:before="0" w:line="276"/>
              <w:jc w:val="left"/>
            </w:pPr>
            <w:r>
              <w:rPr>
                <w:rFonts w:ascii="Arial" w:cs="Arial" w:eastAsia="Arial" w:hAnsi="Arial"/>
                <w:b/>
                <w:bCs/>
                <w:caps w:val="false"/>
                <w:color w:val="FFFFFF"/>
                <w:sz w:val="17"/>
                <w:szCs w:val="17"/>
              </w:rPr>
              <w:t xml:space="preserve">Feature</w:t>
            </w:r>
          </w:p>
        </w:tc>
        <w:tc>
          <w:tcPr>
            <w:tcW w:type="dxa" w:w="2440"/>
            <w:tcBorders>
              <w:top w:val="none" w:color="FFFFFF" w:sz="0"/>
              <w:left w:val="none" w:color="FFFFFF" w:sz="0"/>
              <w:bottom w:val="none" w:color="FFFFFF" w:sz="0"/>
              <w:right w:val="none" w:color="FFFFFF" w:sz="0"/>
            </w:tcBorders>
            <w:shd w:fill="0D1B4B" w:val="clear"/>
            <w:tcMar>
              <w:top w:type="dxa" w:w="90"/>
              <w:left w:type="dxa" w:w="130"/>
              <w:bottom w:type="dxa" w:w="90"/>
              <w:right w:type="dxa" w:w="130"/>
            </w:tcMar>
            <w:vAlign w:val="center"/>
          </w:tcPr>
          <w:p>
            <w:pPr>
              <w:keepNext w:val="false"/>
              <w:spacing w:after="0" w:before="0" w:line="276"/>
              <w:jc w:val="left"/>
            </w:pPr>
            <w:r>
              <w:rPr>
                <w:rFonts w:ascii="Arial" w:cs="Arial" w:eastAsia="Arial" w:hAnsi="Arial"/>
                <w:b/>
                <w:bCs/>
                <w:caps w:val="false"/>
                <w:color w:val="FFFFFF"/>
                <w:sz w:val="17"/>
                <w:szCs w:val="17"/>
              </w:rPr>
              <w:t xml:space="preserve">What it is</w:t>
            </w:r>
          </w:p>
        </w:tc>
        <w:tc>
          <w:tcPr>
            <w:tcW w:type="dxa" w:w="2440"/>
            <w:tcBorders>
              <w:top w:val="none" w:color="FFFFFF" w:sz="0"/>
              <w:left w:val="none" w:color="FFFFFF" w:sz="0"/>
              <w:bottom w:val="none" w:color="FFFFFF" w:sz="0"/>
              <w:right w:val="none" w:color="FFFFFF" w:sz="0"/>
            </w:tcBorders>
            <w:shd w:fill="0D1B4B" w:val="clear"/>
            <w:tcMar>
              <w:top w:type="dxa" w:w="90"/>
              <w:left w:type="dxa" w:w="130"/>
              <w:bottom w:type="dxa" w:w="90"/>
              <w:right w:type="dxa" w:w="130"/>
            </w:tcMar>
            <w:vAlign w:val="center"/>
          </w:tcPr>
          <w:p>
            <w:pPr>
              <w:keepNext w:val="false"/>
              <w:spacing w:after="0" w:before="0" w:line="276"/>
              <w:jc w:val="left"/>
            </w:pPr>
            <w:r>
              <w:rPr>
                <w:rFonts w:ascii="Arial" w:cs="Arial" w:eastAsia="Arial" w:hAnsi="Arial"/>
                <w:b/>
                <w:bCs/>
                <w:caps w:val="false"/>
                <w:color w:val="FFFFFF"/>
                <w:sz w:val="17"/>
                <w:szCs w:val="17"/>
              </w:rPr>
              <w:t xml:space="preserve">What it does on the platform</w:t>
            </w:r>
          </w:p>
        </w:tc>
        <w:tc>
          <w:tcPr>
            <w:tcW w:type="dxa" w:w="2440"/>
            <w:tcBorders>
              <w:top w:val="none" w:color="FFFFFF" w:sz="0"/>
              <w:left w:val="none" w:color="FFFFFF" w:sz="0"/>
              <w:bottom w:val="none" w:color="FFFFFF" w:sz="0"/>
              <w:right w:val="none" w:color="FFFFFF" w:sz="0"/>
            </w:tcBorders>
            <w:shd w:fill="0D1B4B" w:val="clear"/>
            <w:tcMar>
              <w:top w:type="dxa" w:w="90"/>
              <w:left w:type="dxa" w:w="130"/>
              <w:bottom w:type="dxa" w:w="90"/>
              <w:right w:type="dxa" w:w="130"/>
            </w:tcMar>
            <w:vAlign w:val="center"/>
          </w:tcPr>
          <w:p>
            <w:pPr>
              <w:keepNext w:val="false"/>
              <w:spacing w:after="0" w:before="0" w:line="276"/>
              <w:jc w:val="left"/>
            </w:pPr>
            <w:r>
              <w:rPr>
                <w:rFonts w:ascii="Arial" w:cs="Arial" w:eastAsia="Arial" w:hAnsi="Arial"/>
                <w:b/>
                <w:bCs/>
                <w:caps w:val="false"/>
                <w:color w:val="FFFFFF"/>
                <w:sz w:val="17"/>
                <w:szCs w:val="17"/>
              </w:rPr>
              <w:t xml:space="preserve">Business value</w:t>
            </w:r>
          </w:p>
        </w:tc>
      </w:tr>
      <w:tr>
        <w:tc>
          <w:tcPr>
            <w:tcW w:type="dxa" w:w="2040"/>
            <w:tcBorders>
              <w:top w:val="single" w:color="D9D9D9" w:sz="4"/>
              <w:left w:val="none" w:color="FFFFFF" w:sz="0"/>
              <w:bottom w:val="single" w:color="D9D9D9" w:sz="4"/>
              <w:right w:val="none" w:color="FFFFFF" w:sz="0"/>
            </w:tcBorders>
            <w:shd w:fill="FFFFFF"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Custodial wallet / stored balance</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A held balance users can keep on the platform.</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Lets users store value, send instantly and receive into a wallet — requires licensing.</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The major architectural shift; unlocks float revenue, instant transfers and stickiness.</w:t>
            </w:r>
          </w:p>
        </w:tc>
      </w:tr>
      <w:tr>
        <w:tc>
          <w:tcPr>
            <w:tcW w:type="dxa" w:w="2040"/>
            <w:tcBorders>
              <w:top w:val="single" w:color="D9D9D9" w:sz="4"/>
              <w:left w:val="none" w:color="FFFFFF" w:sz="0"/>
              <w:bottom w:val="single" w:color="D9D9D9" w:sz="4"/>
              <w:right w:val="none" w:color="FFFFFF" w:sz="0"/>
            </w:tcBorders>
            <w:shd w:fill="F2F2F2"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Pre-funded liquidity pools</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Held balances in both countries to net transfers.</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Matches opposing flows against pre-funded pools rather than moving money per transaction.</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Reduces per-transaction cost and settlement time at scale — the Wise model.</w:t>
            </w:r>
          </w:p>
        </w:tc>
      </w:tr>
      <w:tr>
        <w:tc>
          <w:tcPr>
            <w:tcW w:type="dxa" w:w="2040"/>
            <w:tcBorders>
              <w:top w:val="single" w:color="D9D9D9" w:sz="4"/>
              <w:left w:val="none" w:color="FFFFFF" w:sz="0"/>
              <w:bottom w:val="single" w:color="D9D9D9" w:sz="4"/>
              <w:right w:val="none" w:color="FFFFFF" w:sz="0"/>
            </w:tcBorders>
            <w:shd w:fill="FFFFFF"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Multi-currency wallet</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A wallet holding multiple currencies.</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Lets users hold and convert balances across currencies.</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Broadens utility and supports expansion into new corridors.</w:t>
            </w:r>
          </w:p>
        </w:tc>
      </w:tr>
      <w:tr>
        <w:tc>
          <w:tcPr>
            <w:tcW w:type="dxa" w:w="2040"/>
            <w:tcBorders>
              <w:top w:val="single" w:color="D9D9D9" w:sz="4"/>
              <w:left w:val="none" w:color="FFFFFF" w:sz="0"/>
              <w:bottom w:val="single" w:color="D9D9D9" w:sz="4"/>
              <w:right w:val="none" w:color="FFFFFF" w:sz="0"/>
            </w:tcBorders>
            <w:shd w:fill="F2F2F2"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Treasury / liquidity dashboard</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Internal tooling for managing pooled funds.</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Gives operators visibility and control over liquidity positions.</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Essential operational control once the platform holds balances.</w:t>
            </w:r>
          </w:p>
        </w:tc>
      </w:tr>
      <w:tr>
        <w:tc>
          <w:tcPr>
            <w:tcW w:type="dxa" w:w="2040"/>
            <w:tcBorders>
              <w:top w:val="single" w:color="D9D9D9" w:sz="4"/>
              <w:left w:val="none" w:color="FFFFFF" w:sz="0"/>
              <w:bottom w:val="single" w:color="D9D9D9" w:sz="4"/>
              <w:right w:val="none" w:color="FFFFFF" w:sz="0"/>
            </w:tcBorders>
            <w:shd w:fill="FFFFFF"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Stablecoin settlement rail</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P2+ — stablecoin-based cross-border settlement.</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Uses stablecoins as an intermediate settlement layer between corridors.</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Potentially lower-cost, faster settlement; emerging and evaluated cautiously.</w:t>
            </w:r>
          </w:p>
        </w:tc>
      </w:tr>
    </w:tbl>
    <w:p>
      <w:pPr>
        <w:keepNext/>
        <w:pBdr>
          <w:bottom w:val="single" w:color="007A68" w:sz="4" w:space="4"/>
        </w:pBdr>
        <w:spacing w:after="100" w:before="240"/>
      </w:pPr>
      <w:r>
        <w:rPr>
          <w:rFonts w:ascii="Arial" w:cs="Arial" w:eastAsia="Arial" w:hAnsi="Arial"/>
          <w:b/>
          <w:bCs/>
          <w:caps w:val="false"/>
          <w:color w:val="007A68"/>
          <w:sz w:val="21"/>
          <w:szCs w:val="21"/>
        </w:rPr>
        <w:t xml:space="preserve">Module 6 — Web Admin Console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040"/>
        <w:gridCol w:w="2440"/>
        <w:gridCol w:w="2440"/>
        <w:gridCol w:w="2440"/>
      </w:tblGrid>
      <w:tr>
        <w:trPr>
          <w:tblHeader/>
        </w:trPr>
        <w:tc>
          <w:tcPr>
            <w:tcW w:type="dxa" w:w="2040"/>
            <w:tcBorders>
              <w:top w:val="none" w:color="FFFFFF" w:sz="0"/>
              <w:left w:val="none" w:color="FFFFFF" w:sz="0"/>
              <w:bottom w:val="none" w:color="FFFFFF" w:sz="0"/>
              <w:right w:val="none" w:color="FFFFFF" w:sz="0"/>
            </w:tcBorders>
            <w:shd w:fill="0D1B4B" w:val="clear"/>
            <w:tcMar>
              <w:top w:type="dxa" w:w="90"/>
              <w:left w:type="dxa" w:w="130"/>
              <w:bottom w:type="dxa" w:w="90"/>
              <w:right w:type="dxa" w:w="130"/>
            </w:tcMar>
            <w:vAlign w:val="center"/>
          </w:tcPr>
          <w:p>
            <w:pPr>
              <w:keepNext w:val="false"/>
              <w:spacing w:after="0" w:before="0" w:line="276"/>
              <w:jc w:val="left"/>
            </w:pPr>
            <w:r>
              <w:rPr>
                <w:rFonts w:ascii="Arial" w:cs="Arial" w:eastAsia="Arial" w:hAnsi="Arial"/>
                <w:b/>
                <w:bCs/>
                <w:caps w:val="false"/>
                <w:color w:val="FFFFFF"/>
                <w:sz w:val="17"/>
                <w:szCs w:val="17"/>
              </w:rPr>
              <w:t xml:space="preserve">Feature</w:t>
            </w:r>
          </w:p>
        </w:tc>
        <w:tc>
          <w:tcPr>
            <w:tcW w:type="dxa" w:w="2440"/>
            <w:tcBorders>
              <w:top w:val="none" w:color="FFFFFF" w:sz="0"/>
              <w:left w:val="none" w:color="FFFFFF" w:sz="0"/>
              <w:bottom w:val="none" w:color="FFFFFF" w:sz="0"/>
              <w:right w:val="none" w:color="FFFFFF" w:sz="0"/>
            </w:tcBorders>
            <w:shd w:fill="0D1B4B" w:val="clear"/>
            <w:tcMar>
              <w:top w:type="dxa" w:w="90"/>
              <w:left w:type="dxa" w:w="130"/>
              <w:bottom w:type="dxa" w:w="90"/>
              <w:right w:type="dxa" w:w="130"/>
            </w:tcMar>
            <w:vAlign w:val="center"/>
          </w:tcPr>
          <w:p>
            <w:pPr>
              <w:keepNext w:val="false"/>
              <w:spacing w:after="0" w:before="0" w:line="276"/>
              <w:jc w:val="left"/>
            </w:pPr>
            <w:r>
              <w:rPr>
                <w:rFonts w:ascii="Arial" w:cs="Arial" w:eastAsia="Arial" w:hAnsi="Arial"/>
                <w:b/>
                <w:bCs/>
                <w:caps w:val="false"/>
                <w:color w:val="FFFFFF"/>
                <w:sz w:val="17"/>
                <w:szCs w:val="17"/>
              </w:rPr>
              <w:t xml:space="preserve">What it is</w:t>
            </w:r>
          </w:p>
        </w:tc>
        <w:tc>
          <w:tcPr>
            <w:tcW w:type="dxa" w:w="2440"/>
            <w:tcBorders>
              <w:top w:val="none" w:color="FFFFFF" w:sz="0"/>
              <w:left w:val="none" w:color="FFFFFF" w:sz="0"/>
              <w:bottom w:val="none" w:color="FFFFFF" w:sz="0"/>
              <w:right w:val="none" w:color="FFFFFF" w:sz="0"/>
            </w:tcBorders>
            <w:shd w:fill="0D1B4B" w:val="clear"/>
            <w:tcMar>
              <w:top w:type="dxa" w:w="90"/>
              <w:left w:type="dxa" w:w="130"/>
              <w:bottom w:type="dxa" w:w="90"/>
              <w:right w:type="dxa" w:w="130"/>
            </w:tcMar>
            <w:vAlign w:val="center"/>
          </w:tcPr>
          <w:p>
            <w:pPr>
              <w:keepNext w:val="false"/>
              <w:spacing w:after="0" w:before="0" w:line="276"/>
              <w:jc w:val="left"/>
            </w:pPr>
            <w:r>
              <w:rPr>
                <w:rFonts w:ascii="Arial" w:cs="Arial" w:eastAsia="Arial" w:hAnsi="Arial"/>
                <w:b/>
                <w:bCs/>
                <w:caps w:val="false"/>
                <w:color w:val="FFFFFF"/>
                <w:sz w:val="17"/>
                <w:szCs w:val="17"/>
              </w:rPr>
              <w:t xml:space="preserve">What it does on the platform</w:t>
            </w:r>
          </w:p>
        </w:tc>
        <w:tc>
          <w:tcPr>
            <w:tcW w:type="dxa" w:w="2440"/>
            <w:tcBorders>
              <w:top w:val="none" w:color="FFFFFF" w:sz="0"/>
              <w:left w:val="none" w:color="FFFFFF" w:sz="0"/>
              <w:bottom w:val="none" w:color="FFFFFF" w:sz="0"/>
              <w:right w:val="none" w:color="FFFFFF" w:sz="0"/>
            </w:tcBorders>
            <w:shd w:fill="0D1B4B" w:val="clear"/>
            <w:tcMar>
              <w:top w:type="dxa" w:w="90"/>
              <w:left w:type="dxa" w:w="130"/>
              <w:bottom w:type="dxa" w:w="90"/>
              <w:right w:type="dxa" w:w="130"/>
            </w:tcMar>
            <w:vAlign w:val="center"/>
          </w:tcPr>
          <w:p>
            <w:pPr>
              <w:keepNext w:val="false"/>
              <w:spacing w:after="0" w:before="0" w:line="276"/>
              <w:jc w:val="left"/>
            </w:pPr>
            <w:r>
              <w:rPr>
                <w:rFonts w:ascii="Arial" w:cs="Arial" w:eastAsia="Arial" w:hAnsi="Arial"/>
                <w:b/>
                <w:bCs/>
                <w:caps w:val="false"/>
                <w:color w:val="FFFFFF"/>
                <w:sz w:val="17"/>
                <w:szCs w:val="17"/>
              </w:rPr>
              <w:t xml:space="preserve">Business value</w:t>
            </w:r>
          </w:p>
        </w:tc>
      </w:tr>
      <w:tr>
        <w:tc>
          <w:tcPr>
            <w:tcW w:type="dxa" w:w="2040"/>
            <w:tcBorders>
              <w:top w:val="single" w:color="D9D9D9" w:sz="4"/>
              <w:left w:val="none" w:color="FFFFFF" w:sz="0"/>
              <w:bottom w:val="single" w:color="D9D9D9" w:sz="4"/>
              <w:right w:val="none" w:color="FFFFFF" w:sz="0"/>
            </w:tcBorders>
            <w:shd w:fill="FFFFFF"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Analytics &amp; BI dashboards</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Deep business-intelligence reporting.</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Provides cohort, corridor and behavioral analytics to the team.</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Informs strategy, pricing and growth decisions with data.</w:t>
            </w:r>
          </w:p>
        </w:tc>
      </w:tr>
      <w:tr>
        <w:tc>
          <w:tcPr>
            <w:tcW w:type="dxa" w:w="2040"/>
            <w:tcBorders>
              <w:top w:val="single" w:color="D9D9D9" w:sz="4"/>
              <w:left w:val="none" w:color="FFFFFF" w:sz="0"/>
              <w:bottom w:val="single" w:color="D9D9D9" w:sz="4"/>
              <w:right w:val="none" w:color="FFFFFF" w:sz="0"/>
            </w:tcBorders>
            <w:shd w:fill="F2F2F2"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Partner / rail management console</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Self-serve configuration of rails and partners.</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Lets operators add and configure new payout rails and partners without engineering.</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Accelerates corridor and partner expansion.</w:t>
            </w:r>
          </w:p>
        </w:tc>
      </w:tr>
    </w:tbl>
    <w:p>
      <w:pPr>
        <w:keepNext/>
        <w:pBdr>
          <w:bottom w:val="single" w:color="007A68" w:sz="4" w:space="4"/>
        </w:pBdr>
        <w:spacing w:after="100" w:before="240"/>
      </w:pPr>
      <w:r>
        <w:rPr>
          <w:rFonts w:ascii="Arial" w:cs="Arial" w:eastAsia="Arial" w:hAnsi="Arial"/>
          <w:b/>
          <w:bCs/>
          <w:caps w:val="false"/>
          <w:color w:val="007A68"/>
          <w:sz w:val="21"/>
          <w:szCs w:val="21"/>
        </w:rPr>
        <w:t xml:space="preserve">Module 7 — Notifications &amp; Communications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040"/>
        <w:gridCol w:w="2440"/>
        <w:gridCol w:w="2440"/>
        <w:gridCol w:w="2440"/>
      </w:tblGrid>
      <w:tr>
        <w:trPr>
          <w:tblHeader/>
        </w:trPr>
        <w:tc>
          <w:tcPr>
            <w:tcW w:type="dxa" w:w="2040"/>
            <w:tcBorders>
              <w:top w:val="none" w:color="FFFFFF" w:sz="0"/>
              <w:left w:val="none" w:color="FFFFFF" w:sz="0"/>
              <w:bottom w:val="none" w:color="FFFFFF" w:sz="0"/>
              <w:right w:val="none" w:color="FFFFFF" w:sz="0"/>
            </w:tcBorders>
            <w:shd w:fill="0D1B4B" w:val="clear"/>
            <w:tcMar>
              <w:top w:type="dxa" w:w="90"/>
              <w:left w:type="dxa" w:w="130"/>
              <w:bottom w:type="dxa" w:w="90"/>
              <w:right w:type="dxa" w:w="130"/>
            </w:tcMar>
            <w:vAlign w:val="center"/>
          </w:tcPr>
          <w:p>
            <w:pPr>
              <w:keepNext w:val="false"/>
              <w:spacing w:after="0" w:before="0" w:line="276"/>
              <w:jc w:val="left"/>
            </w:pPr>
            <w:r>
              <w:rPr>
                <w:rFonts w:ascii="Arial" w:cs="Arial" w:eastAsia="Arial" w:hAnsi="Arial"/>
                <w:b/>
                <w:bCs/>
                <w:caps w:val="false"/>
                <w:color w:val="FFFFFF"/>
                <w:sz w:val="17"/>
                <w:szCs w:val="17"/>
              </w:rPr>
              <w:t xml:space="preserve">Feature</w:t>
            </w:r>
          </w:p>
        </w:tc>
        <w:tc>
          <w:tcPr>
            <w:tcW w:type="dxa" w:w="2440"/>
            <w:tcBorders>
              <w:top w:val="none" w:color="FFFFFF" w:sz="0"/>
              <w:left w:val="none" w:color="FFFFFF" w:sz="0"/>
              <w:bottom w:val="none" w:color="FFFFFF" w:sz="0"/>
              <w:right w:val="none" w:color="FFFFFF" w:sz="0"/>
            </w:tcBorders>
            <w:shd w:fill="0D1B4B" w:val="clear"/>
            <w:tcMar>
              <w:top w:type="dxa" w:w="90"/>
              <w:left w:type="dxa" w:w="130"/>
              <w:bottom w:type="dxa" w:w="90"/>
              <w:right w:type="dxa" w:w="130"/>
            </w:tcMar>
            <w:vAlign w:val="center"/>
          </w:tcPr>
          <w:p>
            <w:pPr>
              <w:keepNext w:val="false"/>
              <w:spacing w:after="0" w:before="0" w:line="276"/>
              <w:jc w:val="left"/>
            </w:pPr>
            <w:r>
              <w:rPr>
                <w:rFonts w:ascii="Arial" w:cs="Arial" w:eastAsia="Arial" w:hAnsi="Arial"/>
                <w:b/>
                <w:bCs/>
                <w:caps w:val="false"/>
                <w:color w:val="FFFFFF"/>
                <w:sz w:val="17"/>
                <w:szCs w:val="17"/>
              </w:rPr>
              <w:t xml:space="preserve">What it is</w:t>
            </w:r>
          </w:p>
        </w:tc>
        <w:tc>
          <w:tcPr>
            <w:tcW w:type="dxa" w:w="2440"/>
            <w:tcBorders>
              <w:top w:val="none" w:color="FFFFFF" w:sz="0"/>
              <w:left w:val="none" w:color="FFFFFF" w:sz="0"/>
              <w:bottom w:val="none" w:color="FFFFFF" w:sz="0"/>
              <w:right w:val="none" w:color="FFFFFF" w:sz="0"/>
            </w:tcBorders>
            <w:shd w:fill="0D1B4B" w:val="clear"/>
            <w:tcMar>
              <w:top w:type="dxa" w:w="90"/>
              <w:left w:type="dxa" w:w="130"/>
              <w:bottom w:type="dxa" w:w="90"/>
              <w:right w:type="dxa" w:w="130"/>
            </w:tcMar>
            <w:vAlign w:val="center"/>
          </w:tcPr>
          <w:p>
            <w:pPr>
              <w:keepNext w:val="false"/>
              <w:spacing w:after="0" w:before="0" w:line="276"/>
              <w:jc w:val="left"/>
            </w:pPr>
            <w:r>
              <w:rPr>
                <w:rFonts w:ascii="Arial" w:cs="Arial" w:eastAsia="Arial" w:hAnsi="Arial"/>
                <w:b/>
                <w:bCs/>
                <w:caps w:val="false"/>
                <w:color w:val="FFFFFF"/>
                <w:sz w:val="17"/>
                <w:szCs w:val="17"/>
              </w:rPr>
              <w:t xml:space="preserve">What it does on the platform</w:t>
            </w:r>
          </w:p>
        </w:tc>
        <w:tc>
          <w:tcPr>
            <w:tcW w:type="dxa" w:w="2440"/>
            <w:tcBorders>
              <w:top w:val="none" w:color="FFFFFF" w:sz="0"/>
              <w:left w:val="none" w:color="FFFFFF" w:sz="0"/>
              <w:bottom w:val="none" w:color="FFFFFF" w:sz="0"/>
              <w:right w:val="none" w:color="FFFFFF" w:sz="0"/>
            </w:tcBorders>
            <w:shd w:fill="0D1B4B" w:val="clear"/>
            <w:tcMar>
              <w:top w:type="dxa" w:w="90"/>
              <w:left w:type="dxa" w:w="130"/>
              <w:bottom w:type="dxa" w:w="90"/>
              <w:right w:type="dxa" w:w="130"/>
            </w:tcMar>
            <w:vAlign w:val="center"/>
          </w:tcPr>
          <w:p>
            <w:pPr>
              <w:keepNext w:val="false"/>
              <w:spacing w:after="0" w:before="0" w:line="276"/>
              <w:jc w:val="left"/>
            </w:pPr>
            <w:r>
              <w:rPr>
                <w:rFonts w:ascii="Arial" w:cs="Arial" w:eastAsia="Arial" w:hAnsi="Arial"/>
                <w:b/>
                <w:bCs/>
                <w:caps w:val="false"/>
                <w:color w:val="FFFFFF"/>
                <w:sz w:val="17"/>
                <w:szCs w:val="17"/>
              </w:rPr>
              <w:t xml:space="preserve">Business value</w:t>
            </w:r>
          </w:p>
        </w:tc>
      </w:tr>
      <w:tr>
        <w:tc>
          <w:tcPr>
            <w:tcW w:type="dxa" w:w="2040"/>
            <w:tcBorders>
              <w:top w:val="single" w:color="D9D9D9" w:sz="4"/>
              <w:left w:val="none" w:color="FFFFFF" w:sz="0"/>
              <w:bottom w:val="single" w:color="D9D9D9" w:sz="4"/>
              <w:right w:val="none" w:color="FFFFFF" w:sz="0"/>
            </w:tcBorders>
            <w:shd w:fill="FFFFFF"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Marketing / campaign messaging</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Outbound marketing communications.</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Sends campaign messages with opt-in and consent management.</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A growth and re-engagement tool, gated on proper consent handling.</w:t>
            </w:r>
          </w:p>
        </w:tc>
      </w:tr>
    </w:tbl>
    <w:p>
      <w:pPr>
        <w:keepNext/>
        <w:pBdr>
          <w:bottom w:val="single" w:color="007A68" w:sz="4" w:space="4"/>
        </w:pBdr>
        <w:spacing w:after="100" w:before="240"/>
      </w:pPr>
      <w:r>
        <w:rPr>
          <w:rFonts w:ascii="Arial" w:cs="Arial" w:eastAsia="Arial" w:hAnsi="Arial"/>
          <w:b/>
          <w:bCs/>
          <w:caps w:val="false"/>
          <w:color w:val="007A68"/>
          <w:sz w:val="21"/>
          <w:szCs w:val="21"/>
        </w:rPr>
        <w:t xml:space="preserve">Module 8 — Security, Compliance &amp; Platform</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040"/>
        <w:gridCol w:w="2440"/>
        <w:gridCol w:w="2440"/>
        <w:gridCol w:w="2440"/>
      </w:tblGrid>
      <w:tr>
        <w:trPr>
          <w:tblHeader/>
        </w:trPr>
        <w:tc>
          <w:tcPr>
            <w:tcW w:type="dxa" w:w="2040"/>
            <w:tcBorders>
              <w:top w:val="none" w:color="FFFFFF" w:sz="0"/>
              <w:left w:val="none" w:color="FFFFFF" w:sz="0"/>
              <w:bottom w:val="none" w:color="FFFFFF" w:sz="0"/>
              <w:right w:val="none" w:color="FFFFFF" w:sz="0"/>
            </w:tcBorders>
            <w:shd w:fill="0D1B4B" w:val="clear"/>
            <w:tcMar>
              <w:top w:type="dxa" w:w="90"/>
              <w:left w:type="dxa" w:w="130"/>
              <w:bottom w:type="dxa" w:w="90"/>
              <w:right w:type="dxa" w:w="130"/>
            </w:tcMar>
            <w:vAlign w:val="center"/>
          </w:tcPr>
          <w:p>
            <w:pPr>
              <w:keepNext w:val="false"/>
              <w:spacing w:after="0" w:before="0" w:line="276"/>
              <w:jc w:val="left"/>
            </w:pPr>
            <w:r>
              <w:rPr>
                <w:rFonts w:ascii="Arial" w:cs="Arial" w:eastAsia="Arial" w:hAnsi="Arial"/>
                <w:b/>
                <w:bCs/>
                <w:caps w:val="false"/>
                <w:color w:val="FFFFFF"/>
                <w:sz w:val="17"/>
                <w:szCs w:val="17"/>
              </w:rPr>
              <w:t xml:space="preserve">Feature</w:t>
            </w:r>
          </w:p>
        </w:tc>
        <w:tc>
          <w:tcPr>
            <w:tcW w:type="dxa" w:w="2440"/>
            <w:tcBorders>
              <w:top w:val="none" w:color="FFFFFF" w:sz="0"/>
              <w:left w:val="none" w:color="FFFFFF" w:sz="0"/>
              <w:bottom w:val="none" w:color="FFFFFF" w:sz="0"/>
              <w:right w:val="none" w:color="FFFFFF" w:sz="0"/>
            </w:tcBorders>
            <w:shd w:fill="0D1B4B" w:val="clear"/>
            <w:tcMar>
              <w:top w:type="dxa" w:w="90"/>
              <w:left w:type="dxa" w:w="130"/>
              <w:bottom w:type="dxa" w:w="90"/>
              <w:right w:type="dxa" w:w="130"/>
            </w:tcMar>
            <w:vAlign w:val="center"/>
          </w:tcPr>
          <w:p>
            <w:pPr>
              <w:keepNext w:val="false"/>
              <w:spacing w:after="0" w:before="0" w:line="276"/>
              <w:jc w:val="left"/>
            </w:pPr>
            <w:r>
              <w:rPr>
                <w:rFonts w:ascii="Arial" w:cs="Arial" w:eastAsia="Arial" w:hAnsi="Arial"/>
                <w:b/>
                <w:bCs/>
                <w:caps w:val="false"/>
                <w:color w:val="FFFFFF"/>
                <w:sz w:val="17"/>
                <w:szCs w:val="17"/>
              </w:rPr>
              <w:t xml:space="preserve">What it is</w:t>
            </w:r>
          </w:p>
        </w:tc>
        <w:tc>
          <w:tcPr>
            <w:tcW w:type="dxa" w:w="2440"/>
            <w:tcBorders>
              <w:top w:val="none" w:color="FFFFFF" w:sz="0"/>
              <w:left w:val="none" w:color="FFFFFF" w:sz="0"/>
              <w:bottom w:val="none" w:color="FFFFFF" w:sz="0"/>
              <w:right w:val="none" w:color="FFFFFF" w:sz="0"/>
            </w:tcBorders>
            <w:shd w:fill="0D1B4B" w:val="clear"/>
            <w:tcMar>
              <w:top w:type="dxa" w:w="90"/>
              <w:left w:type="dxa" w:w="130"/>
              <w:bottom w:type="dxa" w:w="90"/>
              <w:right w:type="dxa" w:w="130"/>
            </w:tcMar>
            <w:vAlign w:val="center"/>
          </w:tcPr>
          <w:p>
            <w:pPr>
              <w:keepNext w:val="false"/>
              <w:spacing w:after="0" w:before="0" w:line="276"/>
              <w:jc w:val="left"/>
            </w:pPr>
            <w:r>
              <w:rPr>
                <w:rFonts w:ascii="Arial" w:cs="Arial" w:eastAsia="Arial" w:hAnsi="Arial"/>
                <w:b/>
                <w:bCs/>
                <w:caps w:val="false"/>
                <w:color w:val="FFFFFF"/>
                <w:sz w:val="17"/>
                <w:szCs w:val="17"/>
              </w:rPr>
              <w:t xml:space="preserve">What it does on the platform</w:t>
            </w:r>
          </w:p>
        </w:tc>
        <w:tc>
          <w:tcPr>
            <w:tcW w:type="dxa" w:w="2440"/>
            <w:tcBorders>
              <w:top w:val="none" w:color="FFFFFF" w:sz="0"/>
              <w:left w:val="none" w:color="FFFFFF" w:sz="0"/>
              <w:bottom w:val="none" w:color="FFFFFF" w:sz="0"/>
              <w:right w:val="none" w:color="FFFFFF" w:sz="0"/>
            </w:tcBorders>
            <w:shd w:fill="0D1B4B" w:val="clear"/>
            <w:tcMar>
              <w:top w:type="dxa" w:w="90"/>
              <w:left w:type="dxa" w:w="130"/>
              <w:bottom w:type="dxa" w:w="90"/>
              <w:right w:type="dxa" w:w="130"/>
            </w:tcMar>
            <w:vAlign w:val="center"/>
          </w:tcPr>
          <w:p>
            <w:pPr>
              <w:keepNext w:val="false"/>
              <w:spacing w:after="0" w:before="0" w:line="276"/>
              <w:jc w:val="left"/>
            </w:pPr>
            <w:r>
              <w:rPr>
                <w:rFonts w:ascii="Arial" w:cs="Arial" w:eastAsia="Arial" w:hAnsi="Arial"/>
                <w:b/>
                <w:bCs/>
                <w:caps w:val="false"/>
                <w:color w:val="FFFFFF"/>
                <w:sz w:val="17"/>
                <w:szCs w:val="17"/>
              </w:rPr>
              <w:t xml:space="preserve">Business value</w:t>
            </w:r>
          </w:p>
        </w:tc>
      </w:tr>
      <w:tr>
        <w:tc>
          <w:tcPr>
            <w:tcW w:type="dxa" w:w="2040"/>
            <w:tcBorders>
              <w:top w:val="single" w:color="D9D9D9" w:sz="4"/>
              <w:left w:val="none" w:color="FFFFFF" w:sz="0"/>
              <w:bottom w:val="single" w:color="D9D9D9" w:sz="4"/>
              <w:right w:val="none" w:color="FFFFFF" w:sz="0"/>
            </w:tcBorders>
            <w:shd w:fill="FFFFFF"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Disaster recovery / failover</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Resilience and business-continuity infrastructure.</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Provides redundant systems and failover to maintain service during outages.</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Protects availability and trust as transaction volume and stakes grow.</w:t>
            </w:r>
          </w:p>
        </w:tc>
      </w:tr>
    </w:tbl>
    <w:p>
      <w:pPr>
        <w:keepNext/>
        <w:pBdr>
          <w:bottom w:val="single" w:color="007A68" w:sz="4" w:space="4"/>
        </w:pBdr>
        <w:spacing w:after="100" w:before="240"/>
      </w:pPr>
      <w:r>
        <w:rPr>
          <w:rFonts w:ascii="Arial" w:cs="Arial" w:eastAsia="Arial" w:hAnsi="Arial"/>
          <w:b/>
          <w:bCs/>
          <w:caps w:val="false"/>
          <w:color w:val="007A68"/>
          <w:sz w:val="21"/>
          <w:szCs w:val="21"/>
        </w:rPr>
        <w:t xml:space="preserve">Module 9 — Growth &amp; Engagement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040"/>
        <w:gridCol w:w="2440"/>
        <w:gridCol w:w="2440"/>
        <w:gridCol w:w="2440"/>
      </w:tblGrid>
      <w:tr>
        <w:trPr>
          <w:tblHeader/>
        </w:trPr>
        <w:tc>
          <w:tcPr>
            <w:tcW w:type="dxa" w:w="2040"/>
            <w:tcBorders>
              <w:top w:val="none" w:color="FFFFFF" w:sz="0"/>
              <w:left w:val="none" w:color="FFFFFF" w:sz="0"/>
              <w:bottom w:val="none" w:color="FFFFFF" w:sz="0"/>
              <w:right w:val="none" w:color="FFFFFF" w:sz="0"/>
            </w:tcBorders>
            <w:shd w:fill="0D1B4B" w:val="clear"/>
            <w:tcMar>
              <w:top w:type="dxa" w:w="90"/>
              <w:left w:type="dxa" w:w="130"/>
              <w:bottom w:type="dxa" w:w="90"/>
              <w:right w:type="dxa" w:w="130"/>
            </w:tcMar>
            <w:vAlign w:val="center"/>
          </w:tcPr>
          <w:p>
            <w:pPr>
              <w:keepNext w:val="false"/>
              <w:spacing w:after="0" w:before="0" w:line="276"/>
              <w:jc w:val="left"/>
            </w:pPr>
            <w:r>
              <w:rPr>
                <w:rFonts w:ascii="Arial" w:cs="Arial" w:eastAsia="Arial" w:hAnsi="Arial"/>
                <w:b/>
                <w:bCs/>
                <w:caps w:val="false"/>
                <w:color w:val="FFFFFF"/>
                <w:sz w:val="17"/>
                <w:szCs w:val="17"/>
              </w:rPr>
              <w:t xml:space="preserve">Feature</w:t>
            </w:r>
          </w:p>
        </w:tc>
        <w:tc>
          <w:tcPr>
            <w:tcW w:type="dxa" w:w="2440"/>
            <w:tcBorders>
              <w:top w:val="none" w:color="FFFFFF" w:sz="0"/>
              <w:left w:val="none" w:color="FFFFFF" w:sz="0"/>
              <w:bottom w:val="none" w:color="FFFFFF" w:sz="0"/>
              <w:right w:val="none" w:color="FFFFFF" w:sz="0"/>
            </w:tcBorders>
            <w:shd w:fill="0D1B4B" w:val="clear"/>
            <w:tcMar>
              <w:top w:type="dxa" w:w="90"/>
              <w:left w:type="dxa" w:w="130"/>
              <w:bottom w:type="dxa" w:w="90"/>
              <w:right w:type="dxa" w:w="130"/>
            </w:tcMar>
            <w:vAlign w:val="center"/>
          </w:tcPr>
          <w:p>
            <w:pPr>
              <w:keepNext w:val="false"/>
              <w:spacing w:after="0" w:before="0" w:line="276"/>
              <w:jc w:val="left"/>
            </w:pPr>
            <w:r>
              <w:rPr>
                <w:rFonts w:ascii="Arial" w:cs="Arial" w:eastAsia="Arial" w:hAnsi="Arial"/>
                <w:b/>
                <w:bCs/>
                <w:caps w:val="false"/>
                <w:color w:val="FFFFFF"/>
                <w:sz w:val="17"/>
                <w:szCs w:val="17"/>
              </w:rPr>
              <w:t xml:space="preserve">What it is</w:t>
            </w:r>
          </w:p>
        </w:tc>
        <w:tc>
          <w:tcPr>
            <w:tcW w:type="dxa" w:w="2440"/>
            <w:tcBorders>
              <w:top w:val="none" w:color="FFFFFF" w:sz="0"/>
              <w:left w:val="none" w:color="FFFFFF" w:sz="0"/>
              <w:bottom w:val="none" w:color="FFFFFF" w:sz="0"/>
              <w:right w:val="none" w:color="FFFFFF" w:sz="0"/>
            </w:tcBorders>
            <w:shd w:fill="0D1B4B" w:val="clear"/>
            <w:tcMar>
              <w:top w:type="dxa" w:w="90"/>
              <w:left w:type="dxa" w:w="130"/>
              <w:bottom w:type="dxa" w:w="90"/>
              <w:right w:type="dxa" w:w="130"/>
            </w:tcMar>
            <w:vAlign w:val="center"/>
          </w:tcPr>
          <w:p>
            <w:pPr>
              <w:keepNext w:val="false"/>
              <w:spacing w:after="0" w:before="0" w:line="276"/>
              <w:jc w:val="left"/>
            </w:pPr>
            <w:r>
              <w:rPr>
                <w:rFonts w:ascii="Arial" w:cs="Arial" w:eastAsia="Arial" w:hAnsi="Arial"/>
                <w:b/>
                <w:bCs/>
                <w:caps w:val="false"/>
                <w:color w:val="FFFFFF"/>
                <w:sz w:val="17"/>
                <w:szCs w:val="17"/>
              </w:rPr>
              <w:t xml:space="preserve">What it does on the platform</w:t>
            </w:r>
          </w:p>
        </w:tc>
        <w:tc>
          <w:tcPr>
            <w:tcW w:type="dxa" w:w="2440"/>
            <w:tcBorders>
              <w:top w:val="none" w:color="FFFFFF" w:sz="0"/>
              <w:left w:val="none" w:color="FFFFFF" w:sz="0"/>
              <w:bottom w:val="none" w:color="FFFFFF" w:sz="0"/>
              <w:right w:val="none" w:color="FFFFFF" w:sz="0"/>
            </w:tcBorders>
            <w:shd w:fill="0D1B4B" w:val="clear"/>
            <w:tcMar>
              <w:top w:type="dxa" w:w="90"/>
              <w:left w:type="dxa" w:w="130"/>
              <w:bottom w:type="dxa" w:w="90"/>
              <w:right w:type="dxa" w:w="130"/>
            </w:tcMar>
            <w:vAlign w:val="center"/>
          </w:tcPr>
          <w:p>
            <w:pPr>
              <w:keepNext w:val="false"/>
              <w:spacing w:after="0" w:before="0" w:line="276"/>
              <w:jc w:val="left"/>
            </w:pPr>
            <w:r>
              <w:rPr>
                <w:rFonts w:ascii="Arial" w:cs="Arial" w:eastAsia="Arial" w:hAnsi="Arial"/>
                <w:b/>
                <w:bCs/>
                <w:caps w:val="false"/>
                <w:color w:val="FFFFFF"/>
                <w:sz w:val="17"/>
                <w:szCs w:val="17"/>
              </w:rPr>
              <w:t xml:space="preserve">Business value</w:t>
            </w:r>
          </w:p>
        </w:tc>
      </w:tr>
      <w:tr>
        <w:tc>
          <w:tcPr>
            <w:tcW w:type="dxa" w:w="2040"/>
            <w:tcBorders>
              <w:top w:val="single" w:color="D9D9D9" w:sz="4"/>
              <w:left w:val="none" w:color="FFFFFF" w:sz="0"/>
              <w:bottom w:val="single" w:color="D9D9D9" w:sz="4"/>
              <w:right w:val="none" w:color="FFFFFF" w:sz="0"/>
            </w:tcBorders>
            <w:shd w:fill="FFFFFF"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Rate-alert / FX-watch</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User-set exchange-rate alerts.</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Notifies users when a target corridor rate is reached.</w:t>
            </w:r>
          </w:p>
        </w:tc>
        <w:tc>
          <w:tcPr>
            <w:tcW w:type="dxa" w:w="2440"/>
            <w:tcBorders>
              <w:top w:val="single" w:color="D9D9D9" w:sz="4"/>
              <w:left w:val="none" w:color="FFFFFF" w:sz="0"/>
              <w:bottom w:val="single" w:color="D9D9D9" w:sz="4"/>
              <w:right w:val="none" w:color="FFFFFF" w:sz="0"/>
            </w:tcBorders>
            <w:shd w:fill="FFFFFF"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Drives re-engagement and positions the platform as a money-management tool, not just a pipe.</w:t>
            </w:r>
          </w:p>
        </w:tc>
      </w:tr>
      <w:tr>
        <w:tc>
          <w:tcPr>
            <w:tcW w:type="dxa" w:w="2040"/>
            <w:tcBorders>
              <w:top w:val="single" w:color="D9D9D9" w:sz="4"/>
              <w:left w:val="none" w:color="FFFFFF" w:sz="0"/>
              <w:bottom w:val="single" w:color="D9D9D9" w:sz="4"/>
              <w:right w:val="none" w:color="FFFFFF" w:sz="0"/>
            </w:tcBorders>
            <w:shd w:fill="F2F2F2" w:val="clear"/>
            <w:tcMar>
              <w:top w:type="dxa" w:w="90"/>
              <w:left w:type="dxa" w:w="130"/>
              <w:bottom w:type="dxa" w:w="90"/>
              <w:right w:type="dxa" w:w="130"/>
            </w:tcMar>
            <w:vAlign w:val="top"/>
          </w:tcPr>
          <w:p>
            <w:pPr>
              <w:keepNext w:val="false"/>
              <w:spacing w:after="0" w:before="0" w:line="252"/>
              <w:jc w:val="left"/>
            </w:pPr>
            <w:r>
              <w:rPr>
                <w:rFonts w:ascii="Arial" w:cs="Arial" w:eastAsia="Arial" w:hAnsi="Arial"/>
                <w:b/>
                <w:bCs/>
                <w:caps w:val="false"/>
                <w:color w:val="0D1B4B"/>
                <w:sz w:val="18"/>
                <w:szCs w:val="18"/>
              </w:rPr>
              <w:t xml:space="preserve">Loyalty / fee-rebate program</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P2+ — a retention rewards program.</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Rewards frequent senders with fee rebates or perks.</w:t>
            </w:r>
          </w:p>
        </w:tc>
        <w:tc>
          <w:tcPr>
            <w:tcW w:type="dxa" w:w="2440"/>
            <w:tcBorders>
              <w:top w:val="single" w:color="D9D9D9" w:sz="4"/>
              <w:left w:val="none" w:color="FFFFFF" w:sz="0"/>
              <w:bottom w:val="single" w:color="D9D9D9" w:sz="4"/>
              <w:right w:val="none" w:color="FFFFFF" w:sz="0"/>
            </w:tcBorders>
            <w:shd w:fill="F2F2F2" w:val="clear"/>
            <w:tcMar>
              <w:top w:type="dxa" w:w="70"/>
              <w:left w:type="dxa" w:w="130"/>
              <w:bottom w:type="dxa" w:w="70"/>
              <w:right w:type="dxa" w:w="130"/>
            </w:tcMar>
            <w:vAlign w:val="center"/>
          </w:tcPr>
          <w:p>
            <w:pPr>
              <w:keepNext w:val="false"/>
              <w:spacing w:after="0" w:before="0" w:line="252"/>
              <w:jc w:val="left"/>
            </w:pPr>
            <w:r>
              <w:rPr>
                <w:rFonts w:ascii="Arial" w:cs="Arial" w:eastAsia="Arial" w:hAnsi="Arial"/>
                <w:b w:val="false"/>
                <w:bCs w:val="false"/>
                <w:caps w:val="false"/>
                <w:color w:val="333333"/>
                <w:sz w:val="17"/>
                <w:szCs w:val="17"/>
              </w:rPr>
              <w:t xml:space="preserve">Improves retention and lifetime value once unit economics are proven.</w:t>
            </w:r>
          </w:p>
        </w:tc>
      </w:tr>
    </w:tbl>
    <w:p>
      <w:r>
        <w:br w:type="page"/>
      </w:r>
    </w:p>
    <w:p>
      <w:pPr>
        <w:keepNext/>
        <w:spacing w:after="0" w:before="360"/>
      </w:pPr>
      <w:r>
        <w:rPr>
          <w:rFonts w:ascii="Arial" w:cs="Arial" w:eastAsia="Arial" w:hAnsi="Arial"/>
          <w:b/>
          <w:bCs/>
          <w:caps/>
          <w:color w:val="B8860B"/>
          <w:spacing w:val="40"/>
          <w:sz w:val="18"/>
          <w:szCs w:val="18"/>
        </w:rPr>
        <w:t xml:space="preserve">04  </w:t>
      </w:r>
    </w:p>
    <w:p>
      <w:pPr>
        <w:pStyle w:val="Heading1"/>
        <w:keepNext/>
        <w:pBdr>
          <w:bottom w:val="single" w:color="B8860B" w:sz="10" w:space="6"/>
        </w:pBdr>
        <w:spacing w:after="100" w:before="0"/>
      </w:pPr>
      <w:r>
        <w:rPr>
          <w:rFonts w:ascii="Arial" w:cs="Arial" w:eastAsia="Arial" w:hAnsi="Arial"/>
          <w:b/>
          <w:bCs/>
          <w:caps w:val="false"/>
          <w:color w:val="0D1B4B"/>
          <w:sz w:val="30"/>
          <w:szCs w:val="30"/>
        </w:rPr>
        <w:t xml:space="preserve">Open Items Carried Into Design</w:t>
      </w:r>
    </w:p>
    <w:p>
      <w:pPr>
        <w:spacing w:after="140"/>
      </w:pPr>
      <w:r>
        <w:t xml:space="preserve"/>
      </w:r>
    </w:p>
    <w:p>
      <w:pPr>
        <w:keepNext w:val="false"/>
        <w:spacing w:after="140" w:before="0" w:line="288"/>
        <w:jc w:val="left"/>
      </w:pPr>
      <w:r>
        <w:rPr>
          <w:rFonts w:ascii="Arial" w:cs="Arial" w:eastAsia="Arial" w:hAnsi="Arial"/>
          <w:b w:val="false"/>
          <w:bCs w:val="false"/>
          <w:caps w:val="false"/>
          <w:color w:val="2A2A2A"/>
          <w:sz w:val="21"/>
          <w:szCs w:val="21"/>
        </w:rPr>
        <w:t xml:space="preserve">Resolved in principle, these require specific parameters during High-Level and Low-Level Design and are recorded so none is lost.</w:t>
      </w:r>
    </w:p>
    <w:p>
      <w:pPr>
        <w:pStyle w:val="ListParagraph"/>
        <w:numPr>
          <w:ilvl w:val="0"/>
          <w:numId w:val="2"/>
        </w:numPr>
        <w:spacing w:after="40" w:before="40" w:line="276"/>
        <w:ind w:left="620" w:hanging="360"/>
      </w:pPr>
      <w:r>
        <w:rPr>
          <w:rFonts w:ascii="Arial" w:cs="Arial" w:eastAsia="Arial" w:hAnsi="Arial"/>
          <w:b/>
          <w:bCs/>
          <w:caps w:val="false"/>
          <w:color w:val="0D1B4B"/>
          <w:sz w:val="21"/>
          <w:szCs w:val="21"/>
        </w:rPr>
        <w:t xml:space="preserve">AI dispute autonomy boundary. </w:t>
      </w:r>
      <w:r>
        <w:rPr>
          <w:rFonts w:ascii="Arial" w:cs="Arial" w:eastAsia="Arial" w:hAnsi="Arial"/>
          <w:b w:val="false"/>
          <w:bCs w:val="false"/>
          <w:caps w:val="false"/>
          <w:color w:val="2A2A2A"/>
          <w:sz w:val="21"/>
          <w:szCs w:val="21"/>
        </w:rPr>
        <w:t xml:space="preserve">Where the human approval gate sits at GTM, and the criteria that graduate a dispute type to autonomous resolution in Phase 2.</w:t>
      </w:r>
    </w:p>
    <w:p>
      <w:pPr>
        <w:pStyle w:val="ListParagraph"/>
        <w:numPr>
          <w:ilvl w:val="0"/>
          <w:numId w:val="2"/>
        </w:numPr>
        <w:spacing w:after="40" w:before="40" w:line="276"/>
        <w:ind w:left="620" w:hanging="360"/>
      </w:pPr>
      <w:r>
        <w:rPr>
          <w:rFonts w:ascii="Arial" w:cs="Arial" w:eastAsia="Arial" w:hAnsi="Arial"/>
          <w:b/>
          <w:bCs/>
          <w:caps w:val="false"/>
          <w:color w:val="0D1B4B"/>
          <w:sz w:val="21"/>
          <w:szCs w:val="21"/>
        </w:rPr>
        <w:t xml:space="preserve">KYC limit thresholds. </w:t>
      </w:r>
      <w:r>
        <w:rPr>
          <w:rFonts w:ascii="Arial" w:cs="Arial" w:eastAsia="Arial" w:hAnsi="Arial"/>
          <w:b w:val="false"/>
          <w:bCs w:val="false"/>
          <w:caps w:val="false"/>
          <w:color w:val="2A2A2A"/>
          <w:sz w:val="21"/>
          <w:szCs w:val="21"/>
        </w:rPr>
        <w:t xml:space="preserve">The transaction-value bands mapping to each verification tier under FinCEN and RBI requirements.</w:t>
      </w:r>
    </w:p>
    <w:p>
      <w:pPr>
        <w:pStyle w:val="ListParagraph"/>
        <w:numPr>
          <w:ilvl w:val="0"/>
          <w:numId w:val="2"/>
        </w:numPr>
        <w:spacing w:after="40" w:before="40" w:line="276"/>
        <w:ind w:left="620" w:hanging="360"/>
      </w:pPr>
      <w:r>
        <w:rPr>
          <w:rFonts w:ascii="Arial" w:cs="Arial" w:eastAsia="Arial" w:hAnsi="Arial"/>
          <w:b/>
          <w:bCs/>
          <w:caps w:val="false"/>
          <w:color w:val="0D1B4B"/>
          <w:sz w:val="21"/>
          <w:szCs w:val="21"/>
        </w:rPr>
        <w:t xml:space="preserve">Custodial transition trigger. </w:t>
      </w:r>
      <w:r>
        <w:rPr>
          <w:rFonts w:ascii="Arial" w:cs="Arial" w:eastAsia="Arial" w:hAnsi="Arial"/>
          <w:b w:val="false"/>
          <w:bCs w:val="false"/>
          <w:caps w:val="false"/>
          <w:color w:val="2A2A2A"/>
          <w:sz w:val="21"/>
          <w:szCs w:val="21"/>
        </w:rPr>
        <w:t xml:space="preserve">The volume or revenue milestone that justifies moving from non-custodial to holding balances — the largest architectural fork in the project.</w:t>
      </w:r>
    </w:p>
    <w:p>
      <w:pPr>
        <w:pStyle w:val="ListParagraph"/>
        <w:numPr>
          <w:ilvl w:val="0"/>
          <w:numId w:val="2"/>
        </w:numPr>
        <w:spacing w:after="40" w:before="40" w:line="276"/>
        <w:ind w:left="620" w:hanging="360"/>
      </w:pPr>
      <w:r>
        <w:rPr>
          <w:rFonts w:ascii="Arial" w:cs="Arial" w:eastAsia="Arial" w:hAnsi="Arial"/>
          <w:b/>
          <w:bCs/>
          <w:caps w:val="false"/>
          <w:color w:val="0D1B4B"/>
          <w:sz w:val="21"/>
          <w:szCs w:val="21"/>
        </w:rPr>
        <w:t xml:space="preserve">UPI exportable-rail strategy. </w:t>
      </w:r>
      <w:r>
        <w:rPr>
          <w:rFonts w:ascii="Arial" w:cs="Arial" w:eastAsia="Arial" w:hAnsi="Arial"/>
          <w:b w:val="false"/>
          <w:bCs w:val="false"/>
          <w:caps w:val="false"/>
          <w:color w:val="2A2A2A"/>
          <w:sz w:val="21"/>
          <w:szCs w:val="21"/>
        </w:rPr>
        <w:t xml:space="preserve">How far to invest in reusable UPI integration competency ahead of NPCI International expansion into Gulf and SEA corridors.</w:t>
      </w:r>
    </w:p>
    <w:p>
      <w:pPr>
        <w:pStyle w:val="ListParagraph"/>
        <w:numPr>
          <w:ilvl w:val="0"/>
          <w:numId w:val="2"/>
        </w:numPr>
        <w:spacing w:after="40" w:before="40" w:line="276"/>
        <w:ind w:left="620" w:hanging="360"/>
      </w:pPr>
      <w:r>
        <w:rPr>
          <w:rFonts w:ascii="Arial" w:cs="Arial" w:eastAsia="Arial" w:hAnsi="Arial"/>
          <w:b/>
          <w:bCs/>
          <w:caps w:val="false"/>
          <w:color w:val="0D1B4B"/>
          <w:sz w:val="21"/>
          <w:szCs w:val="21"/>
        </w:rPr>
        <w:t xml:space="preserve">ACH risk-hold parameters. </w:t>
      </w:r>
      <w:r>
        <w:rPr>
          <w:rFonts w:ascii="Arial" w:cs="Arial" w:eastAsia="Arial" w:hAnsi="Arial"/>
          <w:b w:val="false"/>
          <w:bCs w:val="false"/>
          <w:caps w:val="false"/>
          <w:color w:val="2A2A2A"/>
          <w:sz w:val="21"/>
          <w:szCs w:val="21"/>
        </w:rPr>
        <w:t xml:space="preserve">The clearing-hold duration and the trust criteria that release funds instantly for established users.</w:t>
      </w:r>
    </w:p>
    <w:p>
      <w:pPr>
        <w:spacing w:after="16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70"/>
        <w:gridCol w:w="9190"/>
      </w:tblGrid>
      <w:tr>
        <w:tc>
          <w:tcPr>
            <w:tcW w:type="dxa" w:w="170"/>
            <w:tcBorders>
              <w:top w:val="none" w:color="FFFFFF" w:sz="0"/>
              <w:left w:val="none" w:color="FFFFFF" w:sz="0"/>
              <w:bottom w:val="none" w:color="FFFFFF" w:sz="0"/>
              <w:right w:val="none" w:color="FFFFFF" w:sz="0"/>
            </w:tcBorders>
            <w:shd w:fill="0D1B4B" w:val="clear"/>
          </w:tcPr>
          <w:p>
            <w:pPr>
              <w:keepNext w:val="false"/>
              <w:spacing w:after="0" w:before="0" w:line="276"/>
              <w:jc w:val="left"/>
            </w:pPr>
          </w:p>
        </w:tc>
        <w:tc>
          <w:tcPr>
            <w:tcW w:type="dxa" w:w="9190"/>
            <w:tcBorders>
              <w:top w:val="none" w:color="FFFFFF" w:sz="0"/>
              <w:left w:val="none" w:color="FFFFFF" w:sz="0"/>
              <w:bottom w:val="none" w:color="FFFFFF" w:sz="0"/>
              <w:right w:val="none" w:color="FFFFFF" w:sz="0"/>
            </w:tcBorders>
            <w:shd w:fill="E8EBF4" w:val="clear"/>
            <w:tcMar>
              <w:top w:type="dxa" w:w="140"/>
              <w:left w:type="dxa" w:w="200"/>
              <w:bottom w:type="dxa" w:w="140"/>
              <w:right w:type="dxa" w:w="200"/>
            </w:tcMar>
          </w:tcPr>
          <w:p>
            <w:pPr>
              <w:keepNext w:val="false"/>
              <w:spacing w:after="60" w:before="0" w:line="276"/>
              <w:jc w:val="left"/>
            </w:pPr>
            <w:r>
              <w:rPr>
                <w:rFonts w:ascii="Arial" w:cs="Arial" w:eastAsia="Arial" w:hAnsi="Arial"/>
                <w:b/>
                <w:bCs/>
                <w:caps/>
                <w:color w:val="0D1B4B"/>
                <w:spacing w:val="30"/>
                <w:sz w:val="16"/>
                <w:szCs w:val="16"/>
              </w:rPr>
              <w:t xml:space="preserve">What Comes Next</w:t>
            </w:r>
          </w:p>
          <w:p>
            <w:pPr>
              <w:keepNext w:val="false"/>
              <w:spacing w:after="0" w:before="0" w:line="276"/>
              <w:jc w:val="left"/>
            </w:pPr>
            <w:r>
              <w:rPr>
                <w:rFonts w:ascii="Arial" w:cs="Arial" w:eastAsia="Arial" w:hAnsi="Arial"/>
                <w:b w:val="false"/>
                <w:bCs w:val="false"/>
                <w:caps w:val="false"/>
                <w:color w:val="1A1A1A"/>
                <w:sz w:val="20"/>
                <w:szCs w:val="20"/>
              </w:rPr>
              <w:t xml:space="preserve">Next deliverables: with this phase-wise specification approved, the program proceeds to High-Level Design (HLD) and Low-Level Design (LLD), beginning with the GTM scope. The locked foundational decisions and this feature inventory are the inputs to that design work.</w:t>
            </w:r>
          </w:p>
        </w:tc>
      </w:tr>
    </w:tbl>
    <w:sectPr>
      <w:headerReference w:type="default" r:id="rId7"/>
      <w:footerReference w:type="default" r:id="rId8"/>
      <w:pgSz w:w="12240" w:h="15840" w:orient="portrait"/>
      <w:pgMar w:top="144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spacing w:after="0" w:before="60"/>
      <w:jc w:val="center"/>
    </w:pPr>
    <w:r>
      <w:rPr>
        <w:rFonts w:ascii="Arial" w:cs="Arial" w:eastAsia="Arial" w:hAnsi="Arial"/>
        <w:b w:val="false"/>
        <w:bCs w:val="false"/>
        <w:caps w:val="false"/>
        <w:color w:val="595959"/>
        <w:sz w:val="15"/>
        <w:szCs w:val="15"/>
      </w:rPr>
      <w:t xml:space="preserve">Confidential  •  Page </w:t>
    </w:r>
    <w:r>
      <w:rPr>
        <w:rFonts w:ascii="Arial" w:cs="Arial" w:eastAsia="Arial" w:hAnsi="Arial"/>
        <w:color w:val="595959"/>
        <w:sz w:val="15"/>
        <w:szCs w:val="15"/>
      </w:rPr>
      <w:fldChar w:fldCharType="begin"/>
      <w:instrText xml:space="preserve">PAGE</w:instrText>
      <w:fldChar w:fldCharType="separate"/>
      <w:fldChar w:fldCharType="end"/>
    </w:r>
    <w:r>
      <w:rPr>
        <w:rFonts w:ascii="Arial" w:cs="Arial" w:eastAsia="Arial" w:hAnsi="Arial"/>
        <w:b w:val="false"/>
        <w:bCs w:val="false"/>
        <w:caps w:val="false"/>
        <w:color w:val="595959"/>
        <w:sz w:val="15"/>
        <w:szCs w:val="15"/>
      </w:rPr>
      <w:t xml:space="preserve">  •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6"/>
      </w:pBdr>
      <w:tabs>
        <w:tab w:val="right" w:pos="9360"/>
      </w:tabs>
      <w:spacing w:after="0"/>
    </w:pPr>
    <w:r>
      <w:rPr>
        <w:rFonts w:ascii="Arial" w:cs="Arial" w:eastAsia="Arial" w:hAnsi="Arial"/>
        <w:b/>
        <w:bCs/>
        <w:caps/>
        <w:color w:val="0D1B4B"/>
        <w:spacing w:val="20"/>
        <w:sz w:val="15"/>
        <w:szCs w:val="15"/>
      </w:rPr>
      <w:t xml:space="preserve">PROJECT SPECIFICATION</w:t>
    </w:r>
    <w:r>
      <w:rPr>
        <w:rFonts w:ascii="Arial" w:cs="Arial" w:eastAsia="Arial" w:hAnsi="Arial"/>
        <w:color w:val="595959"/>
        <w:sz w:val="15"/>
        <w:szCs w:val="15"/>
      </w:rPr>
      <w:t xml:space="preserve">	Phase-Wise Delivery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40"/>
      <w:outlineLvl w:val="0"/>
    </w:pPr>
    <w:rPr>
      <w:rFonts w:ascii="Arial" w:cs="Arial" w:eastAsia="Arial" w:hAnsi="Arial"/>
      <w:b/>
      <w:bCs/>
      <w:color w:val="0D1B4B"/>
      <w:sz w:val="30"/>
      <w:szCs w:val="30"/>
    </w:rPr>
  </w:style>
  <w:style w:type="paragraph" w:styleId="Heading2">
    <w:name w:val="Heading 2"/>
    <w:basedOn w:val="Normal"/>
    <w:next w:val="Normal"/>
    <w:qFormat/>
    <w:pPr>
      <w:spacing w:after="80" w:before="200"/>
      <w:outlineLvl w:val="1"/>
    </w:pPr>
    <w:rPr>
      <w:rFonts w:ascii="Arial" w:cs="Arial" w:eastAsia="Arial" w:hAnsi="Arial"/>
      <w:b/>
      <w:bCs/>
      <w:color w:val="0D1B4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WhatsApp Payments Platform — Project Specification (Phase-Wise)</dc:title>
  <dc:creator>Strategy &amp; Product</dc:creator>
  <cp:lastModifiedBy>Un-named</cp:lastModifiedBy>
  <cp:revision>1</cp:revision>
  <dcterms:created xsi:type="dcterms:W3CDTF">2026-06-02T22:09:13.711Z</dcterms:created>
  <dcterms:modified xsi:type="dcterms:W3CDTF">2026-06-02T22:09:13.724Z</dcterms:modified>
</cp:coreProperties>
</file>

<file path=docProps/custom.xml><?xml version="1.0" encoding="utf-8"?>
<Properties xmlns="http://schemas.openxmlformats.org/officeDocument/2006/custom-properties" xmlns:vt="http://schemas.openxmlformats.org/officeDocument/2006/docPropsVTypes"/>
</file>