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6400"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The Naive Approach, also known as Naive Bayes, is a simple and fast classification algorithm based on Bayes' theorem. It assumes that the features are independent of each other given the class labels.</w:t>
      </w:r>
    </w:p>
    <w:p w14:paraId="51B80F44"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The Naive Approach assumes feature independence, meaning that the presence or absence of a particular feature does not affect the presence or absence of any other feature in the dataset.</w:t>
      </w:r>
    </w:p>
    <w:p w14:paraId="1D2E978B"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The Naive Approach handles missing values by ignoring them during the probability calculations. This means that if a feature has a missing value, it is not considered when calculating the probability of a certain class label.</w:t>
      </w:r>
    </w:p>
    <w:p w14:paraId="1F78824B"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Advantages of the Naive Approach include its simplicity, scalability, and efficiency. It performs well with high-dimensional datasets and can handle both categorical and numerical features. However, it has limitations, such as the strong assumption of feature independence, which may not hold in some cases.</w:t>
      </w:r>
    </w:p>
    <w:p w14:paraId="6D2B4611"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The Naive Approach is primarily used for classification problems. While it is not directly applicable to regression problems, it can be used indirectly by discretizing the target variable into bins and treating it as a classification problem.</w:t>
      </w:r>
    </w:p>
    <w:p w14:paraId="302BFDAD"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Categorical features in the Naive Approach are handled by calculating the conditional probabilities of each class given the categorical feature values. The approach assumes that the feature values are independent of each other within each class.</w:t>
      </w:r>
    </w:p>
    <w:p w14:paraId="22AFA74C"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Laplace smoothing, also known as additive smoothing, is used in the Naive Approach to address the issue of zero probabilities. It adds a small constant value to all feature probabilities, even for unseen feature values, to avoid the problem of zero probabilities.</w:t>
      </w:r>
    </w:p>
    <w:p w14:paraId="47B1D318"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The choice of probability threshold in the Naive Approach depends on the specific problem and the trade-off between precision and recall. It can be determined using techniques such as ROC analysis or by considering the relative costs of false positives and false negatives.</w:t>
      </w:r>
    </w:p>
    <w:p w14:paraId="0BFC1A50"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The Naive Approach can be applied in various scenarios, such as text classification (spam filtering, sentiment analysis), document categorization, recommendation systems, and disease diagnosis.</w:t>
      </w:r>
    </w:p>
    <w:p w14:paraId="618A1353"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lastRenderedPageBreak/>
        <w:t>The K-Nearest Neighbors (KNN) algorithm is a non-parametric and instance-based machine learning algorithm used for both classification and regression tasks. It predicts the class or value of a data point based on its k nearest neighbors in the feature space.</w:t>
      </w:r>
    </w:p>
    <w:p w14:paraId="09145410"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The KNN algorithm works by calculating the distances between a given data point and all other data points in the training set. It selects the k nearest neighbors and assigns the majority class or the average value of those neighbors as the prediction for the new data point.</w:t>
      </w:r>
    </w:p>
    <w:p w14:paraId="6BE9956B"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The value of K in KNN is chosen by considering the bias-variance trade-off. A smaller value of K can lead to a more flexible and less biased model, but it may also be sensitive to noise. A larger value of K can provide a smoother decision boundary but may introduce more bias.</w:t>
      </w:r>
    </w:p>
    <w:p w14:paraId="7B161F21"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Advantages of the KNN algorithm include simplicity, versatility, and the ability to handle both classification and regression problems. However, it can be computationally expensive for large datasets and is sensitive to the choice of distance metric.</w:t>
      </w:r>
    </w:p>
    <w:p w14:paraId="1AB53F89"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The choice of distance metric in KNN can significantly affect the performance of the algorithm. Common distance metrics include Euclidean distance, Manhattan distance, and cosine similarity. The choice depends on the nature of the data and the problem at hand.</w:t>
      </w:r>
    </w:p>
    <w:p w14:paraId="365318B4"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KNN can handle imbalanced datasets by using techniques such as weighted voting, where the neighbors' votes are weighted based on their distances. This gives more importance to the neighbors of the minority class, thus reducing the impact of class imbalance.</w:t>
      </w:r>
    </w:p>
    <w:p w14:paraId="2CE77221"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Categorical features in KNN are typically handled by transforming them into numerical representations, such as one-hot encoding. This allows the algorithm to calculate distances between categorical feature values.</w:t>
      </w:r>
    </w:p>
    <w:p w14:paraId="4612336E"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Some techniques for improving the efficiency of KNN include using data structures like KD-trees or ball trees for faster nearest neighbor search, dimensionality reduction techniques to reduce the feature space, and pruning techniques to eliminate irrelevant or redundant features.</w:t>
      </w:r>
    </w:p>
    <w:p w14:paraId="434BDBD3"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lastRenderedPageBreak/>
        <w:t>KNN can be applied in scenarios such as recommendation systems, image recognition, anomaly detection, and document clustering.</w:t>
      </w:r>
    </w:p>
    <w:p w14:paraId="503D17D3"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 xml:space="preserve">Clustering is </w:t>
      </w:r>
      <w:proofErr w:type="gramStart"/>
      <w:r w:rsidRPr="00893D22">
        <w:rPr>
          <w:rFonts w:ascii="Abadi" w:hAnsi="Abadi"/>
          <w:sz w:val="24"/>
          <w:szCs w:val="24"/>
        </w:rPr>
        <w:t>a</w:t>
      </w:r>
      <w:proofErr w:type="gramEnd"/>
      <w:r w:rsidRPr="00893D22">
        <w:rPr>
          <w:rFonts w:ascii="Abadi" w:hAnsi="Abadi"/>
          <w:sz w:val="24"/>
          <w:szCs w:val="24"/>
        </w:rPr>
        <w:t xml:space="preserve"> unsupervised machine learning technique used to group similar data points together based on their similarities or distances in the feature space. It aims to discover hidden patterns or structures in the data.</w:t>
      </w:r>
    </w:p>
    <w:p w14:paraId="52C7E240"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Hierarchical clustering builds a hierarchy of clusters by iteratively merging or splitting clusters based on certain criteria. K-means clustering partitions the data into a pre-defined number of non-overlapping clusters by minimizing the within-cluster sum of squares.</w:t>
      </w:r>
    </w:p>
    <w:p w14:paraId="593FA0F8"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The optimal number of clusters in k-means clustering can be determined using techniques like the elbow method, silhouette analysis, or gap statistic. These methods evaluate the clustering performance for different numbers of clusters and identify the best one.</w:t>
      </w:r>
    </w:p>
    <w:p w14:paraId="790F1D43"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Common distance metrics used in clustering include Euclidean distance, Manhattan distance, cosine similarity, and Jaccard similarity, depending on the type of data and the problem at hand.</w:t>
      </w:r>
    </w:p>
    <w:p w14:paraId="53E28501"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Categorical features in clustering can be handled by transforming them into numerical representations, such as one-hot encoding, and incorporating them into the distance calculations.</w:t>
      </w:r>
    </w:p>
    <w:p w14:paraId="34156655"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Advantages of hierarchical clustering include its ability to produce a hierarchy of clusters, which can provide additional insights. However, it can be computationally expensive for large datasets and is sensitive to the choice of distance metric and linkage method.</w:t>
      </w:r>
    </w:p>
    <w:p w14:paraId="3403A518"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The silhouette score measures the compactness and separation of clusters. It ranges from -1 to 1, where values closer to 1 indicate well-separated clusters, values close to 0 indicate overlapping clusters, and negative values indicate misclassified or poorly separated clusters.</w:t>
      </w:r>
    </w:p>
    <w:p w14:paraId="0AE157DF"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Clustering can be applied in scenarios such as customer segmentation, image segmentation, document clustering, and anomaly detection.</w:t>
      </w:r>
    </w:p>
    <w:p w14:paraId="01F4CACD"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Anomaly detection is the task of identifying rare and unusual instances or patterns in a dataset that deviate significantly from the norm or expected behavior.</w:t>
      </w:r>
    </w:p>
    <w:p w14:paraId="2714C436"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lastRenderedPageBreak/>
        <w:t>Supervised anomaly detection requires labeled examples of normal and anomalous instances for training. Unsupervised anomaly detection identifies anomalies without prior knowledge of anomalous instances and relies on the assumption that anomalies are rare.</w:t>
      </w:r>
    </w:p>
    <w:p w14:paraId="62B805C3"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Some common techniques used for anomaly detection include statistical methods (e.g., Gaussian distribution modeling), distance-based methods (e.g., KNN-based outlier detection), density-based methods (e.g., DBSCAN), and machine learning-based methods (e.g., One-Class SVM).</w:t>
      </w:r>
    </w:p>
    <w:p w14:paraId="48C1F8E2"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The One-Class SVM algorithm creates a hyperplane that encapsulates the normal instances and aims to maximize the margin while minimizing the number of data points on the wrong side of the hyperplane. It detects anomalies as instances lying outside the hyperplane.</w:t>
      </w:r>
    </w:p>
    <w:p w14:paraId="5475D748"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The appropriate threshold for anomaly detection depends on the desired trade-off between false positives and false negatives. It can be chosen based on domain knowledge, analyzing the ROC curve, or optimizing a specific evaluation metric.</w:t>
      </w:r>
    </w:p>
    <w:p w14:paraId="47D0D58C"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Imbalanced datasets in anomaly detection can be handled by adjusting the anomaly detection threshold based on the desired level of anomaly detection sensitivity or by using techniques like oversampling the minority class or incorporating cost-sensitive learning.</w:t>
      </w:r>
    </w:p>
    <w:p w14:paraId="319D4762"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Anomaly detection can be applied in various scenarios such as fraud detection, network intrusion detection, equipment failure prediction, and medical diagnosis.</w:t>
      </w:r>
    </w:p>
    <w:p w14:paraId="79C8472D"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Dimension reduction is the process of reducing the number of input features in a dataset while preserving its relevant information. It helps in reducing the complexity of the data, removing noise, and improving computational efficiency.</w:t>
      </w:r>
    </w:p>
    <w:p w14:paraId="135F7B9E"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Feature selection involves selecting a subset of the most informative features from the original set, while feature extraction creates new features by transforming the original features into a lower-dimensional space.</w:t>
      </w:r>
    </w:p>
    <w:p w14:paraId="51161006"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Principal Component Analysis (PCA) is a widely used dimension reduction technique. It identifies the directions (principal components) in the feature space that capture the maximum variance in the data. These components are then used to create a lower-dimensional representation of the data.</w:t>
      </w:r>
    </w:p>
    <w:p w14:paraId="567195CA"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lastRenderedPageBreak/>
        <w:t>The number of components in PCA is chosen based on the amount of variance explained by each component. It can be determined by analyzing the scree plot or considering a threshold for the cumulative explained variance.</w:t>
      </w:r>
    </w:p>
    <w:p w14:paraId="5E8C3787"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Some other dimension reduction techniques besides PCA include Linear Discriminant Analysis (LDA), Non-Negative Matrix Factorization (NMF), t-Distributed Stochastic Neighbor Embedding (t-SNE), and Autoencoders.</w:t>
      </w:r>
    </w:p>
    <w:p w14:paraId="443B2B61"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Dimension reduction can be applied in scenarios such as visualization, feature engineering, data compression, and improving the performance of machine learning models.</w:t>
      </w:r>
    </w:p>
    <w:p w14:paraId="2CFC1350"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Feature selection is the process of selecting a subset of relevant features from the original set based on certain criteria, such as their importance, relevance, or predictive power.</w:t>
      </w:r>
    </w:p>
    <w:p w14:paraId="5D7DAD31"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Filter methods select features based on their statistical properties, wrapper methods use a specific machine learning algorithm to evaluate subsets of features, and embedded methods incorporate feature selection within the learning algorithm itself.</w:t>
      </w:r>
    </w:p>
    <w:p w14:paraId="396A156E"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Correlation-based feature selection evaluates the correlation between each feature and the target variable. It selects the features with the highest correlation or uses statistical tests to assess the significance of the relationship.</w:t>
      </w:r>
    </w:p>
    <w:p w14:paraId="35C4F4A1"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Multicollinearity in feature selection can be handled by techniques such as variance inflation factor (VIF) analysis or using regularization methods like L1 regularization (LASSO) or L2 regularization (Ridge regression).</w:t>
      </w:r>
    </w:p>
    <w:p w14:paraId="5FE98BE5"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Common feature selection metrics include mutual information, chi-squared test, information gain, correlation coefficient, and p-values from statistical tests.</w:t>
      </w:r>
    </w:p>
    <w:p w14:paraId="1DA8AE01"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Feature selection can be applied in scenarios such as improving model interpretability, reducing overfitting, removing irrelevant features, and enhancing model performance on high-dimensional datasets.</w:t>
      </w:r>
    </w:p>
    <w:p w14:paraId="6B281FB9"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Data drift refers to the phenomenon where the statistical properties of the data change over time, leading to a degradation in the performance of machine learning models trained on the data.</w:t>
      </w:r>
    </w:p>
    <w:p w14:paraId="7D55E15B"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lastRenderedPageBreak/>
        <w:t>Data drift detection is important because it helps identify when the model's assumptions no longer hold and allows for adaptation or retraining to maintain model performance.</w:t>
      </w:r>
    </w:p>
    <w:p w14:paraId="62B368A7"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Concept drift refers to changes in the underlying data distribution, such as changes in the relationship between the input features and the target variable. Feature drift refers to changes in the statistical properties of the input features while the relationship with the target remains the same.</w:t>
      </w:r>
    </w:p>
    <w:p w14:paraId="17C2AD9B"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Techniques for detecting data drift include statistical tests, monitoring performance metrics, tracking feature or target distributions, and using specialized algorithms like change point detection or drift detection algorithms.</w:t>
      </w:r>
    </w:p>
    <w:p w14:paraId="228ACC1B"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Data drift in a machine learning model can be handled by retraining the model periodically on updated data, using online learning techniques, monitoring performance metrics for drift detection, or applying adaptive algorithms that can self-adjust to changing data.</w:t>
      </w:r>
    </w:p>
    <w:p w14:paraId="41C4F582"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Data leakage refers to the situation where information from the future or from outside the training data is used in the model construction process, leading to overly optimistic performance estimates and potentially misleading results.</w:t>
      </w:r>
    </w:p>
    <w:p w14:paraId="3C0B63EE"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Data leakage is a concern because it can result in models that do not generalize well to new data, leading to poor performance in real-world scenarios.</w:t>
      </w:r>
    </w:p>
    <w:p w14:paraId="1C0563ED"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Target leakage occurs when information that is not available during model deployment is used in the training process, while train-test contamination refers to using data from the test set in the model training or validation process.</w:t>
      </w:r>
    </w:p>
    <w:p w14:paraId="15D732FF"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Data leakage can be identified and prevented by carefully examining the data and the feature engineering process, using proper cross-validation techniques, creating a proper temporal split in time-series data, and following best practices in feature engineering and preprocessing.</w:t>
      </w:r>
    </w:p>
    <w:p w14:paraId="7BCC2771"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Common sources of data leakage include using future information, data snooping, including identifiers or unique data points as features, and improperly handling time-dependent data.</w:t>
      </w:r>
    </w:p>
    <w:p w14:paraId="62120CD7"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An example scenario where data leakage can occur is in credit risk modeling, where including information about the future default status of loans in the model training would result in overly optimistic performance estimates.</w:t>
      </w:r>
    </w:p>
    <w:p w14:paraId="6983786F"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lastRenderedPageBreak/>
        <w:t>Cross-validation is a resampling technique used to assess the performance and generalization capability of a machine learning model. It involves splitting the data into multiple subsets for training and evaluation purposes.</w:t>
      </w:r>
    </w:p>
    <w:p w14:paraId="73B01C7A"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Cross-validation is important because it provides a more robust estimate of the model's performance by evaluating it on different subsets of the data, helping to detect overfitting and providing insights into its generalization ability.</w:t>
      </w:r>
    </w:p>
    <w:p w14:paraId="46417293"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K-fold cross-validation divides the data into K equal-sized folds and iteratively trains and evaluates the model K times, using each fold as the validation set once. Stratified k-fold cross-validation ensures that each fold maintains the same class distribution as the original data.</w:t>
      </w:r>
    </w:p>
    <w:p w14:paraId="57D54DCA" w14:textId="77777777" w:rsidR="00893D22" w:rsidRPr="00893D22" w:rsidRDefault="00893D22" w:rsidP="00893D22">
      <w:pPr>
        <w:pStyle w:val="ListParagraph"/>
        <w:numPr>
          <w:ilvl w:val="0"/>
          <w:numId w:val="3"/>
        </w:numPr>
        <w:spacing w:line="360" w:lineRule="auto"/>
        <w:rPr>
          <w:rFonts w:ascii="Abadi" w:hAnsi="Abadi"/>
          <w:sz w:val="24"/>
          <w:szCs w:val="24"/>
        </w:rPr>
      </w:pPr>
      <w:r w:rsidRPr="00893D22">
        <w:rPr>
          <w:rFonts w:ascii="Abadi" w:hAnsi="Abadi"/>
          <w:sz w:val="24"/>
          <w:szCs w:val="24"/>
        </w:rPr>
        <w:t>The interpretation of cross-validation results depends on the specific evaluation metric used, such as accuracy, precision, recall, F1-score, or mean squared error (MSE). It helps assess the model's performance, compare different models or algorithms, and tune hyperparameters.</w:t>
      </w:r>
    </w:p>
    <w:p w14:paraId="5B918717" w14:textId="0B30DB97" w:rsidR="009C6D3C" w:rsidRPr="00893D22" w:rsidRDefault="00893D22" w:rsidP="00893D22">
      <w:pPr>
        <w:spacing w:line="360" w:lineRule="auto"/>
        <w:rPr>
          <w:rFonts w:ascii="Abadi" w:hAnsi="Abadi"/>
          <w:sz w:val="24"/>
          <w:szCs w:val="24"/>
        </w:rPr>
      </w:pPr>
    </w:p>
    <w:sectPr w:rsidR="009C6D3C" w:rsidRPr="00893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61B7C" w14:textId="77777777" w:rsidR="00893D22" w:rsidRDefault="00893D22" w:rsidP="00893D22">
      <w:pPr>
        <w:spacing w:after="0" w:line="240" w:lineRule="auto"/>
      </w:pPr>
      <w:r>
        <w:separator/>
      </w:r>
    </w:p>
  </w:endnote>
  <w:endnote w:type="continuationSeparator" w:id="0">
    <w:p w14:paraId="2C83BA9F" w14:textId="77777777" w:rsidR="00893D22" w:rsidRDefault="00893D22" w:rsidP="00893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7C3FF" w14:textId="77777777" w:rsidR="00893D22" w:rsidRDefault="00893D22" w:rsidP="00893D22">
      <w:pPr>
        <w:spacing w:after="0" w:line="240" w:lineRule="auto"/>
      </w:pPr>
      <w:r>
        <w:separator/>
      </w:r>
    </w:p>
  </w:footnote>
  <w:footnote w:type="continuationSeparator" w:id="0">
    <w:p w14:paraId="6A28190E" w14:textId="77777777" w:rsidR="00893D22" w:rsidRDefault="00893D22" w:rsidP="00893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D7D09"/>
    <w:multiLevelType w:val="multilevel"/>
    <w:tmpl w:val="E618C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4C3097"/>
    <w:multiLevelType w:val="multilevel"/>
    <w:tmpl w:val="E618C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344641"/>
    <w:multiLevelType w:val="multilevel"/>
    <w:tmpl w:val="DFDA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368244">
    <w:abstractNumId w:val="2"/>
  </w:num>
  <w:num w:numId="2" w16cid:durableId="1295141425">
    <w:abstractNumId w:val="1"/>
  </w:num>
  <w:num w:numId="3" w16cid:durableId="68748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22"/>
    <w:rsid w:val="0088775C"/>
    <w:rsid w:val="00893D22"/>
    <w:rsid w:val="0097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C5CDE"/>
  <w15:chartTrackingRefBased/>
  <w15:docId w15:val="{810E7ED8-9762-4D10-AEF8-35AB4439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D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3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17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450C2-D6AE-4296-B141-189932B67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2067</Words>
  <Characters>11787</Characters>
  <Application>Microsoft Office Word</Application>
  <DocSecurity>0</DocSecurity>
  <Lines>98</Lines>
  <Paragraphs>27</Paragraphs>
  <ScaleCrop>false</ScaleCrop>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Swati</dc:creator>
  <cp:keywords/>
  <dc:description/>
  <cp:lastModifiedBy>Sharma, Swati</cp:lastModifiedBy>
  <cp:revision>1</cp:revision>
  <dcterms:created xsi:type="dcterms:W3CDTF">2023-07-14T16:07:00Z</dcterms:created>
  <dcterms:modified xsi:type="dcterms:W3CDTF">2023-07-14T16:12:00Z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608b1d-a8c6-4d15-8d70-1c8023f30311_Enabled">
    <vt:lpwstr>true</vt:lpwstr>
  </property>
  <property fmtid="{D5CDD505-2E9C-101B-9397-08002B2CF9AE}" pid="3" name="MSIP_Label_e3608b1d-a8c6-4d15-8d70-1c8023f30311_SetDate">
    <vt:lpwstr>2023-07-14T16:11:35Z</vt:lpwstr>
  </property>
  <property fmtid="{D5CDD505-2E9C-101B-9397-08002B2CF9AE}" pid="4" name="MSIP_Label_e3608b1d-a8c6-4d15-8d70-1c8023f30311_Method">
    <vt:lpwstr>Privileged</vt:lpwstr>
  </property>
  <property fmtid="{D5CDD505-2E9C-101B-9397-08002B2CF9AE}" pid="5" name="MSIP_Label_e3608b1d-a8c6-4d15-8d70-1c8023f30311_Name">
    <vt:lpwstr>Public</vt:lpwstr>
  </property>
  <property fmtid="{D5CDD505-2E9C-101B-9397-08002B2CF9AE}" pid="6" name="MSIP_Label_e3608b1d-a8c6-4d15-8d70-1c8023f30311_SiteId">
    <vt:lpwstr>53b7cac7-14be-46d4-be43-f2ad9244d901</vt:lpwstr>
  </property>
  <property fmtid="{D5CDD505-2E9C-101B-9397-08002B2CF9AE}" pid="7" name="MSIP_Label_e3608b1d-a8c6-4d15-8d70-1c8023f30311_ActionId">
    <vt:lpwstr>3952ca7d-c113-4a02-be3d-51ae3bc32463</vt:lpwstr>
  </property>
  <property fmtid="{D5CDD505-2E9C-101B-9397-08002B2CF9AE}" pid="8" name="MSIP_Label_e3608b1d-a8c6-4d15-8d70-1c8023f30311_ContentBits">
    <vt:lpwstr>0</vt:lpwstr>
  </property>
</Properties>
</file>