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ELENDIF solves the time-dependent Boltzmann transport equation in terms of the electron number density . By finite-differencing the electron energy axis , the Boltzmann equation is transformed into a finite set of coupled differential equations for the electron number density at each energy grid as a function of time . The matrix of densities is then evolved forward in time using a combination of explicit and implicit methods . The electron energy distribution is then convolved with the cross section to provide the transport coefficients , collisional rates and energy flow rates .</w:t>
      </w:r>
    </w:p>
    <w:p>
      <w:pPr>
        <w:pStyle w:val="Compact"/>
        <w:numPr>
          <w:ilvl w:val="0"/>
          <w:numId w:val="1001"/>
        </w:numPr>
      </w:pPr>
      <w:r>
        <w:t xml:space="preserve">The exchange interaction in the superconductor is the sum of the exchange interaction from the ferromagnetic regions , which has a phase and magnitude that depends upon the direction that the ferromagnet is magnetised and the distance . As the exchange interaction has a phase it is possible that the contribution from two regions will cancel out . The exchange interaction , which can be viewed as an imbalance in the spin populations , suppresses superconductivity so any reduction in the exchange interaction will increase the superconducting transition temperature ( Tc ) of the heterostructure . Thus by changing the magnetisation of the ferromagnetic regions it is possible to control the exchange interaction in the superconductor .</w:t>
      </w:r>
    </w:p>
    <w:p>
      <w:pPr>
        <w:pStyle w:val="Compact"/>
        <w:numPr>
          <w:ilvl w:val="0"/>
          <w:numId w:val="1001"/>
        </w:numPr>
      </w:pPr>
      <w:r>
        <w:t xml:space="preserve">The problem treated is the analysis of the effect , on the detected AC signals , of imperfections in and misalignment of the optical components of a polarization-modulation ellipsometer . This permits correction of the values of psi and delta ( characteristics of the sample surface ) for systematic error , estimation of the uncertainty in the final result , and identification of the most significant sources of experimental error . Solution method : The transmitted amplitude vector is computer using the Jones matrices of the individual components . The modified Jones matrices introduced by O ' Handley are used to separate the DC and AC components of the detected intensity .</w:t>
      </w:r>
    </w:p>
    <w:p>
      <w:pPr>
        <w:pStyle w:val="Compact"/>
        <w:numPr>
          <w:ilvl w:val="0"/>
          <w:numId w:val="1001"/>
        </w:numPr>
      </w:pPr>
      <w:r>
        <w:t xml:space="preserve">Geophysical survey data from archaeological sites is now widely used in prospecting and evaluating archaeological sites prior to more detailed investigation such as excavation . Visual inspection of geophysical data can reveal much about the organizational structure , form and extent of the archaeological site . However , information contained in such images potentially contains a rich , currently untapped , source of information about the physical nature and depth of buildings and ditch structures . To access this information requires application of reconstruction and modeling methods to able to build a realistic 3-dimensional model of the sub-surface features . Such modeling from geophysical images would provide the next generation of archaeologists with detailed structural information prior to potential excavation . A substantive part of this will include utilization of new image-processing reconstruction techniques , with ground-truth data from physical properties of site materials . The student undertaking this research should have a numerate background in a physical science , good mathematical ability and experience of programming ( or willingness to learn ) .</w:t>
      </w:r>
    </w:p>
    <w:p>
      <w:pPr>
        <w:pStyle w:val="Compact"/>
        <w:numPr>
          <w:ilvl w:val="0"/>
          <w:numId w:val="1001"/>
        </w:numPr>
      </w:pPr>
      <w:r>
        <w:t xml:space="preserve">It is widely accepted that oncogenic mutations in stem cells are responsible for driving the development of epidermal tumours . Nevertheless , there is growing evidence that non-dividing cells that are undergoing differentiation can play a role in determining whether an epidermal tumour will progress or regress . In addition , communication between epidermal cells and cells of the immune system can affect tumour formation . In my talk I will discuss some of the mechanisms by which differentiated cells can influence squamous cell carcinoma formation 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2026-04-17T16:03:19Z</dcterms:created>
  <dcterms:modified xsi:type="dcterms:W3CDTF">2026-04-17T16:03:19Z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