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mpact"/>
        <w:numPr>
          <w:ilvl w:val="0"/>
          <w:numId w:val="1001"/>
        </w:numPr>
      </w:pPr>
      <w:r>
        <w:t xml:space="preserve">An Act to establish a Ministry of Health and Local Government for Northern Ireland ; to abolish the Ministry of Public Security for Northern Ireland ; to make further provision with respect to the assignment and transfer of functions of Government departments</w:t>
      </w:r>
    </w:p>
    <w:p>
      <w:pPr>
        <w:pStyle w:val="Compact"/>
        <w:numPr>
          <w:ilvl w:val="0"/>
          <w:numId w:val="1001"/>
        </w:numPr>
      </w:pPr>
      <w:r>
        <w:t xml:space="preserve">Notwithstanding anything in section 19 of the Commons Act 1876 a scheme for the administration of a fuel allotment ( within the meaning of the foregoing paragraph ) may provide - ( a ) for the sale or letting of the allotment or any part thereof , for the discharge of the land sold or let from any restrictions as to the use thereof imposed by or under any enactment relating to inclosure and for the application of the sums payable to the trustees of the allotment in respect of the sale or lease ; or ( b ) for the exchange of the allotment or any part thereof for other land , for the discharge as aforesaid of the land given in exchange by the said trustees , and for the application of any money payable to the said trustees for equality of exchange ; or ( c ) for the use of the allotment or any part thereof for any purposes specified in the scheme .</w:t>
      </w:r>
    </w:p>
    <w:p>
      <w:pPr>
        <w:pStyle w:val="Compact"/>
        <w:numPr>
          <w:ilvl w:val="0"/>
          <w:numId w:val="1001"/>
        </w:numPr>
      </w:pPr>
      <w:r>
        <w:t xml:space="preserve">Acknowledging that the Global Environment Facility , as an operating entity of the financial mechanism of the Convention , has agreed to fund , and has approved the funds for , the preparation of national communications , and has agreed on the Operational Procedures for Expedited Financing of National Communications from non-Annex I Parties , Invites Parties not included in Annex I to the Convention ( non-Annex I Parties ) that have not prepared project proposals for the financing of second and , where appropriate , third national communications to do so , even in advance of substantially completing their previous national communications , in order to avoid a lack of continuity in project financing ; Decides that non-Annex I Parties that have submitted their national communications should apply for the financing of their subsequent national communications at any time between three to five years of the initial disbursement of financial resources for the actual preparation of their previous national communications , except for those Parties that had this initial disbursement for the previous national communication more than five years ago</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2026-04-17T16:04:39Z</dcterms:created>
  <dcterms:modified xsi:type="dcterms:W3CDTF">2026-04-17T16:04:39Z</dcterms:modified>
</cp:coreProperties>
</file>

<file path=docProps/custom.xml><?xml version="1.0" encoding="utf-8"?>
<Properties xmlns="http://schemas.openxmlformats.org/officeDocument/2006/custom-properties" xmlns:vt="http://schemas.openxmlformats.org/officeDocument/2006/docPropsVTypes"/>
</file>