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985CF3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7304C9" w:rsidRPr="00985CF3" w:rsidRDefault="007304C9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7304C9" w:rsidRPr="00416DC0" w:rsidRDefault="00416DC0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sz w:val="32"/>
          <w:lang w:eastAsia="ru-RU"/>
        </w:rPr>
      </w:pPr>
      <w:r w:rsidRPr="00416DC0">
        <w:rPr>
          <w:rFonts w:eastAsia="Calibri" w:cs="Times New Roman"/>
          <w:color w:val="000000"/>
          <w:sz w:val="32"/>
          <w:lang w:eastAsia="ru-RU"/>
        </w:rPr>
        <w:t xml:space="preserve">Факультет </w:t>
      </w:r>
      <w:r>
        <w:rPr>
          <w:rFonts w:eastAsia="Calibri" w:cs="Times New Roman"/>
          <w:color w:val="000000"/>
          <w:sz w:val="32"/>
          <w:lang w:eastAsia="ru-RU"/>
        </w:rPr>
        <w:t xml:space="preserve">Инженерно-экономический   </w:t>
      </w:r>
      <w:r w:rsidRPr="00416DC0">
        <w:rPr>
          <w:rFonts w:eastAsia="Calibri" w:cs="Times New Roman"/>
          <w:color w:val="000000"/>
          <w:sz w:val="32"/>
          <w:lang w:eastAsia="ru-RU"/>
        </w:rPr>
        <w:t>Кафедра «Финансы и кредит»</w:t>
      </w:r>
    </w:p>
    <w:p w:rsidR="00730B48" w:rsidRDefault="00730B48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280FB4" w:rsidRDefault="00280FB4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</w:tblGrid>
      <w:tr w:rsidR="007304C9" w:rsidTr="00416DC0">
        <w:tc>
          <w:tcPr>
            <w:tcW w:w="5068" w:type="dxa"/>
            <w:vAlign w:val="center"/>
          </w:tcPr>
          <w:p w:rsidR="007304C9" w:rsidRDefault="007304C9" w:rsidP="00730B48">
            <w:pPr>
              <w:spacing w:line="240" w:lineRule="auto"/>
              <w:ind w:right="-1" w:firstLine="0"/>
              <w:jc w:val="center"/>
              <w:rPr>
                <w:color w:val="000000"/>
              </w:rPr>
            </w:pPr>
            <w:r w:rsidRPr="007304C9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ЗАЩИТЕ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ДОПУСТИТЬ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6A01DE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И.о</w:t>
            </w:r>
            <w:r w:rsidR="00F612A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з</w:t>
            </w:r>
            <w:r w:rsidR="007304C9" w:rsidRPr="00E940AE">
              <w:rPr>
                <w:color w:val="000000"/>
              </w:rPr>
              <w:t>ав.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кафедрой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«Финансы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и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кредит»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7304C9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______________Т.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Старостина</w:t>
            </w:r>
          </w:p>
        </w:tc>
      </w:tr>
      <w:tr w:rsidR="007304C9" w:rsidTr="00416DC0">
        <w:trPr>
          <w:trHeight w:val="418"/>
        </w:trPr>
        <w:tc>
          <w:tcPr>
            <w:tcW w:w="5068" w:type="dxa"/>
            <w:vAlign w:val="center"/>
          </w:tcPr>
          <w:p w:rsidR="007304C9" w:rsidRPr="00E940AE" w:rsidRDefault="007304C9" w:rsidP="009A1F03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«_____»____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202</w:t>
            </w:r>
            <w:r w:rsidR="009A1F03">
              <w:rPr>
                <w:color w:val="000000"/>
                <w:lang w:val="en-US"/>
              </w:rPr>
              <w:t>4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</w:p>
        </w:tc>
      </w:tr>
    </w:tbl>
    <w:p w:rsidR="007304C9" w:rsidRDefault="007304C9" w:rsidP="00416DC0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F612A6" w:rsidRDefault="00671501" w:rsidP="00F612A6">
      <w:pPr>
        <w:spacing w:after="3" w:line="276" w:lineRule="auto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F612A6">
        <w:rPr>
          <w:rFonts w:eastAsia="Calibri" w:cs="Times New Roman"/>
          <w:b/>
          <w:color w:val="000000"/>
          <w:sz w:val="32"/>
          <w:lang w:eastAsia="ru-RU"/>
        </w:rPr>
        <w:t>МАГИСТЕРСКАЯ</w:t>
      </w:r>
      <w:r w:rsidR="00E572BF" w:rsidRPr="00F612A6">
        <w:rPr>
          <w:rFonts w:eastAsia="Calibri" w:cs="Times New Roman"/>
          <w:b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b/>
          <w:color w:val="000000"/>
          <w:sz w:val="32"/>
          <w:lang w:eastAsia="ru-RU"/>
        </w:rPr>
        <w:t>ДИССЕРТАЦИЯ</w:t>
      </w:r>
    </w:p>
    <w:p w:rsidR="00671501" w:rsidRPr="00F612A6" w:rsidRDefault="003E0FDF" w:rsidP="009A1F03">
      <w:pPr>
        <w:spacing w:before="240" w:after="240" w:line="276" w:lineRule="auto"/>
        <w:ind w:right="-1" w:firstLine="0"/>
        <w:jc w:val="center"/>
        <w:rPr>
          <w:rFonts w:eastAsia="Calibri" w:cs="Times New Roman"/>
          <w:color w:val="000000"/>
          <w:sz w:val="32"/>
          <w:lang w:eastAsia="ru-RU"/>
        </w:rPr>
      </w:pPr>
      <w:r w:rsidRPr="00F612A6">
        <w:rPr>
          <w:rFonts w:eastAsia="Calibri" w:cs="Times New Roman"/>
          <w:color w:val="000000"/>
          <w:sz w:val="32"/>
          <w:lang w:eastAsia="ru-RU"/>
        </w:rPr>
        <w:t>Искусственный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интеллект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анали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з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больших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данных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проведении</w:t>
      </w:r>
      <w:r w:rsidR="0034641B" w:rsidRPr="00F612A6">
        <w:rPr>
          <w:rFonts w:eastAsia="Calibri" w:cs="Times New Roman"/>
          <w:color w:val="000000"/>
          <w:sz w:val="32"/>
          <w:lang w:eastAsia="ru-RU"/>
        </w:rPr>
        <w:br/>
      </w:r>
      <w:r w:rsidRPr="00F612A6">
        <w:rPr>
          <w:rFonts w:eastAsia="Calibri" w:cs="Times New Roman"/>
          <w:color w:val="000000"/>
          <w:sz w:val="32"/>
          <w:lang w:eastAsia="ru-RU"/>
        </w:rPr>
        <w:t>анализа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банковской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деятельно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сти</w:t>
      </w:r>
      <w:r w:rsidR="007F6780">
        <w:rPr>
          <w:rFonts w:eastAsia="Calibri" w:cs="Times New Roman"/>
          <w:color w:val="000000"/>
          <w:sz w:val="32"/>
          <w:lang w:eastAsia="ru-RU"/>
        </w:rPr>
        <w:br/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(на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примере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АО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Банк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«</w:t>
      </w:r>
      <w:r w:rsidR="003D4050" w:rsidRPr="00F612A6">
        <w:rPr>
          <w:rFonts w:eastAsia="Calibri" w:cs="Times New Roman"/>
          <w:color w:val="000000"/>
          <w:sz w:val="32"/>
          <w:lang w:eastAsia="ru-RU"/>
        </w:rPr>
        <w:t>Венец»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)</w:t>
      </w:r>
    </w:p>
    <w:p w:rsidR="0034641B" w:rsidRPr="00671501" w:rsidRDefault="0034641B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260"/>
        <w:gridCol w:w="2659"/>
      </w:tblGrid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Обучающийся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after="3" w:line="276" w:lineRule="auto"/>
              <w:ind w:right="-1" w:firstLine="0"/>
              <w:jc w:val="center"/>
              <w:rPr>
                <w:color w:val="000000"/>
              </w:rPr>
            </w:pPr>
            <w:r w:rsidRPr="00175F6E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  <w:tr w:rsidR="006A01DE" w:rsidTr="00416DC0">
        <w:trPr>
          <w:trHeight w:val="737"/>
        </w:trPr>
        <w:tc>
          <w:tcPr>
            <w:tcW w:w="3652" w:type="dxa"/>
          </w:tcPr>
          <w:p w:rsidR="006A01DE" w:rsidRDefault="006A01DE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Направление</w:t>
            </w:r>
            <w:r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подготовки</w:t>
            </w:r>
          </w:p>
        </w:tc>
        <w:tc>
          <w:tcPr>
            <w:tcW w:w="5919" w:type="dxa"/>
            <w:gridSpan w:val="2"/>
          </w:tcPr>
          <w:p w:rsidR="006A01DE" w:rsidRDefault="006A01DE" w:rsidP="009E33AC">
            <w:pPr>
              <w:spacing w:line="276" w:lineRule="auto"/>
              <w:ind w:firstLine="318"/>
              <w:jc w:val="left"/>
            </w:pPr>
            <w:r w:rsidRPr="00175F6E">
              <w:rPr>
                <w:color w:val="000000"/>
              </w:rPr>
              <w:t>38.04.01</w:t>
            </w:r>
            <w:r>
              <w:rPr>
                <w:color w:val="000000"/>
              </w:rPr>
              <w:t xml:space="preserve"> </w:t>
            </w:r>
            <w:r w:rsidRPr="00175F6E">
              <w:rPr>
                <w:color w:val="000000"/>
              </w:rPr>
              <w:t>Экономика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ВКР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Рецензент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775CC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В. В. Воронина</w:t>
            </w:r>
          </w:p>
        </w:tc>
      </w:tr>
    </w:tbl>
    <w:p w:rsidR="00175F6E" w:rsidRDefault="00175F6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B317F7" w:rsidRDefault="00B317F7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416DC0" w:rsidRDefault="00416DC0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34281D" w:rsidRDefault="0034281D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89164E" w:rsidRDefault="0089164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Ульяновск</w:t>
      </w:r>
    </w:p>
    <w:p w:rsidR="00D80D98" w:rsidRDefault="00D80D98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2024</w:t>
      </w:r>
      <w:r>
        <w:rPr>
          <w:rFonts w:eastAsia="Calibri" w:cs="Times New Roman"/>
          <w:color w:val="000000"/>
          <w:lang w:eastAsia="ru-RU"/>
        </w:rPr>
        <w:br w:type="page"/>
      </w:r>
    </w:p>
    <w:p w:rsidR="0034281D" w:rsidRP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34281D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tbl>
      <w:tblPr>
        <w:tblStyle w:val="12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18"/>
      </w:tblGrid>
      <w:tr w:rsidR="0034281D" w:rsidRPr="007B4378" w:rsidTr="00C71986">
        <w:trPr>
          <w:trHeight w:val="457"/>
        </w:trPr>
        <w:tc>
          <w:tcPr>
            <w:tcW w:w="5529" w:type="dxa"/>
          </w:tcPr>
          <w:p w:rsidR="0034281D" w:rsidRPr="007B4378" w:rsidRDefault="0034281D" w:rsidP="007B4378">
            <w:pPr>
              <w:spacing w:line="240" w:lineRule="auto"/>
              <w:ind w:left="-103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Факультет Инженерно-экономический</w:t>
            </w:r>
          </w:p>
        </w:tc>
        <w:tc>
          <w:tcPr>
            <w:tcW w:w="4218" w:type="dxa"/>
          </w:tcPr>
          <w:p w:rsidR="0034281D" w:rsidRPr="007B4378" w:rsidRDefault="0034281D" w:rsidP="00A13742">
            <w:pPr>
              <w:spacing w:line="240" w:lineRule="auto"/>
              <w:ind w:left="-248" w:right="-5" w:firstLine="143"/>
              <w:jc w:val="righ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Кафедра «Финансы и кредит»</w:t>
            </w:r>
          </w:p>
        </w:tc>
      </w:tr>
    </w:tbl>
    <w:tbl>
      <w:tblPr>
        <w:tblStyle w:val="ae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919"/>
      </w:tblGrid>
      <w:tr w:rsidR="00A53203" w:rsidRPr="007B4378" w:rsidTr="007B4378">
        <w:trPr>
          <w:trHeight w:val="436"/>
        </w:trPr>
        <w:tc>
          <w:tcPr>
            <w:tcW w:w="3828" w:type="dxa"/>
            <w:vAlign w:val="center"/>
          </w:tcPr>
          <w:p w:rsidR="00A53203" w:rsidRPr="007B4378" w:rsidRDefault="00A53203" w:rsidP="00A13742">
            <w:pPr>
              <w:spacing w:line="240" w:lineRule="auto"/>
              <w:ind w:left="-109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Направление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Pr="007B4378">
              <w:rPr>
                <w:color w:val="000000"/>
                <w:sz w:val="32"/>
                <w:szCs w:val="28"/>
              </w:rPr>
              <w:t>подготовки</w:t>
            </w:r>
          </w:p>
        </w:tc>
        <w:tc>
          <w:tcPr>
            <w:tcW w:w="5919" w:type="dxa"/>
            <w:vAlign w:val="center"/>
          </w:tcPr>
          <w:p w:rsidR="00A53203" w:rsidRPr="007B4378" w:rsidRDefault="00A53203" w:rsidP="00A13742">
            <w:pPr>
              <w:spacing w:line="240" w:lineRule="auto"/>
              <w:ind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38.04.01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="006B4340" w:rsidRPr="007B4378">
              <w:rPr>
                <w:color w:val="000000"/>
                <w:sz w:val="32"/>
                <w:szCs w:val="28"/>
              </w:rPr>
              <w:t>«</w:t>
            </w:r>
            <w:r w:rsidRPr="007B4378">
              <w:rPr>
                <w:color w:val="000000"/>
                <w:sz w:val="32"/>
                <w:szCs w:val="28"/>
              </w:rPr>
              <w:t>Экономика</w:t>
            </w:r>
            <w:r w:rsidR="006B4340" w:rsidRPr="007B4378">
              <w:rPr>
                <w:color w:val="000000"/>
                <w:sz w:val="32"/>
                <w:szCs w:val="28"/>
              </w:rPr>
              <w:t>»</w:t>
            </w:r>
          </w:p>
        </w:tc>
      </w:tr>
    </w:tbl>
    <w:p w:rsidR="00A53203" w:rsidRDefault="00A53203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tbl>
      <w:tblPr>
        <w:tblStyle w:val="ae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УТВЕРЖДАЮ: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Зав.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кафедрой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«Финансы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и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кредит»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2D6CD7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</w:t>
            </w:r>
            <w:r w:rsidR="00A638EC" w:rsidRPr="00A638EC">
              <w:rPr>
                <w:color w:val="000000"/>
                <w:szCs w:val="28"/>
              </w:rPr>
              <w:t>_______________Т.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Г.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Старостина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600B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«_____»___</w:t>
            </w:r>
            <w:r w:rsidR="00DB36D4">
              <w:rPr>
                <w:color w:val="000000"/>
                <w:szCs w:val="28"/>
              </w:rPr>
              <w:t>__</w:t>
            </w:r>
            <w:r w:rsidRPr="00A638EC">
              <w:rPr>
                <w:color w:val="000000"/>
                <w:szCs w:val="28"/>
              </w:rPr>
              <w:t>____________202</w:t>
            </w:r>
            <w:r w:rsidR="00600BCC">
              <w:rPr>
                <w:color w:val="000000"/>
                <w:szCs w:val="28"/>
              </w:rPr>
              <w:t>3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г.</w:t>
            </w:r>
          </w:p>
        </w:tc>
      </w:tr>
    </w:tbl>
    <w:p w:rsidR="00671501" w:rsidRPr="00671501" w:rsidRDefault="00E572BF" w:rsidP="00B317F7">
      <w:pPr>
        <w:spacing w:after="3"/>
        <w:ind w:right="-1" w:firstLine="0"/>
        <w:jc w:val="righ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 </w:t>
      </w:r>
    </w:p>
    <w:p w:rsidR="009A1F03" w:rsidRDefault="009A1F03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ЗАДАНИЕ</w:t>
      </w: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МАГИСТЕРСКУЮ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ДИССЕРТАЦИЮ</w:t>
      </w:r>
    </w:p>
    <w:p w:rsidR="00F82E08" w:rsidRDefault="00D907A0" w:rsidP="00EA76CC">
      <w:pPr>
        <w:spacing w:before="240" w:line="240" w:lineRule="auto"/>
        <w:ind w:right="-1" w:firstLine="0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Обучающегося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Шевалдова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С.С.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671501" w:rsidRPr="00671501">
        <w:rPr>
          <w:rFonts w:eastAsia="Calibri" w:cs="Times New Roman"/>
          <w:color w:val="000000"/>
          <w:lang w:eastAsia="ru-RU"/>
        </w:rPr>
        <w:t>курса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2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>
        <w:rPr>
          <w:rFonts w:eastAsia="Calibri" w:cs="Times New Roman"/>
          <w:color w:val="000000"/>
          <w:lang w:eastAsia="ru-RU"/>
        </w:rPr>
        <w:t>группы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ИИмд-21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Тема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Искусственный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интеллект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больших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данных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проведении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банковской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 xml:space="preserve">деятельности </w:t>
      </w:r>
      <w:r w:rsidR="00F612A6" w:rsidRPr="00F612A6">
        <w:rPr>
          <w:rFonts w:eastAsia="Calibri" w:cs="Times New Roman"/>
          <w:color w:val="000000"/>
          <w:lang w:eastAsia="ru-RU"/>
        </w:rPr>
        <w:t>(</w:t>
      </w:r>
      <w:r w:rsidR="00F612A6">
        <w:rPr>
          <w:rFonts w:eastAsia="Calibri" w:cs="Times New Roman"/>
          <w:color w:val="000000"/>
          <w:lang w:eastAsia="ru-RU"/>
        </w:rPr>
        <w:t>на примере АО Банк «Венец»</w:t>
      </w:r>
      <w:r w:rsidR="00F612A6" w:rsidRPr="00F612A6">
        <w:rPr>
          <w:rFonts w:eastAsia="Calibri" w:cs="Times New Roman"/>
          <w:color w:val="000000"/>
          <w:lang w:eastAsia="ru-RU"/>
        </w:rPr>
        <w:t>)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утверждена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приказом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УлГТУ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«16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января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№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50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Срок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обучающимся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законченной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F612A6">
        <w:rPr>
          <w:rFonts w:eastAsia="Calibri" w:cs="Times New Roman"/>
          <w:color w:val="000000"/>
          <w:lang w:eastAsia="ru-RU"/>
        </w:rPr>
        <w:t>12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июня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p w:rsidR="00CB60C8" w:rsidRPr="009C1D72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Исходные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нормативно-законодательные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акты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РФ,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научная,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учебная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методическая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литература,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периодических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изданий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рассматриваемой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проблеме,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бухгалтерская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(финансовая)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отчетность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АО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Банк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«Венец»</w:t>
      </w:r>
      <w:r w:rsidRPr="00CB60C8">
        <w:rPr>
          <w:rFonts w:eastAsia="Calibri" w:cs="Times New Roman"/>
          <w:color w:val="000000"/>
          <w:lang w:eastAsia="ru-RU"/>
        </w:rPr>
        <w:t>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внутренняя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документация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организации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Содержание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расчетно-пояснительной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записки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(перечень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подлежащих</w:t>
      </w:r>
      <w:r w:rsidR="007225CC">
        <w:rPr>
          <w:rFonts w:eastAsia="Calibri" w:cs="Times New Roman"/>
          <w:color w:val="000000"/>
          <w:lang w:eastAsia="ru-RU"/>
        </w:rPr>
        <w:br/>
        <w:t>раз</w:t>
      </w:r>
      <w:r w:rsidRPr="00671501">
        <w:rPr>
          <w:rFonts w:eastAsia="Calibri" w:cs="Times New Roman"/>
          <w:color w:val="000000"/>
          <w:lang w:eastAsia="ru-RU"/>
        </w:rPr>
        <w:t>работке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вопросов)</w:t>
      </w:r>
      <w:r w:rsidR="007225CC">
        <w:rPr>
          <w:rFonts w:eastAsia="Calibri" w:cs="Times New Roman"/>
          <w:color w:val="000000"/>
          <w:lang w:eastAsia="ru-RU"/>
        </w:rPr>
        <w:t>:</w:t>
      </w:r>
    </w:p>
    <w:p w:rsidR="00671501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Теория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методика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финансового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состояния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коммерческого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банка.</w:t>
      </w:r>
    </w:p>
    <w:p w:rsidR="00DD06E0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Краткая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характеристика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банков.</w:t>
      </w:r>
    </w:p>
    <w:p w:rsidR="00CB60C8" w:rsidRPr="00DD06E0" w:rsidRDefault="00E030F3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Разработка модели оценки клиентов</w:t>
      </w:r>
      <w:r w:rsidR="00DD06E0" w:rsidRPr="00DD06E0">
        <w:rPr>
          <w:rFonts w:eastAsia="Calibri" w:cs="Times New Roman"/>
          <w:color w:val="000000"/>
          <w:lang w:eastAsia="ru-RU"/>
        </w:rPr>
        <w:t>.</w:t>
      </w:r>
      <w:r w:rsidR="00CB60C8" w:rsidRPr="00DD06E0"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586101">
      <w:pPr>
        <w:spacing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lastRenderedPageBreak/>
        <w:t>Календарный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график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весь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(с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указанием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сроков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выполнения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содержания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отдельных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этапов)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856"/>
        <w:gridCol w:w="5485"/>
        <w:gridCol w:w="3298"/>
      </w:tblGrid>
      <w:tr w:rsidR="00FC1801" w:rsidRPr="002B5762" w:rsidTr="00AF7692">
        <w:tc>
          <w:tcPr>
            <w:tcW w:w="856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№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5485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Содержание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3298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Срок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выполнения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1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Выбор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темы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согласование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ее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научным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руководителем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Сентябрь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2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Поиск</w:t>
            </w:r>
            <w:r>
              <w:rPr>
                <w:color w:val="000000"/>
                <w:szCs w:val="28"/>
              </w:rPr>
              <w:t xml:space="preserve"> и обзор литературы по теме, со</w:t>
            </w:r>
            <w:r w:rsidRPr="002B5762">
              <w:rPr>
                <w:color w:val="000000"/>
                <w:szCs w:val="28"/>
              </w:rPr>
              <w:t>ставле</w:t>
            </w:r>
            <w:r>
              <w:rPr>
                <w:color w:val="000000"/>
                <w:szCs w:val="28"/>
              </w:rPr>
              <w:t>ние списка использованных источ</w:t>
            </w:r>
            <w:r w:rsidRPr="002B5762">
              <w:rPr>
                <w:color w:val="000000"/>
                <w:szCs w:val="28"/>
              </w:rPr>
              <w:t>ников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Октябрь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3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Предоставление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литературного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обзора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выбранной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проблематике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Но</w:t>
            </w:r>
            <w:r w:rsidRPr="003871A6">
              <w:rPr>
                <w:szCs w:val="28"/>
              </w:rPr>
              <w:t>ябрь</w:t>
            </w:r>
            <w:r>
              <w:rPr>
                <w:szCs w:val="28"/>
              </w:rPr>
              <w:t>-декабрь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4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Харак</w:t>
            </w:r>
            <w:r>
              <w:rPr>
                <w:color w:val="000000"/>
                <w:szCs w:val="28"/>
              </w:rPr>
              <w:t>теристика выбранной проблемы ис</w:t>
            </w:r>
            <w:r w:rsidRPr="002B5762">
              <w:rPr>
                <w:color w:val="000000"/>
                <w:szCs w:val="28"/>
              </w:rPr>
              <w:t>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Январ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-март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5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Разраб</w:t>
            </w:r>
            <w:r>
              <w:rPr>
                <w:color w:val="000000"/>
                <w:szCs w:val="28"/>
              </w:rPr>
              <w:t>отка рекомендаций по совершенст</w:t>
            </w:r>
            <w:r w:rsidRPr="002B5762">
              <w:rPr>
                <w:color w:val="000000"/>
                <w:szCs w:val="28"/>
              </w:rPr>
              <w:t>вованию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исследования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Апрел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-май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6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Оформление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Прове</w:t>
            </w:r>
            <w:r>
              <w:rPr>
                <w:color w:val="000000"/>
                <w:szCs w:val="28"/>
              </w:rPr>
              <w:t>рка работы в системе «Антиплаги</w:t>
            </w:r>
            <w:r w:rsidRPr="002B5762">
              <w:rPr>
                <w:color w:val="000000"/>
                <w:szCs w:val="28"/>
              </w:rPr>
              <w:t>ат».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положительного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отзыва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7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рецензии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магистерскую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</w:t>
            </w:r>
            <w:r>
              <w:rPr>
                <w:color w:val="000000"/>
                <w:szCs w:val="28"/>
              </w:rPr>
              <w:t>тацию. Подготовка иллюстративно</w:t>
            </w:r>
            <w:r w:rsidRPr="002B5762">
              <w:rPr>
                <w:color w:val="000000"/>
                <w:szCs w:val="28"/>
              </w:rPr>
              <w:t>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материала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презентации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8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Сдача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ка</w:t>
            </w:r>
            <w:r w:rsidRPr="002B5762">
              <w:rPr>
                <w:color w:val="000000"/>
                <w:szCs w:val="28"/>
              </w:rPr>
              <w:t>федру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</w:tbl>
    <w:p w:rsidR="00AF7692" w:rsidRDefault="00AF7692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671501" w:rsidRDefault="00671501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Дата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задания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AD5EFA">
        <w:rPr>
          <w:rFonts w:eastAsia="Calibri" w:cs="Times New Roman"/>
          <w:color w:val="000000"/>
          <w:lang w:eastAsia="ru-RU"/>
        </w:rPr>
        <w:t>1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AD5EFA">
        <w:rPr>
          <w:rFonts w:eastAsia="Calibri" w:cs="Times New Roman"/>
          <w:color w:val="000000"/>
          <w:lang w:eastAsia="ru-RU"/>
        </w:rPr>
        <w:t>сентября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AD5EFA">
        <w:rPr>
          <w:rFonts w:eastAsia="Calibri" w:cs="Times New Roman"/>
          <w:color w:val="000000"/>
          <w:lang w:eastAsia="ru-RU"/>
        </w:rPr>
        <w:t>3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5"/>
        <w:gridCol w:w="2551"/>
      </w:tblGrid>
      <w:tr w:rsidR="008156E7" w:rsidTr="00AF7692">
        <w:tc>
          <w:tcPr>
            <w:tcW w:w="4503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к.э.н.,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</w:t>
            </w:r>
          </w:p>
        </w:tc>
        <w:tc>
          <w:tcPr>
            <w:tcW w:w="2835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center"/>
              <w:rPr>
                <w:color w:val="000000"/>
              </w:rPr>
            </w:pPr>
            <w:r w:rsidRPr="008156E7">
              <w:rPr>
                <w:color w:val="000000"/>
              </w:rPr>
              <w:t>_</w:t>
            </w:r>
            <w:r w:rsidR="00C67CB0">
              <w:rPr>
                <w:color w:val="000000"/>
              </w:rPr>
              <w:t>__________</w:t>
            </w:r>
            <w:r w:rsidRPr="008156E7">
              <w:rPr>
                <w:color w:val="000000"/>
              </w:rPr>
              <w:t>___</w:t>
            </w:r>
            <w:r>
              <w:rPr>
                <w:color w:val="000000"/>
              </w:rPr>
              <w:t>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before="240" w:after="3"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AD5EFA" w:rsidTr="00AF7692">
        <w:tc>
          <w:tcPr>
            <w:tcW w:w="4503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</w:p>
        </w:tc>
        <w:tc>
          <w:tcPr>
            <w:tcW w:w="2835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AD5EFA" w:rsidRDefault="00AD5EFA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</w:p>
        </w:tc>
      </w:tr>
      <w:tr w:rsidR="008156E7" w:rsidTr="00AF7692">
        <w:trPr>
          <w:trHeight w:val="393"/>
        </w:trPr>
        <w:tc>
          <w:tcPr>
            <w:tcW w:w="4503" w:type="dxa"/>
          </w:tcPr>
          <w:p w:rsidR="008156E7" w:rsidRDefault="008156E7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Задание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принял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исполнению</w:t>
            </w:r>
          </w:p>
        </w:tc>
        <w:tc>
          <w:tcPr>
            <w:tcW w:w="2835" w:type="dxa"/>
          </w:tcPr>
          <w:p w:rsidR="008156E7" w:rsidRDefault="00C67CB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  <w:r w:rsidRPr="00C67CB0">
              <w:rPr>
                <w:color w:val="000000"/>
              </w:rPr>
              <w:t>________________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</w:tbl>
    <w:p w:rsidR="00C67CB0" w:rsidRDefault="00B317F7" w:rsidP="00B317F7">
      <w:pPr>
        <w:spacing w:after="200" w:line="276" w:lineRule="auto"/>
        <w:ind w:firstLine="0"/>
        <w:jc w:val="lef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C67CB0">
        <w:rPr>
          <w:rFonts w:eastAsia="Calibri" w:cs="Times New Roman"/>
          <w:b/>
          <w:color w:val="000000"/>
          <w:sz w:val="32"/>
          <w:lang w:eastAsia="ru-RU"/>
        </w:rPr>
        <w:lastRenderedPageBreak/>
        <w:t>Реферат</w:t>
      </w:r>
    </w:p>
    <w:p w:rsidR="00BE166A" w:rsidRPr="00C67CB0" w:rsidRDefault="00BE166A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</w:p>
    <w:p w:rsidR="00671501" w:rsidRPr="00671501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Магистерская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56240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рис.,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94134C">
        <w:rPr>
          <w:rFonts w:eastAsia="Calibri" w:cs="Times New Roman"/>
          <w:color w:val="000000"/>
          <w:lang w:eastAsia="ru-RU"/>
        </w:rPr>
        <w:t>18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табл.,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приложений,</w:t>
      </w:r>
      <w:r w:rsidR="00280B0E">
        <w:rPr>
          <w:rFonts w:eastAsia="Calibri" w:cs="Times New Roman"/>
          <w:color w:val="000000"/>
          <w:lang w:eastAsia="ru-RU"/>
        </w:rPr>
        <w:br/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использованных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источников.</w:t>
      </w:r>
    </w:p>
    <w:p w:rsidR="00671501" w:rsidRPr="008918FD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Объект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исследов</w:t>
      </w:r>
      <w:r w:rsidR="0073098D">
        <w:rPr>
          <w:rFonts w:eastAsia="Calibri" w:cs="Times New Roman"/>
          <w:color w:val="000000"/>
          <w:lang w:eastAsia="ru-RU"/>
        </w:rPr>
        <w:t>ания: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BE166A">
        <w:rPr>
          <w:rFonts w:eastAsia="Calibri" w:cs="Times New Roman"/>
          <w:color w:val="000000"/>
          <w:lang w:eastAsia="ru-RU"/>
        </w:rPr>
        <w:t>АО Банк «Венец»</w:t>
      </w:r>
      <w:r w:rsidR="00271373" w:rsidRPr="008918FD">
        <w:rPr>
          <w:rFonts w:eastAsia="Calibri" w:cs="Times New Roman"/>
          <w:color w:val="000000"/>
          <w:lang w:eastAsia="ru-RU"/>
        </w:rPr>
        <w:t>.</w:t>
      </w:r>
    </w:p>
    <w:p w:rsidR="00671501" w:rsidRPr="003D4050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Цель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351F97" w:rsidRPr="00351F97">
        <w:rPr>
          <w:rFonts w:eastAsia="Calibri" w:cs="Times New Roman"/>
          <w:color w:val="000000"/>
          <w:u w:val="single"/>
          <w:lang w:eastAsia="ru-RU"/>
        </w:rPr>
        <w:t>по данным форм бухгалтерской отчетности пр</w:t>
      </w:r>
      <w:r w:rsidR="00873D8F">
        <w:rPr>
          <w:rFonts w:eastAsia="Calibri" w:cs="Times New Roman"/>
          <w:color w:val="000000"/>
          <w:u w:val="single"/>
          <w:lang w:eastAsia="ru-RU"/>
        </w:rPr>
        <w:t>овести анализ финансового состо</w:t>
      </w:r>
      <w:r w:rsidR="00351F97" w:rsidRPr="00351F97">
        <w:rPr>
          <w:rFonts w:eastAsia="Calibri" w:cs="Times New Roman"/>
          <w:color w:val="000000"/>
          <w:u w:val="single"/>
          <w:lang w:eastAsia="ru-RU"/>
        </w:rPr>
        <w:t>яния АО Банк «Венец»</w:t>
      </w:r>
      <w:r w:rsidR="00351F97">
        <w:rPr>
          <w:rFonts w:eastAsia="Calibri" w:cs="Times New Roman"/>
          <w:color w:val="000000"/>
          <w:u w:val="single"/>
          <w:lang w:eastAsia="ru-RU"/>
        </w:rPr>
        <w:t>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 xml:space="preserve">Информационной базой исследования </w:t>
      </w:r>
      <w:r w:rsidR="00873D8F">
        <w:rPr>
          <w:rFonts w:eastAsia="Calibri" w:cs="Times New Roman"/>
          <w:color w:val="000000"/>
          <w:lang w:eastAsia="ru-RU"/>
        </w:rPr>
        <w:t>явля</w:t>
      </w:r>
      <w:r w:rsidR="00DC0049">
        <w:rPr>
          <w:rFonts w:eastAsia="Calibri" w:cs="Times New Roman"/>
          <w:color w:val="000000"/>
          <w:lang w:eastAsia="ru-RU"/>
        </w:rPr>
        <w:t>лись: нормативно-правовые ак</w:t>
      </w:r>
      <w:r w:rsidRPr="00BE166A">
        <w:rPr>
          <w:rFonts w:eastAsia="Calibri" w:cs="Times New Roman"/>
          <w:color w:val="000000"/>
          <w:lang w:eastAsia="ru-RU"/>
        </w:rPr>
        <w:t xml:space="preserve">ты, регулирующие хозяйственно-экономическую деятельность предприятия, материалы финансовой отчетности </w:t>
      </w:r>
      <w:r w:rsidR="00956B5C" w:rsidRPr="00956B5C">
        <w:rPr>
          <w:rFonts w:eastAsia="Calibri" w:cs="Times New Roman"/>
          <w:color w:val="000000"/>
          <w:lang w:eastAsia="ru-RU"/>
        </w:rPr>
        <w:t>АО Банк «Венец»</w:t>
      </w:r>
      <w:r w:rsidR="00DC0049">
        <w:rPr>
          <w:rFonts w:eastAsia="Calibri" w:cs="Times New Roman"/>
          <w:color w:val="000000"/>
          <w:lang w:eastAsia="ru-RU"/>
        </w:rPr>
        <w:t xml:space="preserve">, </w:t>
      </w:r>
      <w:r w:rsidRPr="00BE166A">
        <w:rPr>
          <w:rFonts w:eastAsia="Calibri" w:cs="Times New Roman"/>
          <w:color w:val="000000"/>
          <w:lang w:eastAsia="ru-RU"/>
        </w:rPr>
        <w:t>ресурсы инфо</w:t>
      </w:r>
      <w:r w:rsidR="00DC0049">
        <w:rPr>
          <w:rFonts w:eastAsia="Calibri" w:cs="Times New Roman"/>
          <w:color w:val="000000"/>
          <w:lang w:eastAsia="ru-RU"/>
        </w:rPr>
        <w:t>рмационно-правовых си</w:t>
      </w:r>
      <w:r w:rsidRPr="00BE166A">
        <w:rPr>
          <w:rFonts w:eastAsia="Calibri" w:cs="Times New Roman"/>
          <w:color w:val="000000"/>
          <w:lang w:eastAsia="ru-RU"/>
        </w:rPr>
        <w:t>стем, электронные ресурсы сети Интернет, а также авторские исследования.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В магистерской диссертации проводится научное исследование в области внедрения искусственного интеллекта и анализа больших данных в банк</w:t>
      </w:r>
      <w:r w:rsidR="00956B5C">
        <w:rPr>
          <w:rFonts w:eastAsia="Calibri" w:cs="Times New Roman"/>
          <w:color w:val="000000"/>
          <w:lang w:eastAsia="ru-RU"/>
        </w:rPr>
        <w:t>овской сфере по направлению «Искусственный интеллект и анализ больших данных при проведении анализа банковской деятельности»</w:t>
      </w:r>
      <w:r w:rsidRPr="00BE166A">
        <w:rPr>
          <w:rFonts w:eastAsia="Calibri" w:cs="Times New Roman"/>
          <w:color w:val="000000"/>
          <w:lang w:eastAsia="ru-RU"/>
        </w:rPr>
        <w:t>.</w:t>
      </w:r>
    </w:p>
    <w:p w:rsid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Результатами проведенного исследован</w:t>
      </w:r>
      <w:r>
        <w:rPr>
          <w:rFonts w:eastAsia="Calibri" w:cs="Times New Roman"/>
          <w:color w:val="000000"/>
          <w:lang w:eastAsia="ru-RU"/>
        </w:rPr>
        <w:t>ия могут воспользоваться банков</w:t>
      </w:r>
      <w:r w:rsidR="00956B5C">
        <w:rPr>
          <w:rFonts w:eastAsia="Calibri" w:cs="Times New Roman"/>
          <w:color w:val="000000"/>
          <w:lang w:eastAsia="ru-RU"/>
        </w:rPr>
        <w:t>ские учреждения при</w:t>
      </w:r>
      <w:r w:rsidRPr="00BE166A">
        <w:rPr>
          <w:rFonts w:eastAsia="Calibri" w:cs="Times New Roman"/>
          <w:color w:val="000000"/>
          <w:lang w:eastAsia="ru-RU"/>
        </w:rPr>
        <w:t xml:space="preserve"> принятии управленческих решений в вопросах внедрения искусственного интеллекта и анализа больших данных в своем направлении.</w:t>
      </w:r>
    </w:p>
    <w:p w:rsidR="00B317F7" w:rsidRDefault="002E67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2E676A">
        <w:rPr>
          <w:rFonts w:eastAsia="Calibri" w:cs="Times New Roman"/>
          <w:color w:val="000000"/>
          <w:lang w:eastAsia="ru-RU"/>
        </w:rPr>
        <w:t xml:space="preserve">ИСКУССТВЕННЫЙ ИНТЕЛЛЕКТ, БОЛЬШИЕ ДАННЫЕ, </w:t>
      </w:r>
      <w:r>
        <w:rPr>
          <w:rFonts w:eastAsia="Calibri" w:cs="Times New Roman"/>
          <w:color w:val="000000"/>
          <w:lang w:eastAsia="ru-RU"/>
        </w:rPr>
        <w:t>ПОКАЗАТЕЛИ ДЕЯТЕЛЬНОСТИ, ИССЛЕДОВАНИЕ,</w:t>
      </w:r>
      <w:r w:rsidR="00E26CEC">
        <w:rPr>
          <w:rFonts w:eastAsia="Calibri" w:cs="Times New Roman"/>
          <w:color w:val="000000"/>
          <w:lang w:eastAsia="ru-RU"/>
        </w:rPr>
        <w:t xml:space="preserve"> МОДЕЛЬ, ПЛАНИРОВАНИЕ, АНАЛИЗ.</w:t>
      </w:r>
      <w:r w:rsidR="00B317F7">
        <w:rPr>
          <w:rFonts w:eastAsia="Calibri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2"/>
          <w:szCs w:val="22"/>
          <w:lang w:eastAsia="en-US"/>
        </w:rPr>
        <w:id w:val="63792284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</w:rPr>
      </w:sdtEndPr>
      <w:sdtContent>
        <w:p w:rsidR="00075C00" w:rsidRPr="001B301B" w:rsidRDefault="00DE0F4A" w:rsidP="00913727">
          <w:pPr>
            <w:pStyle w:val="ab"/>
            <w:ind w:firstLine="0"/>
            <w:jc w:val="center"/>
            <w:rPr>
              <w:rStyle w:val="10"/>
            </w:rPr>
          </w:pPr>
          <w:r>
            <w:rPr>
              <w:rStyle w:val="10"/>
            </w:rPr>
            <w:t>Оглавление</w:t>
          </w:r>
        </w:p>
        <w:p w:rsidR="005B148F" w:rsidRPr="001B301B" w:rsidRDefault="005B148F" w:rsidP="005B148F">
          <w:pPr>
            <w:rPr>
              <w:lang w:eastAsia="ru-RU"/>
            </w:rPr>
          </w:pPr>
        </w:p>
        <w:p w:rsidR="007E5D45" w:rsidRDefault="006862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B301B">
            <w:rPr>
              <w:rFonts w:cs="Times New Roman"/>
            </w:rPr>
            <w:fldChar w:fldCharType="begin"/>
          </w:r>
          <w:r w:rsidRPr="001B301B">
            <w:rPr>
              <w:rFonts w:cs="Times New Roman"/>
            </w:rPr>
            <w:instrText xml:space="preserve"> TOC \o "1-1" \h \z \u \t "Заголовок 2;1;Заголовок 3;1" </w:instrText>
          </w:r>
          <w:r w:rsidRPr="001B301B">
            <w:rPr>
              <w:rFonts w:cs="Times New Roman"/>
            </w:rPr>
            <w:fldChar w:fldCharType="separate"/>
          </w:r>
          <w:hyperlink w:anchor="_Toc168090065" w:history="1">
            <w:r w:rsidR="007E5D45" w:rsidRPr="00DE25CB">
              <w:rPr>
                <w:rStyle w:val="a8"/>
                <w:noProof/>
              </w:rPr>
              <w:t>Введение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_Toc168090065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5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66" w:history="1">
            <w:r w:rsidR="007E5D45" w:rsidRPr="00DE25CB">
              <w:rPr>
                <w:rStyle w:val="a8"/>
                <w:noProof/>
              </w:rPr>
              <w:t>Глава 1 Теория и методики анализа финансового состояния коммерческого банка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_Toc168090066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7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67" w:history="1">
            <w:r w:rsidR="007E5D45" w:rsidRPr="00DE25CB">
              <w:rPr>
                <w:rStyle w:val="a8"/>
                <w:noProof/>
              </w:rPr>
              <w:t>1.1 Задачи анализа финансового состояния банка и подходы к его проведению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_Toc168090067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7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68" w:history="1">
            <w:r w:rsidR="007E5D45" w:rsidRPr="00DE25CB">
              <w:rPr>
                <w:rStyle w:val="a8"/>
                <w:noProof/>
              </w:rPr>
              <w:t>1.2 Содержание разделов анализа финансового состояния банка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_Toc168090068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11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69" w:history="1">
            <w:r w:rsidR="007E5D45" w:rsidRPr="00DE25CB">
              <w:rPr>
                <w:rStyle w:val="a8"/>
                <w:noProof/>
              </w:rPr>
              <w:t>Глава 2 Краткая характеристика банков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_Toc168090069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20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0" w:history="1">
            <w:r w:rsidR="007E5D45" w:rsidRPr="00DE25CB">
              <w:rPr>
                <w:rStyle w:val="a8"/>
                <w:noProof/>
              </w:rPr>
              <w:t>2.1 Краткая характеристика АО Банк «Венец» и ООО Банк «Хлынов»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_Toc168090070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20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1" w:history="1">
            <w:r w:rsidR="007E5D45" w:rsidRPr="00DE25CB">
              <w:rPr>
                <w:rStyle w:val="a8"/>
                <w:rFonts w:cs="Times New Roman"/>
                <w:noProof/>
              </w:rPr>
              <w:t>2.2 Анализ баланса АО Банк «Венец» и ООО Банк «Хлынов»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_Toc168090071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27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2" w:history="1">
            <w:r w:rsidR="007E5D45" w:rsidRPr="00DE25CB">
              <w:rPr>
                <w:rStyle w:val="a8"/>
                <w:rFonts w:cs="Times New Roman"/>
                <w:noProof/>
              </w:rPr>
              <w:t xml:space="preserve">2.3 Анализ нормативов </w:t>
            </w:r>
            <w:r w:rsidR="007E5D45">
              <w:rPr>
                <w:rStyle w:val="a8"/>
                <w:rFonts w:cs="Times New Roman"/>
                <w:noProof/>
              </w:rPr>
              <w:t>и результатов АО Банк «Венец» и</w:t>
            </w:r>
            <w:r w:rsidR="007E5D45">
              <w:rPr>
                <w:rStyle w:val="a8"/>
                <w:rFonts w:cs="Times New Roman"/>
                <w:noProof/>
              </w:rPr>
              <w:br/>
            </w:r>
            <w:r w:rsidR="007E5D45" w:rsidRPr="00DE25CB">
              <w:rPr>
                <w:rStyle w:val="a8"/>
                <w:rFonts w:cs="Times New Roman"/>
                <w:noProof/>
              </w:rPr>
              <w:t>ООО Банк «Хлынов»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_Toc168090072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38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3" w:history="1">
            <w:r w:rsidR="007E5D45" w:rsidRPr="00DE25CB">
              <w:rPr>
                <w:rStyle w:val="a8"/>
                <w:noProof/>
              </w:rPr>
              <w:t>Глава 3 Разработка модели оценки клиентов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_Toc168090073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59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4" w:history="1">
            <w:r w:rsidR="007E5D45" w:rsidRPr="00DE25CB">
              <w:rPr>
                <w:rStyle w:val="a8"/>
                <w:noProof/>
              </w:rPr>
              <w:t>3.1 Описание набора данных и целевой переменной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_Toc168090074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59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5" w:history="1">
            <w:r w:rsidR="007E5D45" w:rsidRPr="00DE25CB">
              <w:rPr>
                <w:rStyle w:val="a8"/>
                <w:noProof/>
              </w:rPr>
              <w:t>3.2 Обучение модели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_Toc168090075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61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6" w:history="1">
            <w:r w:rsidR="007E5D45" w:rsidRPr="00DE25CB">
              <w:rPr>
                <w:rStyle w:val="a8"/>
                <w:noProof/>
              </w:rPr>
              <w:t>3.3 Оценка модели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_Toc168090076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64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7" w:history="1">
            <w:r w:rsidR="007E5D45" w:rsidRPr="00DE25CB">
              <w:rPr>
                <w:rStyle w:val="a8"/>
                <w:rFonts w:cs="Times New Roman"/>
                <w:noProof/>
              </w:rPr>
              <w:t>Заключение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_Toc168090077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67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8" w:history="1">
            <w:r w:rsidR="007E5D45" w:rsidRPr="00DE25CB">
              <w:rPr>
                <w:rStyle w:val="a8"/>
                <w:noProof/>
              </w:rPr>
              <w:t>Список использованных источников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_Toc168090078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69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7E5D45" w:rsidRDefault="009470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90079" w:history="1">
            <w:r w:rsidR="007E5D45" w:rsidRPr="00DE25CB">
              <w:rPr>
                <w:rStyle w:val="a8"/>
                <w:noProof/>
              </w:rPr>
              <w:t>Приложения</w:t>
            </w:r>
            <w:r w:rsidR="007E5D45">
              <w:rPr>
                <w:noProof/>
                <w:webHidden/>
              </w:rPr>
              <w:tab/>
            </w:r>
            <w:r w:rsidR="007E5D45">
              <w:rPr>
                <w:noProof/>
                <w:webHidden/>
              </w:rPr>
              <w:fldChar w:fldCharType="begin"/>
            </w:r>
            <w:r w:rsidR="007E5D45">
              <w:rPr>
                <w:noProof/>
                <w:webHidden/>
              </w:rPr>
              <w:instrText xml:space="preserve"> PAGEREF _Toc168090079 \h </w:instrText>
            </w:r>
            <w:r w:rsidR="007E5D45">
              <w:rPr>
                <w:noProof/>
                <w:webHidden/>
              </w:rPr>
            </w:r>
            <w:r w:rsidR="007E5D45">
              <w:rPr>
                <w:noProof/>
                <w:webHidden/>
              </w:rPr>
              <w:fldChar w:fldCharType="separate"/>
            </w:r>
            <w:r w:rsidR="007E5D45">
              <w:rPr>
                <w:noProof/>
                <w:webHidden/>
              </w:rPr>
              <w:t>71</w:t>
            </w:r>
            <w:r w:rsidR="007E5D45">
              <w:rPr>
                <w:noProof/>
                <w:webHidden/>
              </w:rPr>
              <w:fldChar w:fldCharType="end"/>
            </w:r>
          </w:hyperlink>
        </w:p>
        <w:p w:rsidR="00075C00" w:rsidRPr="001B301B" w:rsidRDefault="0068625B">
          <w:pPr>
            <w:rPr>
              <w:rFonts w:cs="Times New Roman"/>
            </w:rPr>
          </w:pPr>
          <w:r w:rsidRPr="001B301B">
            <w:rPr>
              <w:rFonts w:cs="Times New Roman"/>
            </w:rPr>
            <w:fldChar w:fldCharType="end"/>
          </w:r>
        </w:p>
      </w:sdtContent>
    </w:sdt>
    <w:p w:rsidR="009A2207" w:rsidRDefault="009A2207">
      <w:pPr>
        <w:rPr>
          <w:rFonts w:cs="Times New Roman"/>
          <w:szCs w:val="28"/>
        </w:rPr>
        <w:sectPr w:rsidR="009A2207" w:rsidSect="005F53C6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CD2D48" w:rsidRPr="00BD0E6C" w:rsidRDefault="00DE404D" w:rsidP="00DE404D">
      <w:pPr>
        <w:pStyle w:val="1"/>
        <w:ind w:firstLine="0"/>
        <w:jc w:val="center"/>
      </w:pPr>
      <w:bookmarkStart w:id="0" w:name="_Toc168090065"/>
      <w:r>
        <w:lastRenderedPageBreak/>
        <w:t>В</w:t>
      </w:r>
      <w:r>
        <w:rPr>
          <w:caps w:val="0"/>
        </w:rPr>
        <w:t>ведение</w:t>
      </w:r>
      <w:bookmarkEnd w:id="0"/>
    </w:p>
    <w:p w:rsidR="00452E26" w:rsidRPr="001B301B" w:rsidRDefault="00452E26" w:rsidP="00452E26"/>
    <w:p w:rsidR="00953009" w:rsidRDefault="00953009" w:rsidP="005A3F8B">
      <w:r w:rsidRPr="00953009">
        <w:t xml:space="preserve">Банковская деятельность является одной из ключевых отраслей </w:t>
      </w:r>
      <w:r w:rsidR="0006702F">
        <w:t xml:space="preserve">экономики </w:t>
      </w:r>
      <w:r w:rsidRPr="00953009">
        <w:t xml:space="preserve">любой страны. Она играет важную роль в развитии </w:t>
      </w:r>
      <w:r w:rsidR="0006702F">
        <w:t>данной сферы</w:t>
      </w:r>
      <w:r w:rsidRPr="00953009">
        <w:t>, обеспечивая финансовые услуги как физическим, так и юридическим лицам. В последние годы, с развитием технологий и накоплением больших объемов данных, анализ банковской деятельности стал еще более актуальной задачей.</w:t>
      </w:r>
    </w:p>
    <w:p w:rsidR="00CA7161" w:rsidRDefault="00EF71A9" w:rsidP="005A3F8B">
      <w:r>
        <w:t xml:space="preserve">Актуальность данного исследования </w:t>
      </w:r>
      <w:r w:rsidR="0006702F">
        <w:t>состоит</w:t>
      </w:r>
      <w:r>
        <w:t xml:space="preserve"> в том, что</w:t>
      </w:r>
      <w:r w:rsidR="007217E8">
        <w:t xml:space="preserve"> </w:t>
      </w:r>
      <w:r w:rsidR="00CA7161" w:rsidRPr="001B301B">
        <w:t>в</w:t>
      </w:r>
      <w:r w:rsidR="00E572BF">
        <w:t xml:space="preserve"> </w:t>
      </w:r>
      <w:r w:rsidR="00CA7161" w:rsidRPr="001B301B">
        <w:t>наше</w:t>
      </w:r>
      <w:r w:rsidR="00E572BF">
        <w:t xml:space="preserve"> </w:t>
      </w:r>
      <w:r w:rsidR="00CA7161" w:rsidRPr="001B301B">
        <w:t>время</w:t>
      </w:r>
      <w:r w:rsidR="00E572BF">
        <w:t xml:space="preserve"> </w:t>
      </w:r>
      <w:r w:rsidR="0006702F">
        <w:t>деятельность банковского</w:t>
      </w:r>
      <w:r w:rsidR="00E572BF">
        <w:t xml:space="preserve"> </w:t>
      </w:r>
      <w:r w:rsidR="00CA7161" w:rsidRPr="001B301B">
        <w:t>сектор</w:t>
      </w:r>
      <w:r w:rsidR="0006702F">
        <w:t>а</w:t>
      </w:r>
      <w:r w:rsidR="00E572BF">
        <w:t xml:space="preserve"> </w:t>
      </w:r>
      <w:r w:rsidR="00CA7161" w:rsidRPr="001B301B">
        <w:t>имеет</w:t>
      </w:r>
      <w:r w:rsidR="00E572BF">
        <w:t xml:space="preserve"> </w:t>
      </w:r>
      <w:r w:rsidR="00CA7161" w:rsidRPr="001B301B">
        <w:t>большое</w:t>
      </w:r>
      <w:r w:rsidR="00E572BF">
        <w:t xml:space="preserve"> </w:t>
      </w:r>
      <w:r w:rsidR="00CA7161" w:rsidRPr="001B301B">
        <w:t>значение</w:t>
      </w:r>
      <w:r w:rsidR="00E572BF">
        <w:t xml:space="preserve"> </w:t>
      </w:r>
      <w:r w:rsidR="00CA7161" w:rsidRPr="001B301B">
        <w:t>для</w:t>
      </w:r>
      <w:r w:rsidR="00E572BF">
        <w:t xml:space="preserve"> </w:t>
      </w:r>
      <w:r w:rsidR="00CA7161" w:rsidRPr="001B301B">
        <w:t>финансовых</w:t>
      </w:r>
      <w:r w:rsidR="00E572BF">
        <w:t xml:space="preserve"> </w:t>
      </w:r>
      <w:r w:rsidR="00CA7161" w:rsidRPr="001B301B">
        <w:t>процессов</w:t>
      </w:r>
      <w:r w:rsidR="00E572BF">
        <w:t xml:space="preserve"> </w:t>
      </w:r>
      <w:r w:rsidR="00CA7161" w:rsidRPr="001B301B">
        <w:t>в</w:t>
      </w:r>
      <w:r w:rsidR="00E572BF">
        <w:t xml:space="preserve"> </w:t>
      </w:r>
      <w:r w:rsidR="00CA7161" w:rsidRPr="001B301B">
        <w:t>стране.</w:t>
      </w:r>
      <w:r w:rsidR="00E572BF">
        <w:t xml:space="preserve"> </w:t>
      </w:r>
      <w:r w:rsidR="00681018">
        <w:t>От результатов этого анализа</w:t>
      </w:r>
      <w:r w:rsidR="009F7BD7">
        <w:t xml:space="preserve"> зависит планирование</w:t>
      </w:r>
      <w:r w:rsidR="00681018">
        <w:t xml:space="preserve"> политики банка</w:t>
      </w:r>
      <w:r w:rsidR="009F7BD7">
        <w:t>,</w:t>
      </w:r>
      <w:r w:rsidR="006F73F1">
        <w:t xml:space="preserve"> её</w:t>
      </w:r>
      <w:r w:rsidR="009F7BD7">
        <w:t xml:space="preserve"> целей и задач</w:t>
      </w:r>
      <w:r w:rsidR="00681018">
        <w:t xml:space="preserve">. </w:t>
      </w:r>
      <w:r w:rsidR="00CA7161" w:rsidRPr="001B301B">
        <w:t>Результаты</w:t>
      </w:r>
      <w:r w:rsidR="00E572BF">
        <w:t xml:space="preserve"> </w:t>
      </w:r>
      <w:r w:rsidR="00CA7161" w:rsidRPr="001B301B">
        <w:t>этого</w:t>
      </w:r>
      <w:r w:rsidR="00E572BF">
        <w:t xml:space="preserve"> </w:t>
      </w:r>
      <w:r w:rsidR="00CA7161" w:rsidRPr="001B301B">
        <w:t>анализа</w:t>
      </w:r>
      <w:r w:rsidR="00E572BF">
        <w:t xml:space="preserve"> </w:t>
      </w:r>
      <w:r w:rsidR="00CA7161" w:rsidRPr="001B301B">
        <w:t>важны</w:t>
      </w:r>
      <w:r w:rsidR="00E572BF">
        <w:t xml:space="preserve"> </w:t>
      </w:r>
      <w:r w:rsidR="00CA7161" w:rsidRPr="001B301B">
        <w:t>как</w:t>
      </w:r>
      <w:r w:rsidR="00E572BF">
        <w:t xml:space="preserve"> </w:t>
      </w:r>
      <w:r w:rsidR="00CA7161" w:rsidRPr="001B301B">
        <w:t>для</w:t>
      </w:r>
      <w:r w:rsidR="00E572BF">
        <w:t xml:space="preserve"> </w:t>
      </w:r>
      <w:r w:rsidR="00CA7161" w:rsidRPr="001B301B">
        <w:t>самих</w:t>
      </w:r>
      <w:r w:rsidR="00E572BF">
        <w:t xml:space="preserve"> </w:t>
      </w:r>
      <w:r w:rsidR="00CA7161" w:rsidRPr="001B301B">
        <w:t>банков,</w:t>
      </w:r>
      <w:r w:rsidR="00E572BF">
        <w:t xml:space="preserve"> </w:t>
      </w:r>
      <w:r w:rsidR="00CA7161" w:rsidRPr="001B301B">
        <w:t>так</w:t>
      </w:r>
      <w:r w:rsidR="00E572BF">
        <w:t xml:space="preserve"> </w:t>
      </w:r>
      <w:r w:rsidR="00CA7161" w:rsidRPr="001B301B">
        <w:t>и</w:t>
      </w:r>
      <w:r w:rsidR="00E572BF">
        <w:t xml:space="preserve"> </w:t>
      </w:r>
      <w:r w:rsidR="00CA7161" w:rsidRPr="001B301B">
        <w:t>для</w:t>
      </w:r>
      <w:r w:rsidR="00E572BF">
        <w:t xml:space="preserve"> </w:t>
      </w:r>
      <w:r w:rsidR="00CA7161" w:rsidRPr="001B301B">
        <w:t>Центрального</w:t>
      </w:r>
      <w:r w:rsidR="00E572BF">
        <w:t xml:space="preserve"> </w:t>
      </w:r>
      <w:r w:rsidR="00CA7161" w:rsidRPr="001B301B">
        <w:t>Банка.</w:t>
      </w:r>
      <w:r w:rsidR="00E572BF">
        <w:t xml:space="preserve"> </w:t>
      </w:r>
      <w:r w:rsidR="00CA7161" w:rsidRPr="001B301B">
        <w:t>Хотя</w:t>
      </w:r>
      <w:r w:rsidR="00E572BF">
        <w:t xml:space="preserve"> </w:t>
      </w:r>
      <w:r w:rsidR="00CA7161" w:rsidRPr="001B301B">
        <w:t>многие</w:t>
      </w:r>
      <w:r w:rsidR="00E572BF">
        <w:t xml:space="preserve"> </w:t>
      </w:r>
      <w:r w:rsidR="00CA7161" w:rsidRPr="001B301B">
        <w:t>кредитные</w:t>
      </w:r>
      <w:r w:rsidR="00E572BF">
        <w:t xml:space="preserve"> </w:t>
      </w:r>
      <w:r w:rsidR="00CA7161" w:rsidRPr="001B301B">
        <w:t>учреждения</w:t>
      </w:r>
      <w:r w:rsidR="00E572BF">
        <w:t xml:space="preserve"> </w:t>
      </w:r>
      <w:r w:rsidR="00CA7161" w:rsidRPr="001B301B">
        <w:t>имеют</w:t>
      </w:r>
      <w:r w:rsidR="00E572BF">
        <w:t xml:space="preserve"> </w:t>
      </w:r>
      <w:r w:rsidR="00CA7161" w:rsidRPr="001B301B">
        <w:t>отделения</w:t>
      </w:r>
      <w:r w:rsidR="00E572BF">
        <w:t xml:space="preserve"> </w:t>
      </w:r>
      <w:r w:rsidR="00CA7161" w:rsidRPr="001B301B">
        <w:t>по</w:t>
      </w:r>
      <w:r w:rsidR="00E572BF">
        <w:t xml:space="preserve"> </w:t>
      </w:r>
      <w:r w:rsidR="00CA7161" w:rsidRPr="001B301B">
        <w:t>исследованию</w:t>
      </w:r>
      <w:r w:rsidR="00E572BF">
        <w:t xml:space="preserve"> </w:t>
      </w:r>
      <w:r w:rsidR="00DB1B44">
        <w:t>деятельности банка</w:t>
      </w:r>
      <w:r w:rsidR="00CA7161" w:rsidRPr="001B301B">
        <w:t>,</w:t>
      </w:r>
      <w:r w:rsidR="00E572BF">
        <w:t xml:space="preserve"> </w:t>
      </w:r>
      <w:r w:rsidR="00CA7161" w:rsidRPr="001B301B">
        <w:t>есть</w:t>
      </w:r>
      <w:r w:rsidR="00E572BF">
        <w:t xml:space="preserve"> </w:t>
      </w:r>
      <w:r w:rsidR="00CA7161" w:rsidRPr="001B301B">
        <w:t>много</w:t>
      </w:r>
      <w:r w:rsidR="00E572BF">
        <w:t xml:space="preserve"> </w:t>
      </w:r>
      <w:r w:rsidR="00CA7161" w:rsidRPr="001B301B">
        <w:t>других</w:t>
      </w:r>
      <w:r w:rsidR="00E572BF">
        <w:t xml:space="preserve"> </w:t>
      </w:r>
      <w:r w:rsidR="00CA7161" w:rsidRPr="001B301B">
        <w:t>аспектов</w:t>
      </w:r>
      <w:r w:rsidR="00E572BF">
        <w:t xml:space="preserve"> </w:t>
      </w:r>
      <w:r w:rsidR="00CA7161" w:rsidRPr="001B301B">
        <w:t>деятельности</w:t>
      </w:r>
      <w:r w:rsidR="00E572BF">
        <w:t xml:space="preserve"> </w:t>
      </w:r>
      <w:r w:rsidR="00CA7161" w:rsidRPr="001B301B">
        <w:t>банков,</w:t>
      </w:r>
      <w:r w:rsidR="00E572BF">
        <w:t xml:space="preserve"> </w:t>
      </w:r>
      <w:r w:rsidR="00CA7161" w:rsidRPr="001B301B">
        <w:t>которые</w:t>
      </w:r>
      <w:r w:rsidR="00E572BF">
        <w:t xml:space="preserve"> </w:t>
      </w:r>
      <w:r w:rsidR="00CA7161" w:rsidRPr="001B301B">
        <w:t>не</w:t>
      </w:r>
      <w:r w:rsidR="00E572BF">
        <w:t xml:space="preserve"> </w:t>
      </w:r>
      <w:r w:rsidR="00CA7161" w:rsidRPr="001B301B">
        <w:t>привлекают</w:t>
      </w:r>
      <w:r w:rsidR="00E572BF">
        <w:t xml:space="preserve"> </w:t>
      </w:r>
      <w:r w:rsidR="00CA7161" w:rsidRPr="001B301B">
        <w:t>должного</w:t>
      </w:r>
      <w:r w:rsidR="00E572BF">
        <w:t xml:space="preserve"> </w:t>
      </w:r>
      <w:r w:rsidR="00CA7161" w:rsidRPr="001B301B">
        <w:t>внимания.</w:t>
      </w:r>
      <w:r w:rsidR="00E572BF">
        <w:t xml:space="preserve"> </w:t>
      </w:r>
      <w:r w:rsidR="00CA7161" w:rsidRPr="001B301B">
        <w:t>Поэтому</w:t>
      </w:r>
      <w:r w:rsidR="00E572BF">
        <w:t xml:space="preserve"> </w:t>
      </w:r>
      <w:r w:rsidR="00CA7161" w:rsidRPr="001B301B">
        <w:t>требуется</w:t>
      </w:r>
      <w:r w:rsidR="00E572BF">
        <w:t xml:space="preserve"> </w:t>
      </w:r>
      <w:r w:rsidR="00CA7161" w:rsidRPr="001B301B">
        <w:t>комплексный</w:t>
      </w:r>
      <w:r w:rsidR="00E572BF">
        <w:t xml:space="preserve"> </w:t>
      </w:r>
      <w:r w:rsidR="00CA7161" w:rsidRPr="001B301B">
        <w:t>подход</w:t>
      </w:r>
      <w:r w:rsidR="00E572BF">
        <w:t xml:space="preserve"> </w:t>
      </w:r>
      <w:r w:rsidR="00CA7161" w:rsidRPr="001B301B">
        <w:t>и</w:t>
      </w:r>
      <w:r w:rsidR="00E572BF">
        <w:t xml:space="preserve"> </w:t>
      </w:r>
      <w:r w:rsidR="00CA7161" w:rsidRPr="001B301B">
        <w:t>тщательно</w:t>
      </w:r>
      <w:r w:rsidR="00E572BF">
        <w:t xml:space="preserve"> </w:t>
      </w:r>
      <w:r w:rsidR="00CA7161" w:rsidRPr="001B301B">
        <w:t>продуманная</w:t>
      </w:r>
      <w:r w:rsidR="00E572BF">
        <w:t xml:space="preserve"> </w:t>
      </w:r>
      <w:r w:rsidR="00CA7161" w:rsidRPr="001B301B">
        <w:t>тактика</w:t>
      </w:r>
      <w:r w:rsidR="00E572BF">
        <w:t xml:space="preserve"> </w:t>
      </w:r>
      <w:r w:rsidR="00CA7161" w:rsidRPr="001B301B">
        <w:t>для</w:t>
      </w:r>
      <w:r w:rsidR="00E572BF">
        <w:t xml:space="preserve"> </w:t>
      </w:r>
      <w:r w:rsidR="00CA7161" w:rsidRPr="001B301B">
        <w:t>улучшения</w:t>
      </w:r>
      <w:r w:rsidR="00E572BF">
        <w:t xml:space="preserve"> </w:t>
      </w:r>
      <w:r w:rsidR="00CA7161" w:rsidRPr="001B301B">
        <w:t>финансового</w:t>
      </w:r>
      <w:r w:rsidR="00E572BF">
        <w:t xml:space="preserve"> </w:t>
      </w:r>
      <w:r w:rsidR="00CA7161" w:rsidRPr="001B301B">
        <w:t>состояния</w:t>
      </w:r>
      <w:r w:rsidR="00E572BF">
        <w:t xml:space="preserve"> </w:t>
      </w:r>
      <w:r w:rsidR="00CA7161" w:rsidRPr="001B301B">
        <w:t>банков</w:t>
      </w:r>
      <w:r w:rsidR="00E572BF">
        <w:t xml:space="preserve"> </w:t>
      </w:r>
      <w:r w:rsidR="00CA7161" w:rsidRPr="001B301B">
        <w:t>и</w:t>
      </w:r>
      <w:r w:rsidR="00E572BF">
        <w:t xml:space="preserve"> </w:t>
      </w:r>
      <w:r w:rsidR="00CA7161" w:rsidRPr="001B301B">
        <w:t>гибкая</w:t>
      </w:r>
      <w:r w:rsidR="00E572BF">
        <w:t xml:space="preserve"> </w:t>
      </w:r>
      <w:r w:rsidR="00CA7161" w:rsidRPr="001B301B">
        <w:t>система</w:t>
      </w:r>
      <w:r w:rsidR="00E572BF">
        <w:t xml:space="preserve"> </w:t>
      </w:r>
      <w:r w:rsidR="00E02F91" w:rsidRPr="001B301B">
        <w:t>контроля</w:t>
      </w:r>
      <w:r w:rsidR="00E572BF">
        <w:t xml:space="preserve"> </w:t>
      </w:r>
      <w:r w:rsidR="00E02F91" w:rsidRPr="001B301B">
        <w:t>[</w:t>
      </w:r>
      <w:r w:rsidR="0036475A" w:rsidRPr="001B301B">
        <w:t>1]</w:t>
      </w:r>
      <w:r w:rsidR="00CA7161" w:rsidRPr="001B301B">
        <w:t>.</w:t>
      </w:r>
    </w:p>
    <w:p w:rsidR="00B87C4A" w:rsidRDefault="00B87C4A" w:rsidP="00767630">
      <w:r>
        <w:t xml:space="preserve">Основными целями анализа деятельности является оценка таких </w:t>
      </w:r>
      <w:r w:rsidR="00AE6484">
        <w:t>сфер деятельности</w:t>
      </w:r>
      <w:r>
        <w:t>, как:</w:t>
      </w:r>
    </w:p>
    <w:p w:rsidR="00B87C4A" w:rsidRDefault="00B87C4A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Финансовое состояние;</w:t>
      </w:r>
    </w:p>
    <w:p w:rsidR="00B87C4A" w:rsidRDefault="00B87C4A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Риски</w:t>
      </w:r>
      <w:r w:rsidR="00892ACB">
        <w:t>;</w:t>
      </w:r>
    </w:p>
    <w:p w:rsidR="00B87C4A" w:rsidRDefault="00892ACB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Регуляторные требования.</w:t>
      </w:r>
    </w:p>
    <w:p w:rsidR="00892ACB" w:rsidRDefault="00892ACB" w:rsidP="00892ACB">
      <w:r>
        <w:t>Также неотъемлемой частью анализа деятельности является принятие стратегических решений на основе проведенных исследований.</w:t>
      </w:r>
    </w:p>
    <w:p w:rsidR="00CD2D48" w:rsidRPr="001B301B" w:rsidRDefault="00CD2D48" w:rsidP="005A3F8B">
      <w:r w:rsidRPr="001B301B">
        <w:t>Цель</w:t>
      </w:r>
      <w:r w:rsidR="00E572BF">
        <w:t xml:space="preserve"> </w:t>
      </w:r>
      <w:r w:rsidR="00542C9F">
        <w:t>выпускной квалификационной работы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бухгалтерской</w:t>
      </w:r>
      <w:r w:rsidR="00E572BF">
        <w:t xml:space="preserve"> </w:t>
      </w:r>
      <w:r w:rsidRPr="001B301B">
        <w:t>отчетности</w:t>
      </w:r>
      <w:r w:rsidR="00E572BF">
        <w:t xml:space="preserve"> </w:t>
      </w:r>
      <w:r w:rsidRPr="001B301B">
        <w:t>провести</w:t>
      </w:r>
      <w:r w:rsidR="00E572BF">
        <w:t xml:space="preserve"> </w:t>
      </w:r>
      <w:r w:rsidRPr="001B301B">
        <w:t>анализ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="009C5B50">
        <w:t>АО Банк</w:t>
      </w:r>
      <w:r w:rsidR="00E572BF">
        <w:t xml:space="preserve"> </w:t>
      </w:r>
      <w:r w:rsidR="007C0C98" w:rsidRPr="001B301B">
        <w:t>«</w:t>
      </w:r>
      <w:r w:rsidR="00EB742D">
        <w:t>Венец</w:t>
      </w:r>
      <w:r w:rsidR="007C0C98" w:rsidRPr="001B301B">
        <w:t>»</w:t>
      </w:r>
      <w:r w:rsidRPr="001B301B">
        <w:t>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качестве</w:t>
      </w:r>
      <w:r w:rsidR="00E572BF">
        <w:t xml:space="preserve"> </w:t>
      </w:r>
      <w:r w:rsidR="00980D64" w:rsidRPr="001B301B">
        <w:t>исследуемого</w:t>
      </w:r>
      <w:r w:rsidR="00E572BF">
        <w:t xml:space="preserve"> </w:t>
      </w:r>
      <w:r w:rsidR="0097049B" w:rsidRPr="001B301B">
        <w:t>документа</w:t>
      </w:r>
      <w:r w:rsidR="00E572BF">
        <w:t xml:space="preserve"> </w:t>
      </w:r>
      <w:r w:rsidRPr="001B301B">
        <w:t>оценки</w:t>
      </w:r>
      <w:r w:rsidR="00E572BF">
        <w:t xml:space="preserve"> </w:t>
      </w:r>
      <w:r w:rsidRPr="001B301B">
        <w:t>выступает</w:t>
      </w:r>
      <w:r w:rsidR="00E572BF">
        <w:t xml:space="preserve"> </w:t>
      </w:r>
      <w:r w:rsidRPr="001B301B">
        <w:t>финансовая</w:t>
      </w:r>
      <w:r w:rsidR="00E572BF">
        <w:t xml:space="preserve"> </w:t>
      </w:r>
      <w:r w:rsidRPr="001B301B">
        <w:t>отчетность</w:t>
      </w:r>
      <w:r w:rsidR="00E572BF">
        <w:t xml:space="preserve"> </w:t>
      </w:r>
      <w:r w:rsidRPr="001B301B">
        <w:t>банка.</w:t>
      </w:r>
    </w:p>
    <w:p w:rsidR="00CD2D48" w:rsidRDefault="00CD2D48" w:rsidP="005A3F8B">
      <w:r w:rsidRPr="001B301B">
        <w:t>Задачи</w:t>
      </w:r>
      <w:r w:rsidR="00E572BF">
        <w:t xml:space="preserve"> </w:t>
      </w:r>
      <w:r w:rsidR="009B1DDF">
        <w:t>выпускной квалификационной работы</w:t>
      </w:r>
      <w:r w:rsidRPr="001B301B">
        <w:t>:</w:t>
      </w:r>
    </w:p>
    <w:p w:rsidR="00313371" w:rsidRDefault="00313371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>
        <w:t>Раскрыть сущность анализа банковской деятельности.</w:t>
      </w:r>
    </w:p>
    <w:p w:rsidR="00313371" w:rsidRDefault="00CD2D48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 w:rsidRPr="001B301B">
        <w:t>Дать</w:t>
      </w:r>
      <w:r w:rsidR="00E572BF">
        <w:t xml:space="preserve"> </w:t>
      </w:r>
      <w:r w:rsidRPr="001B301B">
        <w:t>характеристику</w:t>
      </w:r>
      <w:r w:rsidR="00E572BF">
        <w:t xml:space="preserve"> </w:t>
      </w:r>
      <w:r w:rsidRPr="001B301B">
        <w:t>объекта</w:t>
      </w:r>
      <w:r w:rsidR="00E572BF">
        <w:t xml:space="preserve"> </w:t>
      </w:r>
      <w:r w:rsidRPr="001B301B">
        <w:t>исследования.</w:t>
      </w:r>
    </w:p>
    <w:p w:rsidR="00313371" w:rsidRDefault="00CD2D48" w:rsidP="00542C9F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 w:rsidRPr="001B301B">
        <w:lastRenderedPageBreak/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бухгалтерской</w:t>
      </w:r>
      <w:r w:rsidR="00E572BF">
        <w:t xml:space="preserve"> </w:t>
      </w:r>
      <w:r w:rsidRPr="001B301B">
        <w:t>отчетности,</w:t>
      </w:r>
      <w:r w:rsidR="00E572BF">
        <w:t xml:space="preserve"> </w:t>
      </w:r>
      <w:r w:rsidRPr="001B301B">
        <w:t>отчета</w:t>
      </w:r>
      <w:r w:rsidR="00E572BF">
        <w:t xml:space="preserve"> </w:t>
      </w:r>
      <w:r w:rsidRPr="001B301B">
        <w:t>о</w:t>
      </w:r>
      <w:r w:rsidR="00E572BF">
        <w:t xml:space="preserve"> </w:t>
      </w:r>
      <w:r w:rsidRPr="001B301B">
        <w:t>прибылях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убытках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отчете</w:t>
      </w:r>
      <w:r w:rsidR="00E572BF">
        <w:t xml:space="preserve"> </w:t>
      </w:r>
      <w:r w:rsidRPr="001B301B">
        <w:t>об</w:t>
      </w:r>
      <w:r w:rsidR="00E572BF">
        <w:t xml:space="preserve"> </w:t>
      </w:r>
      <w:r w:rsidRPr="001B301B">
        <w:t>уровне</w:t>
      </w:r>
      <w:r w:rsidR="00E572BF">
        <w:t xml:space="preserve"> </w:t>
      </w:r>
      <w:r w:rsidRPr="001B301B">
        <w:t>достаточности</w:t>
      </w:r>
      <w:r w:rsidR="00E572BF">
        <w:t xml:space="preserve"> </w:t>
      </w:r>
      <w:r w:rsidRPr="001B301B">
        <w:t>капитала</w:t>
      </w:r>
      <w:r w:rsidR="00E572BF">
        <w:t xml:space="preserve"> </w:t>
      </w:r>
      <w:r w:rsidRPr="001B301B">
        <w:t>провести</w:t>
      </w:r>
      <w:r w:rsidR="00E572BF">
        <w:t xml:space="preserve"> </w:t>
      </w:r>
      <w:r w:rsidRPr="001B301B">
        <w:t>анализ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="009C5B50" w:rsidRPr="009C5B50">
        <w:t>АО Банк «Венец»</w:t>
      </w:r>
      <w:r w:rsidR="00E572BF">
        <w:t xml:space="preserve"> </w:t>
      </w:r>
      <w:r w:rsidR="00765450">
        <w:t>в</w:t>
      </w:r>
      <w:r w:rsidR="00E572BF">
        <w:t xml:space="preserve"> </w:t>
      </w:r>
      <w:r w:rsidR="00765450">
        <w:t>сравнении</w:t>
      </w:r>
      <w:r w:rsidR="00E572BF">
        <w:t xml:space="preserve"> </w:t>
      </w:r>
      <w:r w:rsidR="00765450">
        <w:t>с</w:t>
      </w:r>
      <w:r w:rsidR="00E572BF">
        <w:t xml:space="preserve"> </w:t>
      </w:r>
      <w:r w:rsidR="00765450" w:rsidRPr="001B301B">
        <w:t>ООО</w:t>
      </w:r>
      <w:r w:rsidR="00E572BF">
        <w:t xml:space="preserve"> </w:t>
      </w:r>
      <w:r w:rsidR="00765450" w:rsidRPr="001B301B">
        <w:t>Банк</w:t>
      </w:r>
      <w:r w:rsidR="00E572BF">
        <w:t xml:space="preserve"> </w:t>
      </w:r>
      <w:r w:rsidR="00765450" w:rsidRPr="001B301B">
        <w:t>«Хлынов»</w:t>
      </w:r>
      <w:r w:rsidRPr="001B301B">
        <w:t>.</w:t>
      </w:r>
    </w:p>
    <w:p w:rsidR="009B1DDF" w:rsidRPr="001B301B" w:rsidRDefault="009B1DDF" w:rsidP="00542C9F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>
        <w:t>На</w:t>
      </w:r>
      <w:r w:rsidR="00313371">
        <w:t xml:space="preserve"> основе выборки данных создать модель банковской деятельности с применением технологий искусственного интеллекта и анализа больших данных</w:t>
      </w:r>
    </w:p>
    <w:p w:rsidR="0075474E" w:rsidRDefault="00651900" w:rsidP="00542C9F">
      <w:r w:rsidRPr="001B301B">
        <w:t>Объектом</w:t>
      </w:r>
      <w:r w:rsidR="00E572BF">
        <w:t xml:space="preserve"> </w:t>
      </w:r>
      <w:r w:rsidRPr="001B301B">
        <w:t>исследования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="0015612D">
        <w:t>АО</w:t>
      </w:r>
      <w:r w:rsidR="00E572BF">
        <w:t xml:space="preserve"> </w:t>
      </w:r>
      <w:r w:rsidR="0015612D">
        <w:t>Банк</w:t>
      </w:r>
      <w:r w:rsidR="00E572BF">
        <w:t xml:space="preserve"> </w:t>
      </w:r>
      <w:r w:rsidR="0015612D">
        <w:t>«Венец»</w:t>
      </w:r>
      <w:r w:rsidR="002E163A" w:rsidRPr="001B301B">
        <w:t>.</w:t>
      </w:r>
      <w:r w:rsidR="0075474E">
        <w:t xml:space="preserve"> Предметом исследования является </w:t>
      </w:r>
      <w:r w:rsidR="009B1DDF">
        <w:t>банковская деятельность</w:t>
      </w:r>
      <w:r w:rsidR="0075474E">
        <w:t>.</w:t>
      </w:r>
      <w:r w:rsidR="009B1DDF">
        <w:t xml:space="preserve"> Период исследования – 2021-2023 годы.</w:t>
      </w:r>
    </w:p>
    <w:p w:rsidR="00213678" w:rsidRDefault="00213678" w:rsidP="00542C9F">
      <w:r>
        <w:t>Научная новизна данного исследования состоит в использовании актуальных технологий и разработок для анализа банковской деятельности.</w:t>
      </w:r>
      <w:r w:rsidR="007E0A36">
        <w:t xml:space="preserve"> Использование искусственного интеллекта</w:t>
      </w:r>
      <w:r w:rsidR="00137BC9">
        <w:t xml:space="preserve"> позволяет находить неочевидные зависимости, заметные лишь на очен</w:t>
      </w:r>
      <w:r w:rsidR="00191B06">
        <w:t>ь больших временных промежутках, основываясь на значительном количестве характеристик исследуемых сущностей.</w:t>
      </w:r>
    </w:p>
    <w:p w:rsidR="00EF71A9" w:rsidRDefault="00033762" w:rsidP="00542C9F">
      <w:r>
        <w:t>М</w:t>
      </w:r>
      <w:r w:rsidR="00BF62A5">
        <w:t>етодами данного являются статистический и финансовый методы.</w:t>
      </w:r>
    </w:p>
    <w:p w:rsidR="00CD2D48" w:rsidRPr="00EF71A9" w:rsidRDefault="00CD2D48" w:rsidP="00542C9F">
      <w:r w:rsidRPr="001B301B">
        <w:rPr>
          <w:rFonts w:cs="Times New Roman"/>
          <w:szCs w:val="28"/>
        </w:rPr>
        <w:br w:type="page"/>
      </w:r>
    </w:p>
    <w:p w:rsidR="00BC2758" w:rsidRPr="00BD0E6C" w:rsidRDefault="00BD04BB" w:rsidP="00F8735C">
      <w:pPr>
        <w:pStyle w:val="1"/>
        <w:ind w:left="709" w:firstLine="0"/>
      </w:pPr>
      <w:bookmarkStart w:id="1" w:name="_Toc168090066"/>
      <w:r>
        <w:lastRenderedPageBreak/>
        <w:t>Г</w:t>
      </w:r>
      <w:r w:rsidR="00F07382">
        <w:rPr>
          <w:caps w:val="0"/>
        </w:rPr>
        <w:t>лава</w:t>
      </w:r>
      <w:r w:rsidR="00E572BF">
        <w:t xml:space="preserve"> </w:t>
      </w:r>
      <w:r w:rsidR="00453A4C" w:rsidRPr="00BD0E6C">
        <w:t>1</w:t>
      </w:r>
      <w:r w:rsidR="00E572BF">
        <w:t xml:space="preserve"> </w:t>
      </w:r>
      <w:r w:rsidR="00F07382">
        <w:rPr>
          <w:caps w:val="0"/>
        </w:rPr>
        <w:t>Т</w:t>
      </w:r>
      <w:r w:rsidR="00F07382" w:rsidRPr="00BD0E6C">
        <w:rPr>
          <w:caps w:val="0"/>
        </w:rPr>
        <w:t>еория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и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методики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анализа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финансового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состояния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коммерческого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банка</w:t>
      </w:r>
      <w:bookmarkEnd w:id="1"/>
    </w:p>
    <w:p w:rsidR="001F2F39" w:rsidRPr="00BD0E6C" w:rsidRDefault="00BD0E6C" w:rsidP="00F8735C">
      <w:pPr>
        <w:pStyle w:val="2"/>
        <w:ind w:left="709" w:firstLine="0"/>
      </w:pPr>
      <w:bookmarkStart w:id="2" w:name="_Toc168090067"/>
      <w:r>
        <w:t>1.1</w:t>
      </w:r>
      <w:r w:rsidR="00E572BF">
        <w:t xml:space="preserve"> </w:t>
      </w:r>
      <w:r w:rsidR="00A24B45" w:rsidRPr="00BD0E6C">
        <w:t>Задачи</w:t>
      </w:r>
      <w:r w:rsidR="00E572BF">
        <w:t xml:space="preserve"> </w:t>
      </w:r>
      <w:r w:rsidR="00A24B45" w:rsidRPr="00BD0E6C">
        <w:t>анализа</w:t>
      </w:r>
      <w:r w:rsidR="00E572BF">
        <w:t xml:space="preserve"> </w:t>
      </w:r>
      <w:r w:rsidR="00A24B45" w:rsidRPr="00BD0E6C">
        <w:t>финансового</w:t>
      </w:r>
      <w:r w:rsidR="00E572BF">
        <w:t xml:space="preserve"> </w:t>
      </w:r>
      <w:r w:rsidR="00A24B45" w:rsidRPr="00BD0E6C">
        <w:t>состояния</w:t>
      </w:r>
      <w:r w:rsidR="00E572BF">
        <w:t xml:space="preserve"> </w:t>
      </w:r>
      <w:r w:rsidR="00A24B45" w:rsidRPr="00BD0E6C">
        <w:t>банка</w:t>
      </w:r>
      <w:r w:rsidR="00E572BF">
        <w:t xml:space="preserve"> </w:t>
      </w:r>
      <w:r w:rsidR="00A24B45" w:rsidRPr="00BD0E6C">
        <w:t>и</w:t>
      </w:r>
      <w:r w:rsidR="00E572BF">
        <w:t xml:space="preserve"> </w:t>
      </w:r>
      <w:r w:rsidR="00A24B45" w:rsidRPr="00BD0E6C">
        <w:t>подходы</w:t>
      </w:r>
      <w:r w:rsidR="00E572BF">
        <w:t xml:space="preserve"> </w:t>
      </w:r>
      <w:r w:rsidR="00A24B45" w:rsidRPr="00BD0E6C">
        <w:t>к</w:t>
      </w:r>
      <w:r w:rsidR="00E572BF">
        <w:t xml:space="preserve"> </w:t>
      </w:r>
      <w:r w:rsidR="00A24B45" w:rsidRPr="00BD0E6C">
        <w:t>его</w:t>
      </w:r>
      <w:r w:rsidR="00E572BF">
        <w:t xml:space="preserve"> </w:t>
      </w:r>
      <w:r w:rsidR="00A24B45" w:rsidRPr="00BD0E6C">
        <w:t>проведению</w:t>
      </w:r>
      <w:bookmarkEnd w:id="2"/>
    </w:p>
    <w:p w:rsidR="004C1CDE" w:rsidRPr="004C1CDE" w:rsidRDefault="004C1CDE" w:rsidP="004C1CDE"/>
    <w:p w:rsidR="001C59EC" w:rsidRDefault="00E26CEC" w:rsidP="00453A4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Деятельности банка включает множество показателей, по которым можно прогнозировать</w:t>
      </w:r>
      <w:r w:rsidR="00F3622D">
        <w:rPr>
          <w:rFonts w:eastAsia="Times New Roman" w:cs="Times New Roman"/>
          <w:szCs w:val="28"/>
          <w:lang w:eastAsia="ru-RU"/>
        </w:rPr>
        <w:t xml:space="preserve"> вероятность тех или иных событий, а также </w:t>
      </w:r>
      <w:r w:rsidR="001C59EC">
        <w:rPr>
          <w:rFonts w:eastAsia="Times New Roman" w:cs="Times New Roman"/>
          <w:szCs w:val="28"/>
          <w:lang w:eastAsia="ru-RU"/>
        </w:rPr>
        <w:t>строить зависимости между отдельными сферами деятельности</w:t>
      </w:r>
      <w:r w:rsidR="00453A4C" w:rsidRPr="00453A4C">
        <w:rPr>
          <w:rFonts w:eastAsia="Times New Roman" w:cs="Times New Roman"/>
          <w:szCs w:val="28"/>
          <w:lang w:eastAsia="ru-RU"/>
        </w:rPr>
        <w:t>.</w:t>
      </w:r>
      <w:r w:rsidR="00397F5C">
        <w:rPr>
          <w:rFonts w:eastAsia="Times New Roman" w:cs="Times New Roman"/>
          <w:szCs w:val="28"/>
          <w:lang w:eastAsia="ru-RU"/>
        </w:rPr>
        <w:t xml:space="preserve"> Результаты важны планирования будущей политики банка, а также для предоставления отчетов в надзорные органы.</w:t>
      </w:r>
    </w:p>
    <w:p w:rsidR="00453A4C" w:rsidRPr="00453A4C" w:rsidRDefault="00453A4C" w:rsidP="00453A4C">
      <w:pPr>
        <w:rPr>
          <w:rFonts w:eastAsia="Times New Roman" w:cs="Times New Roman"/>
          <w:szCs w:val="28"/>
          <w:lang w:eastAsia="ru-RU"/>
        </w:rPr>
      </w:pPr>
      <w:r w:rsidRPr="00453A4C">
        <w:rPr>
          <w:rFonts w:eastAsia="Times New Roman" w:cs="Times New Roman"/>
          <w:szCs w:val="28"/>
          <w:lang w:eastAsia="ru-RU"/>
        </w:rPr>
        <w:t>Поэтому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требуется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комплексный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подход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тщательно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продуманная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тактика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для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улучшения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гибкая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система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контроля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[1].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Одним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вариантов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оценки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деятельность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является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изучение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его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отчетности.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Если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она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составлена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соответствии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МСФО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(Международный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стандарт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отчетности),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ней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будет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содержаться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обширная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информация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функционировании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определенный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период.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тщательной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оценке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данных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можно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получить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полное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представление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общих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направлениях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работы,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положении,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структуре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активов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перспективах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развития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</w:p>
    <w:p w:rsidR="00453A4C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Наиболее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популярным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экспресс-анализа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является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коэффициентов,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позволяющий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формализовать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процесс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оценки.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свое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время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наиболее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популярным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«открытым»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дистанционного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экспресс-анализа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был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Кромонова,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представляющий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сумму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взвешенных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показателей,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или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степени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характеризующих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</w:t>
      </w:r>
      <w:r w:rsidR="00453A4C">
        <w:rPr>
          <w:rFonts w:eastAsia="Times New Roman" w:cs="Times New Roman"/>
          <w:szCs w:val="28"/>
          <w:lang w:eastAsia="ru-RU"/>
        </w:rPr>
        <w:t>дежность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кредитной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организации.</w:t>
      </w:r>
    </w:p>
    <w:p w:rsidR="00BC2758" w:rsidRPr="00BC2758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Одним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пионеров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автоматизированных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систем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была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компания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ИНЭК,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по-прежнему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ведущая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активную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предлагающая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собственные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программы,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методики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</w:t>
      </w:r>
      <w:r w:rsidRPr="00BC2758">
        <w:rPr>
          <w:rFonts w:eastAsia="Times New Roman" w:cs="Times New Roman"/>
          <w:szCs w:val="28"/>
          <w:lang w:eastAsia="ru-RU"/>
        </w:rPr>
        <w:lastRenderedPageBreak/>
        <w:t>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банков.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Существуют</w:t>
      </w:r>
      <w:r w:rsidR="000C1073">
        <w:rPr>
          <w:rFonts w:eastAsia="Times New Roman" w:cs="Times New Roman"/>
          <w:szCs w:val="28"/>
          <w:lang w:eastAsia="ru-RU"/>
        </w:rPr>
        <w:t xml:space="preserve"> также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опубликованные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методики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Европейского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Трастового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других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банков</w:t>
      </w:r>
      <w:r w:rsidRPr="00BC2758">
        <w:rPr>
          <w:rFonts w:eastAsia="Times New Roman" w:cs="Times New Roman"/>
          <w:szCs w:val="28"/>
          <w:lang w:eastAsia="ru-RU"/>
        </w:rPr>
        <w:t>.</w:t>
      </w:r>
    </w:p>
    <w:p w:rsidR="00BC2758" w:rsidRPr="00BC2758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Большое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внимание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уделяет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«Банковский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аналитиков»,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эгидой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Европейского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Трастового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Академии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правительстве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РФ.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рамках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проводятся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ежегодные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семинары,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посвященные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финансово-аналитической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работы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коммерческих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банках.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2000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(22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марта)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состоялся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семинар,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целиком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посвященный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оценки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коммерческих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[9].</w:t>
      </w:r>
    </w:p>
    <w:p w:rsidR="00BC2758" w:rsidRDefault="00BC2758" w:rsidP="0089050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Недавно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эгидой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«Связь</w:t>
      </w:r>
      <w:r w:rsidR="00CC38E0">
        <w:rPr>
          <w:rFonts w:eastAsia="Times New Roman" w:cs="Times New Roman"/>
          <w:szCs w:val="28"/>
          <w:lang w:eastAsia="ru-RU"/>
        </w:rPr>
        <w:t>-Б</w:t>
      </w:r>
      <w:r w:rsidR="00CC38E0" w:rsidRPr="00BC2758">
        <w:rPr>
          <w:rFonts w:eastAsia="Times New Roman" w:cs="Times New Roman"/>
          <w:szCs w:val="28"/>
          <w:lang w:eastAsia="ru-RU"/>
        </w:rPr>
        <w:t>анка»</w:t>
      </w:r>
      <w:r w:rsidR="00CC38E0">
        <w:rPr>
          <w:rFonts w:eastAsia="Times New Roman" w:cs="Times New Roman"/>
          <w:szCs w:val="28"/>
          <w:lang w:eastAsia="ru-RU"/>
        </w:rPr>
        <w:t xml:space="preserve"> (присоединен к ПСБ)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«Аналитика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без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границ»,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где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можно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найти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только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интересные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аналитические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материалы,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информацию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стран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СНГ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Балтии.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Ранее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достаточно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активно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освещалась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также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ежегодной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Ялтинской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межбанковской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конференции</w:t>
      </w:r>
      <w:r w:rsidR="00890508">
        <w:rPr>
          <w:rFonts w:eastAsia="Times New Roman" w:cs="Times New Roman"/>
          <w:szCs w:val="28"/>
          <w:lang w:eastAsia="ru-RU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Предлагаемые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настоящей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методикой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подходы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базируются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регулируемых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России,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нацелены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комплексного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отчетности,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официальной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Конечная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состоит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проблем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ранних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стадиях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формирования.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Эти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проблемы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совершенно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разными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непродуктивного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неоптимизированного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активами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пассивами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отзыва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лицензии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из-за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невыполнения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 </w:t>
      </w: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режима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включая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решения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целесообразности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инспекционных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проверок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тематики,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применяемых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реагирования.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Непосредственно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рамках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решается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задача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получения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картины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текущего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положения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существующих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прогноза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перспективу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года,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неблагоприятном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внешних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условий.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lastRenderedPageBreak/>
        <w:t>Проведение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эффективного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предполагает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ряда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условий.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Ключевыми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условиями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являются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точность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используемой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своевременность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завершенность.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Отсутствие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ведет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недооценке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проблем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иметь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опасные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последствия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ситуации.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представляемых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адекватность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проверяться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процессе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документарного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ходе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инспекционных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проверок,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важный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источник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анализа.</w:t>
      </w:r>
      <w:r w:rsidR="00E572BF">
        <w:rPr>
          <w:rFonts w:cs="Times New Roman"/>
          <w:szCs w:val="28"/>
        </w:rPr>
        <w:t xml:space="preserve"> </w:t>
      </w:r>
      <w:r w:rsidR="00A461C6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A461C6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основан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на: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использовании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характеризующих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виды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выявлением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взаимосвязи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между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показателями;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изучении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факторов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этих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величин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рисков;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сравнении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полученных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средними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показателями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банков.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Система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рамках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методики,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сгруппирована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="00532FDD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направлениям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анализа: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убытках.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Коммерческая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(рентабельность)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операций.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капитала.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ликвидности.</w:t>
      </w:r>
    </w:p>
    <w:p w:rsidR="00B165CC" w:rsidRDefault="00532FDD" w:rsidP="00A24B45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Каждое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направление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содержит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аналитических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позволяющих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выводы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соответствующему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направлению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графики,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характеризующие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и</w:t>
      </w:r>
    </w:p>
    <w:p w:rsidR="00B165CC" w:rsidRDefault="00B165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lastRenderedPageBreak/>
        <w:t>диаграммы,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отражающие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характеристики.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предполагает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соответствия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конкретного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установленным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нормам,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тенденциям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однородной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(особенно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работы,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капитала).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базируется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форм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отчетности: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оборотная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ведомость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счетам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бухгалтерского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учета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(ф.101);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убытках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(ф.102);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расшифровки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(ф.110);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качестве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(ф.116);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ссудах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(ф.117);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(ф.118);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активах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пассивах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востребования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погашения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(ф.125);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расчет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(ф.134);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обязательных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нормативах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(ф.135);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сводный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величине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(ф.153);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размещенных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(ф.302);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межбанковских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депозитах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(ф.501);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корреспондентских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остатках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(ф.603);</w:t>
      </w:r>
    </w:p>
    <w:p w:rsidR="0010353F" w:rsidRDefault="00A24B45" w:rsidP="007C2CD4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10353F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валютных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позициях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(ф.634);</w:t>
      </w:r>
    </w:p>
    <w:p w:rsidR="0042250E" w:rsidRPr="0010353F" w:rsidRDefault="0010353F" w:rsidP="0010353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A24B45" w:rsidRDefault="0074302D" w:rsidP="00E243B4">
      <w:pPr>
        <w:pStyle w:val="2"/>
      </w:pPr>
      <w:bookmarkStart w:id="3" w:name="_Toc168090068"/>
      <w:r>
        <w:lastRenderedPageBreak/>
        <w:t>1.2</w:t>
      </w:r>
      <w:r w:rsidR="00E572BF">
        <w:t xml:space="preserve"> </w:t>
      </w:r>
      <w:r w:rsidR="00A24B45" w:rsidRPr="00A24B45">
        <w:t>Содержание</w:t>
      </w:r>
      <w:r w:rsidR="00E572BF">
        <w:t xml:space="preserve"> </w:t>
      </w:r>
      <w:r w:rsidR="00A24B45" w:rsidRPr="00A24B45">
        <w:t>разделов</w:t>
      </w:r>
      <w:r w:rsidR="00E572BF">
        <w:t xml:space="preserve"> </w:t>
      </w:r>
      <w:r w:rsidR="00A24B45" w:rsidRPr="00A24B45">
        <w:t>анализа</w:t>
      </w:r>
      <w:r w:rsidR="00E572BF">
        <w:t xml:space="preserve"> </w:t>
      </w:r>
      <w:r w:rsidR="00A24B45" w:rsidRPr="00A24B45">
        <w:t>финансового</w:t>
      </w:r>
      <w:r w:rsidR="00E572BF">
        <w:t xml:space="preserve"> </w:t>
      </w:r>
      <w:r w:rsidR="00A24B45" w:rsidRPr="00A24B45">
        <w:t>состояния</w:t>
      </w:r>
      <w:r w:rsidR="00E572BF">
        <w:t xml:space="preserve"> </w:t>
      </w:r>
      <w:r w:rsidR="00A24B45" w:rsidRPr="00A24B45">
        <w:t>банка</w:t>
      </w:r>
      <w:bookmarkEnd w:id="3"/>
    </w:p>
    <w:p w:rsidR="001F2F39" w:rsidRPr="0042250E" w:rsidRDefault="001F2F39" w:rsidP="00A24B45">
      <w:pPr>
        <w:shd w:val="clear" w:color="auto" w:fill="FFFFFF"/>
        <w:rPr>
          <w:rFonts w:cs="Times New Roman"/>
          <w:szCs w:val="28"/>
        </w:rPr>
      </w:pP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целях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обусловленных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забалансовых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таблиц: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1.1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Общая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отчета</w:t>
      </w:r>
      <w:r w:rsidR="007C6880" w:rsidRPr="00ED1D66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1.2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активов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1.3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пассивов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1.4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внебалансовых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статей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226F4C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1F2F39">
        <w:rPr>
          <w:rFonts w:cs="Times New Roman"/>
          <w:szCs w:val="28"/>
        </w:rPr>
        <w:t>1.5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положения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банков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1.6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используемой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расчете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денежно-кредитных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показателей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1.7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Детализированная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доверительном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управлении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1.8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производных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инструментов</w:t>
      </w:r>
      <w:r w:rsidR="0074302D" w:rsidRPr="00ED1D66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предусмотренные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таблицами,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представляют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группировки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валют).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производится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удельного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веса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(доли)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выделить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области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рынка,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где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сосредоточены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деятельности;</w:t>
      </w:r>
    </w:p>
    <w:p w:rsidR="00A24B45" w:rsidRPr="007C6880" w:rsidRDefault="00A24B45" w:rsidP="00F16FFD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риски,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обусловленные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изменениями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активных,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пассивных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забалансовых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коммерческой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</w:t>
      </w:r>
      <w:r w:rsidR="00A83B40">
        <w:rPr>
          <w:rFonts w:cs="Times New Roman"/>
          <w:szCs w:val="28"/>
        </w:rPr>
        <w:t>ющие</w:t>
      </w:r>
      <w:r w:rsidR="00E572BF">
        <w:rPr>
          <w:rFonts w:cs="Times New Roman"/>
          <w:szCs w:val="28"/>
        </w:rPr>
        <w:t xml:space="preserve"> </w:t>
      </w:r>
      <w:r w:rsidR="00A83B40">
        <w:rPr>
          <w:rFonts w:cs="Times New Roman"/>
          <w:szCs w:val="28"/>
        </w:rPr>
        <w:t>таблицы:</w:t>
      </w:r>
    </w:p>
    <w:p w:rsidR="00B165CC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убытках</w:t>
      </w:r>
      <w:r w:rsidR="007C6880" w:rsidRPr="007C6880">
        <w:rPr>
          <w:rFonts w:cs="Times New Roman"/>
          <w:szCs w:val="28"/>
        </w:rPr>
        <w:t>.</w:t>
      </w:r>
    </w:p>
    <w:p w:rsidR="00B165CC" w:rsidRDefault="00B165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непроцентных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расходов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2.5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расходы</w:t>
      </w:r>
      <w:r w:rsidR="007C6880" w:rsidRPr="00ED1D66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Прибыльность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7C6880" w:rsidRPr="00ED1D66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организации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2.9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маржи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2.10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Административно-управленческие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расходы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налоговых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платежей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Указанные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показатели: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расходов,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(ссудных,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лизинговых,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бумагами),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(ссудных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(чистая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маржа),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лизинговых,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бумагами,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компаний,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комиссионных,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прочих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объемов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резервов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чистого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процентного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спрэда,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источники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виды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организации;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коммерческую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изменения;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коммерческую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соответствующие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провести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факторный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(определение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оказывающих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зависимость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видам);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lastRenderedPageBreak/>
        <w:t>предварительно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учетом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убытках)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пассивов;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временном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периоде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(используется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управления,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ходе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способности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управленческого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персонала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планировать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существовать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конкурентной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среде,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обеспечивая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должный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контроль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над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издержками).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целях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степени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капитальной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покрытия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таблицы: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Определение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излишка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(недостатка)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A24B45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3.3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организации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основного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A24B45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3.5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дополнительного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взвешенных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учетом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принимаемого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Сравнительный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величины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формам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0409123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0409134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(«Базель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III»)</w:t>
      </w:r>
      <w:r w:rsidR="007C6880" w:rsidRPr="007C6880">
        <w:rPr>
          <w:rFonts w:cs="Times New Roman"/>
          <w:szCs w:val="28"/>
        </w:rPr>
        <w:t>.</w:t>
      </w:r>
    </w:p>
    <w:p w:rsidR="00235BC9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регулятивных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(основного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дополнительного),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lastRenderedPageBreak/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факторы,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влияющие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точки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зрения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перспективу.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понесения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неисполнения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контрагентом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неполучения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части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долга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платы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пользование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(кредитного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таблиц: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размещения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Отраслевая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ссудного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портфеля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контрагентов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категориям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качества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условных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характера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инструмента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категориям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качества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4.5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Срочные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сделки,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отражаемые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внебалансовых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01.01.2012)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рисков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рисков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инвестиций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доли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(акции)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юридических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лиц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4.9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4.10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общей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величине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ссудам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</w:t>
      </w:r>
      <w:r w:rsidR="009E53D6">
        <w:rPr>
          <w:rFonts w:cs="Times New Roman"/>
          <w:szCs w:val="28"/>
        </w:rPr>
        <w:t>кам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некредитным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D564CC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по</w:t>
      </w:r>
    </w:p>
    <w:p w:rsidR="00D564CC" w:rsidRDefault="00D564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7C6880" w:rsidRDefault="009E53D6" w:rsidP="00D564CC">
      <w:pPr>
        <w:pStyle w:val="a3"/>
        <w:shd w:val="clear" w:color="auto" w:fill="FFFFFF"/>
        <w:tabs>
          <w:tab w:val="left" w:pos="113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заемщикам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наличии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(заемщиков)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организациями</w:t>
      </w:r>
      <w:r w:rsidR="00C13F88" w:rsidRPr="00C13F88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заемщиков,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погашения,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коэффициенты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покрытия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задолженности.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C13F88" w:rsidRDefault="00A24B45" w:rsidP="00F16FFD">
      <w:pPr>
        <w:pStyle w:val="a3"/>
        <w:numPr>
          <w:ilvl w:val="0"/>
          <w:numId w:val="1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(степени)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риска;</w:t>
      </w:r>
    </w:p>
    <w:p w:rsidR="00C13F88" w:rsidRDefault="00A24B45" w:rsidP="00F16FFD">
      <w:pPr>
        <w:pStyle w:val="a3"/>
        <w:numPr>
          <w:ilvl w:val="0"/>
          <w:numId w:val="1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характеризующих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кредитный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риск,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числе:</w:t>
      </w:r>
    </w:p>
    <w:p w:rsidR="00C13F88" w:rsidRPr="001F2F39" w:rsidRDefault="00464C74" w:rsidP="00464C74">
      <w:pPr>
        <w:shd w:val="clear" w:color="auto" w:fill="FFFFFF"/>
        <w:tabs>
          <w:tab w:val="left" w:pos="1134"/>
        </w:tabs>
        <w:ind w:left="425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а)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задолженности;</w:t>
      </w:r>
    </w:p>
    <w:p w:rsidR="00A24B45" w:rsidRPr="001F2F39" w:rsidRDefault="00464C74" w:rsidP="00464C74">
      <w:pPr>
        <w:shd w:val="clear" w:color="auto" w:fill="FFFFFF"/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б)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внебалансовым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рынке;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созданию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резервов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возможные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потери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ссудам;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политики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предварительную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достоверности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отражения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отчетности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сопоставления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результатов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ссудных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операций.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возникновения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неблагоприятных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рыночной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инструментов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курсов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(рыночного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Общая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портфелям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банков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целям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приобретения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участия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капитале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юридических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лиц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A24B45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5.5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рынке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5.6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позиций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5.7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совокупной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балансовой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5.8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совокупной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внебалансовой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5.9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Открытые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эмитентах</w:t>
      </w:r>
      <w:r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вложениях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1)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ссудах,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эмитенту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5.11.1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общей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сумме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5.11.2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Производные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инструменты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5.13.1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удостоверяются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(депозитариями),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депозитариям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5.13.2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Общие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удостоверяются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(депозитариями)</w:t>
      </w:r>
      <w:r w:rsidR="00ED3CCC" w:rsidRPr="00ED3CCC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нормативными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документами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России,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торгового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lastRenderedPageBreak/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инвестиционного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рынке,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обесценения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(валютного,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процентного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фондового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рисков);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величины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риска;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сравнить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составляющих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доходность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бумагами;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рынке;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ликвидность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ценовых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фондового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рынка;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соответствие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валютной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балансовым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внебалансовым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состоянию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тенденциям.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недостатка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помощью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ликвидности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востребования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погашения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сбалансированности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активов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расчетов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6.5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одного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кредитора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(вкладчика)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6.6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остатках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оборотах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корсчету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6.7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Перечень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контрагентов-кредитных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(их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филиалов),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проводятся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расчеты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6.8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Перечень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контрагентов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6.9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зачисленных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6.10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списанных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денежных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A24B45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Та</w:t>
      </w:r>
      <w:r w:rsidR="00464C74">
        <w:rPr>
          <w:rFonts w:cs="Times New Roman"/>
          <w:szCs w:val="28"/>
        </w:rPr>
        <w:t>блица</w:t>
      </w:r>
      <w:r w:rsidR="00E572BF">
        <w:rPr>
          <w:rFonts w:cs="Times New Roman"/>
          <w:szCs w:val="28"/>
        </w:rPr>
        <w:t xml:space="preserve"> </w:t>
      </w:r>
      <w:r w:rsidR="00464C74">
        <w:rPr>
          <w:rFonts w:cs="Times New Roman"/>
          <w:szCs w:val="28"/>
        </w:rPr>
        <w:t>6.11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платежей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корсчетов,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(индикаторы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платежеспособности),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соотношения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заемных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текущих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стабильности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ресурсов,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«расчетной»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ликвидностью;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провести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факторный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(структура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высоколиквидных,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суммарных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банка);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стабильность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ресурсной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зависимость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привлечения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вкладчиков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иностранных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кредиторов;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расчетов;</w:t>
      </w:r>
    </w:p>
    <w:p w:rsidR="00A24B45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перспективу.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перечисленных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рассматривать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совокупности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выводами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другим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таблицам.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составляется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которое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обобщающие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выводы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каждому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разде</w:t>
      </w:r>
      <w:r w:rsidRPr="00A24B45">
        <w:rPr>
          <w:rFonts w:cs="Times New Roman"/>
          <w:szCs w:val="28"/>
        </w:rPr>
        <w:lastRenderedPageBreak/>
        <w:t>лу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Подготовка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итогового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основывается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экспертной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анализируемых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макроэкономической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важнейших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секторов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экономики,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рынков.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Необходимые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уточнения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сделаны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инфляции.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разделов,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соответствующих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вышеприведенным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направлениям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содержать:</w:t>
      </w:r>
    </w:p>
    <w:p w:rsidR="00A24B45" w:rsidRPr="00BE4BD4" w:rsidRDefault="00A24B45" w:rsidP="00F16FFD">
      <w:pPr>
        <w:pStyle w:val="a3"/>
        <w:numPr>
          <w:ilvl w:val="0"/>
          <w:numId w:val="2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общую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включая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анализируемый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степень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подверженности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различным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рискам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момент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ближайшую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перспективу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(1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год),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деятельности,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подлежащие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первоочередной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проверке;</w:t>
      </w:r>
    </w:p>
    <w:p w:rsidR="006077CB" w:rsidRPr="004101A4" w:rsidRDefault="00A24B45" w:rsidP="004101A4">
      <w:pPr>
        <w:pStyle w:val="a3"/>
        <w:numPr>
          <w:ilvl w:val="0"/>
          <w:numId w:val="2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заключение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степени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включающее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рекомендации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улучшению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деятельности.</w:t>
      </w:r>
      <w:r w:rsidR="006077CB" w:rsidRPr="004101A4">
        <w:rPr>
          <w:rFonts w:cs="Times New Roman"/>
          <w:szCs w:val="28"/>
        </w:rPr>
        <w:br w:type="page"/>
      </w:r>
    </w:p>
    <w:p w:rsidR="00E85DC6" w:rsidRDefault="00714BF2" w:rsidP="00E85DC6">
      <w:pPr>
        <w:pStyle w:val="1"/>
      </w:pPr>
      <w:bookmarkStart w:id="4" w:name="_Toc168090069"/>
      <w:r>
        <w:lastRenderedPageBreak/>
        <w:t>Г</w:t>
      </w:r>
      <w:r>
        <w:rPr>
          <w:caps w:val="0"/>
        </w:rPr>
        <w:t>лава</w:t>
      </w:r>
      <w:r w:rsidR="00E572BF">
        <w:rPr>
          <w:caps w:val="0"/>
        </w:rPr>
        <w:t xml:space="preserve"> </w:t>
      </w:r>
      <w:r w:rsidR="00E85DC6">
        <w:t>2</w:t>
      </w:r>
      <w:r w:rsidR="00E572BF">
        <w:t xml:space="preserve"> </w:t>
      </w:r>
      <w:r>
        <w:rPr>
          <w:caps w:val="0"/>
        </w:rPr>
        <w:t>К</w:t>
      </w:r>
      <w:r w:rsidRPr="001B301B">
        <w:rPr>
          <w:caps w:val="0"/>
        </w:rPr>
        <w:t>раткая</w:t>
      </w:r>
      <w:r w:rsidR="00E572BF">
        <w:t xml:space="preserve"> </w:t>
      </w:r>
      <w:r w:rsidRPr="001B301B">
        <w:rPr>
          <w:caps w:val="0"/>
        </w:rPr>
        <w:t>характеристика</w:t>
      </w:r>
      <w:r w:rsidR="00E572BF">
        <w:rPr>
          <w:caps w:val="0"/>
        </w:rPr>
        <w:t xml:space="preserve"> </w:t>
      </w:r>
      <w:r>
        <w:rPr>
          <w:caps w:val="0"/>
        </w:rPr>
        <w:t>банков</w:t>
      </w:r>
      <w:bookmarkEnd w:id="4"/>
    </w:p>
    <w:p w:rsidR="00B41F92" w:rsidRPr="00626639" w:rsidRDefault="00E85DC6" w:rsidP="00626639">
      <w:pPr>
        <w:pStyle w:val="2"/>
      </w:pPr>
      <w:bookmarkStart w:id="5" w:name="_Toc168090070"/>
      <w:r w:rsidRPr="00626639">
        <w:t>2.1</w:t>
      </w:r>
      <w:r w:rsidR="00E572BF">
        <w:t xml:space="preserve"> </w:t>
      </w:r>
      <w:r w:rsidRPr="00626639">
        <w:t>Краткая</w:t>
      </w:r>
      <w:r w:rsidR="00E572BF">
        <w:t xml:space="preserve"> </w:t>
      </w:r>
      <w:r w:rsidRPr="00626639">
        <w:t>характеристика</w:t>
      </w:r>
      <w:r w:rsidR="00E572BF">
        <w:t xml:space="preserve"> </w:t>
      </w:r>
      <w:r w:rsidR="00EB742D" w:rsidRPr="00626639">
        <w:t>АО</w:t>
      </w:r>
      <w:r w:rsidR="00E572BF">
        <w:t xml:space="preserve"> </w:t>
      </w:r>
      <w:r w:rsidR="00EB742D" w:rsidRPr="00626639">
        <w:t>Банк</w:t>
      </w:r>
      <w:r w:rsidR="00E572BF">
        <w:t xml:space="preserve"> </w:t>
      </w:r>
      <w:r w:rsidR="00EB742D" w:rsidRPr="00626639">
        <w:t>«Венец»</w:t>
      </w:r>
      <w:r w:rsidR="00671A88">
        <w:t xml:space="preserve"> и </w:t>
      </w:r>
      <w:r w:rsidR="00671A88" w:rsidRPr="00671A88">
        <w:t>ООО Банк «Хлынов»</w:t>
      </w:r>
      <w:bookmarkEnd w:id="5"/>
    </w:p>
    <w:p w:rsidR="00452E26" w:rsidRPr="001B301B" w:rsidRDefault="00452E26" w:rsidP="00452E26"/>
    <w:p w:rsidR="00C61E35" w:rsidRPr="0078156D" w:rsidRDefault="00C61E35" w:rsidP="001A4923">
      <w:pPr>
        <w:pStyle w:val="ac"/>
        <w:shd w:val="clear" w:color="auto" w:fill="FFFFFF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8156D">
        <w:rPr>
          <w:rFonts w:eastAsiaTheme="minorHAnsi"/>
          <w:sz w:val="28"/>
          <w:szCs w:val="28"/>
          <w:lang w:eastAsia="en-US"/>
        </w:rPr>
        <w:t>Банк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«Венец»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создан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1990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году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базе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Операционного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управления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Промстройбанка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является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единственным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региональным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банком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Ульяновской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области.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За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30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лет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существования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стал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лауреатом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ежегодной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премии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«Банковское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дело»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номинации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«Лучший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Региональный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заслужил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статус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«Региональный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банк-партнер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Правительства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Ульяновской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области»,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присвоен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кредитный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рейтинг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В-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(рейтинговое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агентство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АКРА).</w:t>
      </w:r>
    </w:p>
    <w:p w:rsidR="00C61E35" w:rsidRPr="0078156D" w:rsidRDefault="00C61E35" w:rsidP="001A4923">
      <w:pPr>
        <w:pStyle w:val="ac"/>
        <w:shd w:val="clear" w:color="auto" w:fill="FFFFFF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8156D">
        <w:rPr>
          <w:rFonts w:eastAsiaTheme="minorHAnsi"/>
          <w:sz w:val="28"/>
          <w:szCs w:val="28"/>
          <w:lang w:eastAsia="en-US"/>
        </w:rPr>
        <w:t>После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23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лет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успешного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существования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2013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году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="00D564CC">
        <w:rPr>
          <w:rFonts w:eastAsiaTheme="minorHAnsi"/>
          <w:sz w:val="28"/>
          <w:szCs w:val="28"/>
          <w:lang w:eastAsia="en-US"/>
        </w:rPr>
        <w:t>б</w:t>
      </w:r>
      <w:r w:rsidRPr="0078156D">
        <w:rPr>
          <w:rFonts w:eastAsiaTheme="minorHAnsi"/>
          <w:sz w:val="28"/>
          <w:szCs w:val="28"/>
          <w:lang w:eastAsia="en-US"/>
        </w:rPr>
        <w:t>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начал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процесс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ребрендинга.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Смена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визуального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оформления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сопровождается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изменением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концепции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работы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своими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клиентами,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расширением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сети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обслуживания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появлением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новых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современных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банковских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услуг.</w:t>
      </w:r>
    </w:p>
    <w:p w:rsidR="001A5D88" w:rsidRDefault="00C61E35" w:rsidP="001A4923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78156D">
        <w:rPr>
          <w:rFonts w:cs="Times New Roman"/>
          <w:szCs w:val="28"/>
        </w:rPr>
        <w:t>Сеть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обслуживания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сегодня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включает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дополнительных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офисов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Ульяновской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области.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имеется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представительство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564CC">
        <w:rPr>
          <w:rFonts w:eastAsia="Times New Roman" w:cs="Times New Roman"/>
          <w:color w:val="000000"/>
          <w:szCs w:val="28"/>
          <w:lang w:eastAsia="ru-RU"/>
        </w:rPr>
        <w:t>б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г.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Москве.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Основные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направления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деятельности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1A5D88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ткрытие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ведение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валюте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асчетно-кассовое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ривлечение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востребования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определенный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срок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редитование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перации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векселями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тдельные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виды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операций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валютой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существление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функций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агента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контроля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ыдача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Золотая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корона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MasterCard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VISA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роведение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расчетных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операций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использованием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электронных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миссия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международной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MasterCard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ереводы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поручению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открытия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счетов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ереводы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Western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Union,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Contact,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Migom</w:t>
      </w:r>
      <w:r w:rsidR="001A5D8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45B30" w:rsidRDefault="001A5D88" w:rsidP="001A5D8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использует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765450"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Постоянные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поездки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работников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финансовых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служб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различных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отнимают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немало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времени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создают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некоторый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дискомфорт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чаще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поездки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связаны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получением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выписок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оплатой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Сэкономить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повысить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эффективность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позволяет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765450"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состоит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основных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частей,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банковской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клиентской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готовятся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специальной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программе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путем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заполнения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соответствующих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форм.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Обмен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документами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происходит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сеанса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связи,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только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отправляются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подготовленные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подтверждений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ранее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отправленные,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выписок,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автоматическое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обновление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справочников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др.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более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удобного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обслуживания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2501">
        <w:t>АО</w:t>
      </w:r>
      <w:r w:rsidR="00E572BF">
        <w:t xml:space="preserve"> </w:t>
      </w:r>
      <w:r w:rsidR="00502501">
        <w:t>Банк</w:t>
      </w:r>
      <w:r w:rsidR="00E572BF">
        <w:t xml:space="preserve"> </w:t>
      </w:r>
      <w:r w:rsidR="00502501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предлагает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открыть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Доллар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США,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Евро.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держать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евро,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оплачивать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покупки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снимать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банкомате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помощью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местной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</w:t>
      </w:r>
      <w:r w:rsidR="00A45B30">
        <w:rPr>
          <w:rFonts w:eastAsia="Times New Roman" w:cs="Times New Roman"/>
          <w:color w:val="000000"/>
          <w:szCs w:val="28"/>
          <w:lang w:eastAsia="ru-RU"/>
        </w:rPr>
        <w:t>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США,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евро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картам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выдаются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головном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офисе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дополнительных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офисах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независимо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карты.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предлагает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услуги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аренде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индивидуальных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ячеек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любого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размера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сбережения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ценностей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берет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себя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обязательства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имущества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гарантирует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тайну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сохранность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того,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что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дорого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используется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lastRenderedPageBreak/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ценностей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Предметом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индивидуальной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быть: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оружие,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легковоспламеняющиеся,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ядовитые,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наркотические,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радиоактивные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вещества,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вещества,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повлиять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сохранность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45B30" w:rsidRDefault="0078156D" w:rsidP="001A4923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A5D88">
        <w:rPr>
          <w:rFonts w:eastAsia="Times New Roman" w:cs="Times New Roman"/>
          <w:color w:val="000000"/>
          <w:szCs w:val="28"/>
          <w:lang w:eastAsia="ru-RU"/>
        </w:rPr>
        <w:t>Организационная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б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анка.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Банк,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котором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проходил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D2F8B">
        <w:rPr>
          <w:rFonts w:eastAsia="Times New Roman" w:cs="Times New Roman"/>
          <w:color w:val="000000"/>
          <w:szCs w:val="28"/>
          <w:lang w:eastAsia="ru-RU"/>
        </w:rPr>
        <w:t>практику,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подразделяется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несколько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отделов: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операционный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выдачи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оформления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кредитов</w:t>
      </w:r>
      <w:r w:rsid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896702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переводов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0E15D5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страхования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0E15D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E15D5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Расчетное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6702">
        <w:rPr>
          <w:rFonts w:eastAsia="Times New Roman" w:cs="Times New Roman"/>
          <w:color w:val="000000"/>
          <w:szCs w:val="28"/>
          <w:lang w:eastAsia="ru-RU"/>
        </w:rPr>
        <w:t>–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самые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востребованные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услуги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хозяйствующих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субъектов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всех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форм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собственности.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безналичных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переводов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валюте,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зачисление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валюте.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бесплатные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консультации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любым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расчетов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правильному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оформлению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нескольким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направлениям: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торговой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выручки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предпринимателей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зачислен</w:t>
      </w:r>
      <w:r>
        <w:rPr>
          <w:rFonts w:eastAsia="Times New Roman" w:cs="Times New Roman"/>
          <w:color w:val="000000"/>
          <w:szCs w:val="28"/>
          <w:lang w:eastAsia="ru-RU"/>
        </w:rPr>
        <w:t>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расчетные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счета</w:t>
      </w:r>
      <w:r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ыдача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вед</w:t>
      </w:r>
      <w:r>
        <w:rPr>
          <w:rFonts w:eastAsia="Times New Roman" w:cs="Times New Roman"/>
          <w:color w:val="000000"/>
          <w:szCs w:val="28"/>
          <w:lang w:eastAsia="ru-RU"/>
        </w:rPr>
        <w:t>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хозяйственной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деятельности;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экспертизу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сомнительных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знаков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валюте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редварительная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подготовка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предприятия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выплату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заработной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платы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другие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нужды.</w:t>
      </w:r>
    </w:p>
    <w:p w:rsidR="005833B9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Расчетное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организаций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основании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договора,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заключаемого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между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банком.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последующего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зачисления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текущие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lastRenderedPageBreak/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производится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приходными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документами.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Операционный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работник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проверя</w:t>
      </w:r>
      <w:r w:rsidR="005833B9">
        <w:rPr>
          <w:rFonts w:eastAsia="Times New Roman" w:cs="Times New Roman"/>
          <w:color w:val="000000"/>
          <w:szCs w:val="28"/>
          <w:lang w:eastAsia="ru-RU"/>
        </w:rPr>
        <w:t>е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правильность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оформляет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передает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бухгалтеру-контролеру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отражения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журнале.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конце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рабочего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дня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основании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кассир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составляет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отчетную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справку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оборотах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остатках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ценностей,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сверяет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справки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фактически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принятых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денег.</w:t>
      </w:r>
    </w:p>
    <w:p w:rsidR="005833B9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Деятельность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отдела.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обращающийся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получением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представляет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где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содержатся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исходные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данные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требуемой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ссуде: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цель,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размер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предполагаемое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обеспечение.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требует,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чтобы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были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приложены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финансовые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служащие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обоснованием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просьбы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предоставлении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объясняющие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причины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обращения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состав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пакета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сопроводительных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входят: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Баланс,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прибылей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уб</w:t>
      </w:r>
      <w:r w:rsidR="00EB742D">
        <w:rPr>
          <w:rFonts w:eastAsia="Times New Roman" w:cs="Times New Roman"/>
          <w:color w:val="000000"/>
          <w:szCs w:val="28"/>
          <w:lang w:eastAsia="ru-RU"/>
        </w:rPr>
        <w:t>ытков</w:t>
      </w:r>
      <w:r w:rsidRPr="000E15D5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движении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поступлений,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прогноз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финансирования,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налоговые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декларации,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бизнес-планы.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поступает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кредитному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работнику,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который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беседу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руководством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предприятия.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должен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точно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определить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уровень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руководства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порядок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ведения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дел,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обговорить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тонкости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выполнения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обязательств.</w:t>
      </w:r>
    </w:p>
    <w:p w:rsidR="001A4923" w:rsidRDefault="0078156D" w:rsidP="005833B9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страхования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имеет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такую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разместить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российских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США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6702">
        <w:rPr>
          <w:rFonts w:eastAsia="Times New Roman" w:cs="Times New Roman"/>
          <w:color w:val="000000"/>
          <w:szCs w:val="28"/>
          <w:lang w:eastAsia="ru-RU"/>
        </w:rPr>
        <w:t>е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вро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любой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лет.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предусмотрена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дифференцированная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процентная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ставка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зависимости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предусмотрены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режимы: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зависимости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своих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потребностей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выбрать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возможностью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пополнения.</w:t>
      </w:r>
    </w:p>
    <w:p w:rsidR="00D17A86" w:rsidRPr="001B301B" w:rsidRDefault="007478AA" w:rsidP="00D17A86">
      <w:pPr>
        <w:tabs>
          <w:tab w:val="left" w:pos="1418"/>
        </w:tabs>
      </w:pPr>
      <w:r>
        <w:t xml:space="preserve">Характеристика ООО Банк «Хлынов». </w:t>
      </w:r>
      <w:r w:rsidR="00D17A86" w:rsidRPr="001B301B">
        <w:t>6</w:t>
      </w:r>
      <w:r w:rsidR="00E572BF">
        <w:t xml:space="preserve"> </w:t>
      </w:r>
      <w:r w:rsidR="00D17A86" w:rsidRPr="001B301B">
        <w:t>марта</w:t>
      </w:r>
      <w:r w:rsidR="00E572BF">
        <w:t xml:space="preserve"> </w:t>
      </w:r>
      <w:r w:rsidR="00D17A86" w:rsidRPr="001B301B">
        <w:t>1990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зарегистрирован</w:t>
      </w:r>
      <w:r w:rsidR="00E572BF">
        <w:t xml:space="preserve"> </w:t>
      </w:r>
      <w:r w:rsidR="00D17A86" w:rsidRPr="001B301B">
        <w:t>Кировский</w:t>
      </w:r>
      <w:r w:rsidR="00E572BF">
        <w:t xml:space="preserve"> </w:t>
      </w:r>
      <w:r w:rsidR="00D17A86" w:rsidRPr="001B301B">
        <w:t>кооперативный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</w:t>
      </w:r>
      <w:r w:rsidR="00E572BF">
        <w:t xml:space="preserve"> </w:t>
      </w:r>
      <w:r w:rsidR="00D17A86" w:rsidRPr="001B301B">
        <w:t>уставным</w:t>
      </w:r>
      <w:r w:rsidR="00E572BF">
        <w:t xml:space="preserve"> </w:t>
      </w:r>
      <w:r w:rsidR="00D17A86" w:rsidRPr="001B301B">
        <w:t>капиталом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</w:t>
      </w:r>
      <w:r w:rsidR="00E572BF">
        <w:t xml:space="preserve"> </w:t>
      </w:r>
      <w:r w:rsidR="00D17A86" w:rsidRPr="001B301B">
        <w:t>млн</w:t>
      </w:r>
      <w:r w:rsidR="00E572BF">
        <w:t xml:space="preserve"> </w:t>
      </w:r>
      <w:r w:rsidR="00D17A86" w:rsidRPr="001B301B">
        <w:t>рублей.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создавался</w:t>
      </w:r>
      <w:r w:rsidR="00E572BF">
        <w:t xml:space="preserve"> </w:t>
      </w:r>
      <w:r w:rsidR="00D17A86" w:rsidRPr="001B301B">
        <w:t>на</w:t>
      </w:r>
      <w:r w:rsidR="00E572BF">
        <w:t xml:space="preserve"> </w:t>
      </w:r>
      <w:r w:rsidR="00D17A86" w:rsidRPr="001B301B">
        <w:t>паевых</w:t>
      </w:r>
      <w:r w:rsidR="00E572BF">
        <w:t xml:space="preserve"> </w:t>
      </w:r>
      <w:r w:rsidR="00D17A86" w:rsidRPr="001B301B">
        <w:t>началах,</w:t>
      </w:r>
      <w:r w:rsidR="00E572BF">
        <w:t xml:space="preserve"> </w:t>
      </w:r>
      <w:r w:rsidR="00D17A86" w:rsidRPr="001B301B">
        <w:t>среди</w:t>
      </w:r>
      <w:r w:rsidR="00E572BF">
        <w:t xml:space="preserve"> </w:t>
      </w:r>
      <w:r w:rsidR="00D17A86" w:rsidRPr="001B301B">
        <w:t>учредителей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Костинская</w:t>
      </w:r>
      <w:r w:rsidR="00E572BF">
        <w:t xml:space="preserve"> </w:t>
      </w:r>
      <w:r w:rsidR="00D17A86" w:rsidRPr="001B301B">
        <w:t>птицефабрика,</w:t>
      </w:r>
      <w:r w:rsidR="00E572BF">
        <w:t xml:space="preserve"> </w:t>
      </w:r>
      <w:r w:rsidR="00D17A86" w:rsidRPr="001B301B">
        <w:t>«Силикатчик»</w:t>
      </w:r>
      <w:r w:rsidR="00E572BF">
        <w:t xml:space="preserve"> </w:t>
      </w:r>
      <w:r w:rsidR="00D17A86" w:rsidRPr="001B301B">
        <w:t>и</w:t>
      </w:r>
      <w:r w:rsidR="00E572BF">
        <w:t xml:space="preserve"> </w:t>
      </w:r>
      <w:r w:rsidR="00D17A86" w:rsidRPr="001B301B">
        <w:t>др.</w:t>
      </w:r>
      <w:r w:rsidR="00E572BF">
        <w:t xml:space="preserve"> </w:t>
      </w:r>
      <w:r w:rsidR="00D17A86" w:rsidRPr="001B301B">
        <w:t>10</w:t>
      </w:r>
      <w:r w:rsidR="00E572BF">
        <w:t xml:space="preserve"> </w:t>
      </w:r>
      <w:r w:rsidR="00D17A86" w:rsidRPr="001B301B">
        <w:t>июля</w:t>
      </w:r>
      <w:r w:rsidR="00E572BF">
        <w:t xml:space="preserve"> </w:t>
      </w:r>
      <w:r w:rsidR="00D17A86" w:rsidRPr="001B301B">
        <w:t>1991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становится</w:t>
      </w:r>
      <w:r w:rsidR="00E572BF">
        <w:t xml:space="preserve"> </w:t>
      </w:r>
      <w:r w:rsidR="00D17A86" w:rsidRPr="001B301B">
        <w:t>членом</w:t>
      </w:r>
      <w:r w:rsidR="00E572BF">
        <w:t xml:space="preserve"> </w:t>
      </w:r>
      <w:r w:rsidR="00D17A86" w:rsidRPr="001B301B">
        <w:t>Ассоциации</w:t>
      </w:r>
      <w:r w:rsidR="00E572BF">
        <w:t xml:space="preserve"> </w:t>
      </w:r>
      <w:r w:rsidR="00D17A86" w:rsidRPr="001B301B">
        <w:t>российских</w:t>
      </w:r>
      <w:r w:rsidR="00E572BF">
        <w:t xml:space="preserve"> </w:t>
      </w:r>
      <w:r w:rsidR="00D17A86" w:rsidRPr="001B301B">
        <w:t>банков.</w:t>
      </w:r>
      <w:r w:rsidR="00E572BF">
        <w:t xml:space="preserve"> </w:t>
      </w:r>
      <w:r w:rsidR="00D17A86" w:rsidRPr="001B301B">
        <w:t>8</w:t>
      </w:r>
      <w:r w:rsidR="00E572BF">
        <w:t xml:space="preserve"> </w:t>
      </w:r>
      <w:r w:rsidR="00D17A86" w:rsidRPr="001B301B">
        <w:t>февраля</w:t>
      </w:r>
      <w:r w:rsidR="00E572BF">
        <w:t xml:space="preserve"> </w:t>
      </w:r>
      <w:r w:rsidR="00D17A86" w:rsidRPr="001B301B">
        <w:t>1992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был</w:t>
      </w:r>
      <w:r w:rsidR="00E572BF">
        <w:t xml:space="preserve"> </w:t>
      </w:r>
      <w:r w:rsidR="00D17A86" w:rsidRPr="001B301B">
        <w:t>перерегистрирован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Ком</w:t>
      </w:r>
      <w:r w:rsidR="00D17A86" w:rsidRPr="001B301B">
        <w:lastRenderedPageBreak/>
        <w:t>мерческий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«Хлынов»,</w:t>
      </w:r>
      <w:r w:rsidR="00E572BF">
        <w:t xml:space="preserve"> </w:t>
      </w:r>
      <w:r w:rsidR="00D17A86" w:rsidRPr="001B301B">
        <w:t>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1994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акционерно-коммерческий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качестве</w:t>
      </w:r>
      <w:r w:rsidR="00E572BF">
        <w:t xml:space="preserve"> </w:t>
      </w:r>
      <w:hyperlink r:id="rId8" w:tooltip="Акционерное общество" w:history="1">
        <w:r w:rsidR="00D17A86" w:rsidRPr="001B301B">
          <w:t>акционерного</w:t>
        </w:r>
        <w:r w:rsidR="00E572BF">
          <w:t xml:space="preserve"> </w:t>
        </w:r>
        <w:r w:rsidR="00D17A86" w:rsidRPr="001B301B">
          <w:t>общества</w:t>
        </w:r>
      </w:hyperlink>
      <w:r w:rsidR="00E572BF">
        <w:t xml:space="preserve"> </w:t>
      </w:r>
      <w:hyperlink r:id="rId9" w:tooltip="Акционерное общество закрытого типа" w:history="1">
        <w:r w:rsidR="00D17A86" w:rsidRPr="001B301B">
          <w:t>закрытого</w:t>
        </w:r>
        <w:r w:rsidR="00E572BF">
          <w:t xml:space="preserve"> </w:t>
        </w:r>
        <w:r w:rsidR="00D17A86" w:rsidRPr="001B301B">
          <w:t>типа</w:t>
        </w:r>
      </w:hyperlink>
      <w:r w:rsidR="00D17A86" w:rsidRPr="001B301B">
        <w:t>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1997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получена</w:t>
      </w:r>
      <w:r w:rsidR="00E572BF">
        <w:t xml:space="preserve"> </w:t>
      </w:r>
      <w:r w:rsidR="00D17A86" w:rsidRPr="001B301B">
        <w:t>лицензия</w:t>
      </w:r>
      <w:r w:rsidR="00E572BF">
        <w:t xml:space="preserve"> </w:t>
      </w:r>
      <w:r w:rsidR="00D17A86" w:rsidRPr="001B301B">
        <w:t>профессионального</w:t>
      </w:r>
      <w:r w:rsidR="00E572BF">
        <w:t xml:space="preserve"> </w:t>
      </w:r>
      <w:r w:rsidR="00D17A86" w:rsidRPr="001B301B">
        <w:t>участника</w:t>
      </w:r>
      <w:r w:rsidR="00E572BF">
        <w:t xml:space="preserve"> </w:t>
      </w:r>
      <w:r w:rsidR="00D17A86" w:rsidRPr="001B301B">
        <w:t>рынка</w:t>
      </w:r>
      <w:r w:rsidR="00E572BF">
        <w:t xml:space="preserve"> </w:t>
      </w:r>
      <w:r w:rsidR="00D17A86" w:rsidRPr="001B301B">
        <w:t>ценных</w:t>
      </w:r>
      <w:r w:rsidR="00E572BF">
        <w:t xml:space="preserve"> </w:t>
      </w:r>
      <w:r w:rsidR="00D17A86" w:rsidRPr="001B301B">
        <w:t>бумаг.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1999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преобразован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hyperlink r:id="rId10" w:tooltip="Акционерное общество открытого типа" w:history="1">
        <w:r w:rsidR="00D17A86" w:rsidRPr="001B301B">
          <w:t>Акционерное</w:t>
        </w:r>
        <w:r w:rsidR="00E572BF">
          <w:t xml:space="preserve"> </w:t>
        </w:r>
        <w:r w:rsidR="00D17A86" w:rsidRPr="001B301B">
          <w:t>общество</w:t>
        </w:r>
        <w:r w:rsidR="00E572BF">
          <w:t xml:space="preserve"> </w:t>
        </w:r>
        <w:r w:rsidR="00D17A86" w:rsidRPr="001B301B">
          <w:t>открытого</w:t>
        </w:r>
        <w:r w:rsidR="00E572BF">
          <w:t xml:space="preserve"> </w:t>
        </w:r>
        <w:r w:rsidR="00D17A86" w:rsidRPr="001B301B">
          <w:t>типа</w:t>
        </w:r>
      </w:hyperlink>
      <w:r w:rsidR="00D17A86" w:rsidRPr="001B301B">
        <w:t>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2000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получена</w:t>
      </w:r>
      <w:r w:rsidR="00E572BF">
        <w:t xml:space="preserve"> </w:t>
      </w:r>
      <w:r w:rsidR="00D17A86" w:rsidRPr="001B301B">
        <w:t>лицензия</w:t>
      </w:r>
      <w:r w:rsidR="00E572BF">
        <w:t xml:space="preserve"> </w:t>
      </w:r>
      <w:r w:rsidR="00D17A86" w:rsidRPr="001B301B">
        <w:t>на</w:t>
      </w:r>
      <w:r w:rsidR="00E572BF">
        <w:t xml:space="preserve"> </w:t>
      </w:r>
      <w:r w:rsidR="00D17A86" w:rsidRPr="001B301B">
        <w:t>осуществление</w:t>
      </w:r>
      <w:r w:rsidR="00E572BF">
        <w:t xml:space="preserve"> </w:t>
      </w:r>
      <w:r w:rsidR="00D17A86" w:rsidRPr="001B301B">
        <w:t>операций</w:t>
      </w:r>
      <w:r w:rsidR="00E572BF">
        <w:t xml:space="preserve"> </w:t>
      </w:r>
      <w:r w:rsidR="00D17A86" w:rsidRPr="001B301B">
        <w:t>с</w:t>
      </w:r>
      <w:r w:rsidR="00E572BF">
        <w:t xml:space="preserve"> </w:t>
      </w:r>
      <w:r w:rsidR="00D17A86" w:rsidRPr="001B301B">
        <w:t>иностранной</w:t>
      </w:r>
      <w:r w:rsidR="00E572BF">
        <w:t xml:space="preserve"> </w:t>
      </w:r>
      <w:r w:rsidR="00D17A86" w:rsidRPr="001B301B">
        <w:t>валютой.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2003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начал</w:t>
      </w:r>
      <w:r w:rsidR="00E572BF">
        <w:t xml:space="preserve"> </w:t>
      </w:r>
      <w:r w:rsidR="00D17A86" w:rsidRPr="001B301B">
        <w:t>эмитировать</w:t>
      </w:r>
      <w:r w:rsidR="00E572BF">
        <w:t xml:space="preserve"> </w:t>
      </w:r>
      <w:r w:rsidR="00D17A86" w:rsidRPr="001B301B">
        <w:t>рублёвые</w:t>
      </w:r>
      <w:r w:rsidR="00E572BF">
        <w:t xml:space="preserve"> </w:t>
      </w:r>
      <w:r w:rsidR="00D17A86" w:rsidRPr="001B301B">
        <w:t>платёжные</w:t>
      </w:r>
      <w:r w:rsidR="00E572BF">
        <w:t xml:space="preserve"> </w:t>
      </w:r>
      <w:r w:rsidR="00D17A86" w:rsidRPr="001B301B">
        <w:t>карты</w:t>
      </w:r>
      <w:r w:rsidR="00E572BF">
        <w:t xml:space="preserve"> </w:t>
      </w:r>
      <w:r w:rsidR="00D17A86" w:rsidRPr="001B301B">
        <w:t>платёжной</w:t>
      </w:r>
      <w:r w:rsidR="00E572BF">
        <w:t xml:space="preserve"> </w:t>
      </w:r>
      <w:r w:rsidR="00D17A86" w:rsidRPr="001B301B">
        <w:t>системы</w:t>
      </w:r>
      <w:r w:rsidR="00E572BF">
        <w:t xml:space="preserve"> </w:t>
      </w:r>
      <w:r w:rsidR="00D17A86" w:rsidRPr="001B301B">
        <w:t>«</w:t>
      </w:r>
      <w:hyperlink r:id="rId11" w:tooltip="Золотая Корона" w:history="1">
        <w:r w:rsidR="00D17A86" w:rsidRPr="001B301B">
          <w:t>Золотая</w:t>
        </w:r>
        <w:r w:rsidR="00E572BF">
          <w:t xml:space="preserve"> </w:t>
        </w:r>
        <w:r w:rsidR="00D17A86" w:rsidRPr="001B301B">
          <w:t>Корона</w:t>
        </w:r>
      </w:hyperlink>
      <w:r w:rsidR="00D17A86" w:rsidRPr="001B301B">
        <w:t>».</w:t>
      </w:r>
      <w:r w:rsidR="00E572BF">
        <w:t xml:space="preserve"> </w:t>
      </w:r>
      <w:r w:rsidR="00D17A86" w:rsidRPr="001B301B">
        <w:t>21</w:t>
      </w:r>
      <w:r w:rsidR="00E572BF">
        <w:t xml:space="preserve"> </w:t>
      </w:r>
      <w:r w:rsidR="00D17A86" w:rsidRPr="001B301B">
        <w:t>сентября</w:t>
      </w:r>
      <w:r w:rsidR="00E572BF">
        <w:t xml:space="preserve"> </w:t>
      </w:r>
      <w:r w:rsidR="00D17A86" w:rsidRPr="001B301B">
        <w:t>2004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первым</w:t>
      </w:r>
      <w:r w:rsidR="00E572BF">
        <w:t xml:space="preserve"> </w:t>
      </w:r>
      <w:r w:rsidR="00D17A86" w:rsidRPr="001B301B">
        <w:t>среди</w:t>
      </w:r>
      <w:r w:rsidR="00E572BF">
        <w:t xml:space="preserve"> </w:t>
      </w:r>
      <w:r w:rsidR="00D17A86" w:rsidRPr="001B301B">
        <w:t>региональных</w:t>
      </w:r>
      <w:r w:rsidR="00E572BF">
        <w:t xml:space="preserve"> </w:t>
      </w:r>
      <w:r w:rsidR="00D17A86" w:rsidRPr="001B301B">
        <w:t>банков</w:t>
      </w:r>
      <w:r w:rsidR="00E572BF">
        <w:t xml:space="preserve"> </w:t>
      </w:r>
      <w:r w:rsidR="00D17A86" w:rsidRPr="001B301B">
        <w:t>Кирова</w:t>
      </w:r>
      <w:r w:rsidR="00E572BF">
        <w:t xml:space="preserve"> </w:t>
      </w:r>
      <w:r w:rsidR="00D17A86" w:rsidRPr="001B301B">
        <w:t>и</w:t>
      </w:r>
      <w:r w:rsidR="00E572BF">
        <w:t xml:space="preserve"> </w:t>
      </w:r>
      <w:r w:rsidR="00D17A86" w:rsidRPr="001B301B">
        <w:t>одним</w:t>
      </w:r>
      <w:r w:rsidR="00E572BF">
        <w:t xml:space="preserve"> </w:t>
      </w:r>
      <w:r w:rsidR="00D17A86" w:rsidRPr="001B301B">
        <w:t>из</w:t>
      </w:r>
      <w:r w:rsidR="00E572BF">
        <w:t xml:space="preserve"> </w:t>
      </w:r>
      <w:r w:rsidR="00D17A86" w:rsidRPr="001B301B">
        <w:t>первых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России</w:t>
      </w:r>
      <w:r w:rsidR="00E572BF">
        <w:t xml:space="preserve"> </w:t>
      </w:r>
      <w:r w:rsidR="00D17A86" w:rsidRPr="001B301B">
        <w:t>«Хлынов»</w:t>
      </w:r>
      <w:r w:rsidR="00E572BF">
        <w:t xml:space="preserve"> </w:t>
      </w:r>
      <w:r w:rsidR="00D17A86" w:rsidRPr="001B301B">
        <w:t>принят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систему</w:t>
      </w:r>
      <w:r w:rsidR="00E572BF">
        <w:t xml:space="preserve"> </w:t>
      </w:r>
      <w:r w:rsidR="00D17A86" w:rsidRPr="001B301B">
        <w:t>страхования</w:t>
      </w:r>
      <w:r w:rsidR="00E572BF">
        <w:t xml:space="preserve"> </w:t>
      </w:r>
      <w:r w:rsidR="00D17A86" w:rsidRPr="001B301B">
        <w:t>вкладов.</w:t>
      </w:r>
      <w:r w:rsidR="00E572BF">
        <w:t xml:space="preserve"> </w:t>
      </w:r>
      <w:r w:rsidR="00D17A86" w:rsidRPr="001B301B">
        <w:t>25</w:t>
      </w:r>
      <w:r w:rsidR="00E572BF">
        <w:t xml:space="preserve"> </w:t>
      </w:r>
      <w:r w:rsidR="00D17A86" w:rsidRPr="001B301B">
        <w:t>ноября</w:t>
      </w:r>
      <w:r w:rsidR="00E572BF">
        <w:t xml:space="preserve"> </w:t>
      </w:r>
      <w:r w:rsidR="00D17A86" w:rsidRPr="001B301B">
        <w:t>2005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стал</w:t>
      </w:r>
      <w:r w:rsidR="00E572BF">
        <w:t xml:space="preserve"> </w:t>
      </w:r>
      <w:r w:rsidR="00D17A86" w:rsidRPr="001B301B">
        <w:t>членом</w:t>
      </w:r>
      <w:r w:rsidR="00E572BF">
        <w:t xml:space="preserve"> </w:t>
      </w:r>
      <w:r w:rsidR="00D17A86" w:rsidRPr="001B301B">
        <w:t>Ассоциации</w:t>
      </w:r>
      <w:r w:rsidR="00E572BF">
        <w:t xml:space="preserve"> </w:t>
      </w:r>
      <w:r w:rsidR="00D17A86" w:rsidRPr="001B301B">
        <w:t>региональных</w:t>
      </w:r>
      <w:r w:rsidR="00E572BF">
        <w:t xml:space="preserve"> </w:t>
      </w:r>
      <w:r w:rsidR="00D17A86" w:rsidRPr="001B301B">
        <w:t>банков.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2008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открыто</w:t>
      </w:r>
      <w:r w:rsidR="00E572BF">
        <w:t xml:space="preserve"> </w:t>
      </w:r>
      <w:r w:rsidR="00D17A86" w:rsidRPr="001B301B">
        <w:t>ещё</w:t>
      </w:r>
      <w:r w:rsidR="00E572BF">
        <w:t xml:space="preserve"> </w:t>
      </w:r>
      <w:r w:rsidR="00D17A86" w:rsidRPr="001B301B">
        <w:t>8</w:t>
      </w:r>
      <w:r w:rsidR="00E572BF">
        <w:t xml:space="preserve"> </w:t>
      </w:r>
      <w:r w:rsidR="00D17A86" w:rsidRPr="001B301B">
        <w:t>дополнительных</w:t>
      </w:r>
      <w:r w:rsidR="00E572BF">
        <w:t xml:space="preserve"> </w:t>
      </w:r>
      <w:r w:rsidR="00D17A86" w:rsidRPr="001B301B">
        <w:t>офисов.</w:t>
      </w:r>
      <w:r w:rsidR="00E572BF">
        <w:t xml:space="preserve"> </w:t>
      </w:r>
      <w:r w:rsidR="00D17A86" w:rsidRPr="001B301B">
        <w:t>Рейтинговая</w:t>
      </w:r>
      <w:r w:rsidR="00E572BF">
        <w:t xml:space="preserve"> </w:t>
      </w:r>
      <w:r w:rsidR="00D17A86" w:rsidRPr="001B301B">
        <w:t>оценка</w:t>
      </w:r>
      <w:r w:rsidR="00E572BF">
        <w:t xml:space="preserve"> </w:t>
      </w:r>
      <w:r w:rsidR="00D17A86" w:rsidRPr="001B301B">
        <w:t>рейтингового</w:t>
      </w:r>
      <w:r w:rsidR="00E572BF">
        <w:t xml:space="preserve"> </w:t>
      </w:r>
      <w:r w:rsidR="00D17A86" w:rsidRPr="001B301B">
        <w:t>агентства</w:t>
      </w:r>
      <w:r w:rsidR="00E572BF">
        <w:t xml:space="preserve"> </w:t>
      </w:r>
      <w:r w:rsidR="00D17A86" w:rsidRPr="001B301B">
        <w:t>«</w:t>
      </w:r>
      <w:hyperlink r:id="rId12" w:tooltip="Эксперт РА" w:history="1">
        <w:r w:rsidR="00D17A86" w:rsidRPr="001B301B">
          <w:t>Эксперт</w:t>
        </w:r>
        <w:r w:rsidR="00E572BF">
          <w:t xml:space="preserve"> </w:t>
        </w:r>
        <w:r w:rsidR="00D17A86" w:rsidRPr="001B301B">
          <w:t>РА</w:t>
        </w:r>
      </w:hyperlink>
      <w:r w:rsidR="00D17A86" w:rsidRPr="001B301B">
        <w:t>»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«ruBBB-»</w:t>
      </w:r>
      <w:r w:rsidR="00E572BF">
        <w:t xml:space="preserve"> </w:t>
      </w:r>
      <w:r w:rsidR="00D17A86" w:rsidRPr="001B301B">
        <w:t>(присвоена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январе</w:t>
      </w:r>
      <w:r w:rsidR="00E572BF">
        <w:t xml:space="preserve"> </w:t>
      </w:r>
      <w:r w:rsidR="00D17A86" w:rsidRPr="001B301B">
        <w:t>2018,</w:t>
      </w:r>
      <w:r w:rsidR="00E572BF">
        <w:t xml:space="preserve"> </w:t>
      </w:r>
      <w:r w:rsidR="00D17A86" w:rsidRPr="001B301B">
        <w:t>подтверждена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2019,</w:t>
      </w:r>
      <w:r w:rsidR="00E572BF">
        <w:t xml:space="preserve"> </w:t>
      </w:r>
      <w:r w:rsidR="00D17A86" w:rsidRPr="001B301B">
        <w:t>2020),</w:t>
      </w:r>
      <w:r w:rsidR="00E572BF">
        <w:t xml:space="preserve"> </w:t>
      </w:r>
      <w:r w:rsidR="00D17A86" w:rsidRPr="001B301B">
        <w:t>прогноз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«позитивный»</w:t>
      </w:r>
      <w:r w:rsidR="00E572BF">
        <w:t xml:space="preserve"> </w:t>
      </w:r>
      <w:r w:rsidR="00D17A86" w:rsidRPr="001B301B">
        <w:t>(пересмотрен</w:t>
      </w:r>
      <w:r w:rsidR="00E572BF">
        <w:t xml:space="preserve"> </w:t>
      </w:r>
      <w:r w:rsidR="00D17A86" w:rsidRPr="001B301B">
        <w:t>со</w:t>
      </w:r>
      <w:r w:rsidR="00E572BF">
        <w:t xml:space="preserve"> </w:t>
      </w:r>
      <w:r w:rsidR="00D17A86" w:rsidRPr="001B301B">
        <w:t>«стабильный»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2019,</w:t>
      </w:r>
      <w:r w:rsidR="00E572BF">
        <w:t xml:space="preserve"> </w:t>
      </w:r>
      <w:r w:rsidR="00D17A86" w:rsidRPr="001B301B">
        <w:t>подтвержден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2020</w:t>
      </w:r>
      <w:r w:rsidR="00E572BF">
        <w:t xml:space="preserve"> </w:t>
      </w:r>
      <w:r w:rsidR="00D17A86" w:rsidRPr="001B301B">
        <w:t>годах).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2020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рейтинг</w:t>
      </w:r>
      <w:r w:rsidR="00E572BF">
        <w:t xml:space="preserve"> </w:t>
      </w:r>
      <w:r w:rsidR="00D17A86" w:rsidRPr="001B301B">
        <w:t>повышен</w:t>
      </w:r>
      <w:r w:rsidR="00E572BF">
        <w:t xml:space="preserve"> </w:t>
      </w:r>
      <w:r w:rsidR="00D17A86" w:rsidRPr="001B301B">
        <w:t>до</w:t>
      </w:r>
      <w:r w:rsidR="00E572BF">
        <w:t xml:space="preserve"> </w:t>
      </w:r>
      <w:r w:rsidR="00D17A86" w:rsidRPr="001B301B">
        <w:t>уровня</w:t>
      </w:r>
      <w:r w:rsidR="00E572BF">
        <w:t xml:space="preserve"> </w:t>
      </w:r>
      <w:r w:rsidR="00D17A86" w:rsidRPr="001B301B">
        <w:t>«ruBBB»</w:t>
      </w:r>
      <w:r w:rsidR="00E572BF">
        <w:t xml:space="preserve"> </w:t>
      </w:r>
      <w:r w:rsidR="00D17A86" w:rsidRPr="001B301B">
        <w:t>со</w:t>
      </w:r>
      <w:r w:rsidR="00E572BF">
        <w:t xml:space="preserve"> </w:t>
      </w:r>
      <w:r w:rsidR="00D17A86" w:rsidRPr="001B301B">
        <w:t>стабильным</w:t>
      </w:r>
      <w:r w:rsidR="00E572BF">
        <w:t xml:space="preserve"> </w:t>
      </w:r>
      <w:r w:rsidR="00D17A86" w:rsidRPr="001B301B">
        <w:t>прогнозом,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2021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рейтинг</w:t>
      </w:r>
      <w:r w:rsidR="00E572BF">
        <w:t xml:space="preserve"> </w:t>
      </w:r>
      <w:r w:rsidR="00D17A86" w:rsidRPr="001B301B">
        <w:t>«ruBBB»</w:t>
      </w:r>
      <w:r w:rsidR="00E572BF">
        <w:t xml:space="preserve"> </w:t>
      </w:r>
      <w:r w:rsidR="00D17A86" w:rsidRPr="001B301B">
        <w:t>подтвержден,</w:t>
      </w:r>
      <w:r w:rsidR="00E572BF">
        <w:t xml:space="preserve"> </w:t>
      </w:r>
      <w:r w:rsidR="00D17A86" w:rsidRPr="001B301B">
        <w:t>а</w:t>
      </w:r>
      <w:r w:rsidR="00E572BF">
        <w:t xml:space="preserve"> </w:t>
      </w:r>
      <w:r w:rsidR="00D17A86" w:rsidRPr="001B301B">
        <w:t>стабильный</w:t>
      </w:r>
      <w:r w:rsidR="00E572BF">
        <w:t xml:space="preserve"> </w:t>
      </w:r>
      <w:r w:rsidR="00D17A86" w:rsidRPr="001B301B">
        <w:t>прогноз</w:t>
      </w:r>
      <w:r w:rsidR="00E572BF">
        <w:t xml:space="preserve"> </w:t>
      </w:r>
      <w:r w:rsidR="00D17A86" w:rsidRPr="001B301B">
        <w:t>сохранен.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2021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="00D17A86" w:rsidRPr="001B301B">
        <w:t>занял</w:t>
      </w:r>
      <w:r w:rsidR="00E572BF">
        <w:t xml:space="preserve"> </w:t>
      </w:r>
      <w:r w:rsidR="00D17A86" w:rsidRPr="001B301B">
        <w:t>88-ое</w:t>
      </w:r>
      <w:r w:rsidR="00E572BF">
        <w:t xml:space="preserve"> </w:t>
      </w:r>
      <w:r w:rsidR="00D17A86" w:rsidRPr="001B301B">
        <w:t>место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рейтинге</w:t>
      </w:r>
      <w:r w:rsidR="00E572BF">
        <w:t xml:space="preserve"> </w:t>
      </w:r>
      <w:r w:rsidR="00D17A86" w:rsidRPr="001B301B">
        <w:t>«ТОП</w:t>
      </w:r>
      <w:r w:rsidR="00E572BF">
        <w:t xml:space="preserve"> </w:t>
      </w:r>
      <w:r w:rsidR="00D17A86" w:rsidRPr="001B301B">
        <w:t>100</w:t>
      </w:r>
      <w:r w:rsidR="00E572BF">
        <w:t xml:space="preserve"> </w:t>
      </w:r>
      <w:r w:rsidR="00D17A86" w:rsidRPr="001B301B">
        <w:t>надежных</w:t>
      </w:r>
      <w:r w:rsidR="00E572BF">
        <w:t xml:space="preserve"> </w:t>
      </w:r>
      <w:r w:rsidR="00D17A86" w:rsidRPr="001B301B">
        <w:t>банков</w:t>
      </w:r>
      <w:r w:rsidR="00E572BF">
        <w:t xml:space="preserve"> </w:t>
      </w:r>
      <w:r w:rsidR="00D17A86" w:rsidRPr="001B301B">
        <w:t>России»</w:t>
      </w:r>
      <w:r w:rsidR="00E572BF">
        <w:t xml:space="preserve"> </w:t>
      </w:r>
      <w:r w:rsidR="00D17A86" w:rsidRPr="001B301B">
        <w:t>по</w:t>
      </w:r>
      <w:r w:rsidR="00E572BF">
        <w:t xml:space="preserve"> </w:t>
      </w:r>
      <w:r w:rsidR="00D17A86" w:rsidRPr="001B301B">
        <w:t>версии</w:t>
      </w:r>
      <w:r w:rsidR="00E572BF">
        <w:t xml:space="preserve"> </w:t>
      </w:r>
      <w:r w:rsidR="00D17A86" w:rsidRPr="001B301B">
        <w:t>журнала</w:t>
      </w:r>
      <w:r w:rsidR="00E572BF">
        <w:t xml:space="preserve"> </w:t>
      </w:r>
      <w:hyperlink r:id="rId13" w:tooltip="Forbes" w:history="1">
        <w:r w:rsidR="00D17A86" w:rsidRPr="001B301B">
          <w:t>Forbes</w:t>
        </w:r>
      </w:hyperlink>
      <w:r w:rsidR="00E572BF">
        <w:t xml:space="preserve"> </w:t>
      </w:r>
      <w:r w:rsidR="00D17A86" w:rsidRPr="001B301B">
        <w:t>[10].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Общее</w:t>
      </w:r>
      <w:r w:rsidR="00E572BF">
        <w:t xml:space="preserve"> </w:t>
      </w:r>
      <w:r w:rsidRPr="001B301B">
        <w:t>количество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01.09.2020</w:t>
      </w:r>
      <w:r w:rsidR="00E572BF">
        <w:t xml:space="preserve"> </w:t>
      </w:r>
      <w:r w:rsidRPr="001B301B">
        <w:t>г.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35,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том</w:t>
      </w:r>
      <w:r w:rsidR="00E572BF">
        <w:t xml:space="preserve"> </w:t>
      </w:r>
      <w:r w:rsidRPr="001B301B">
        <w:t>числе</w:t>
      </w:r>
      <w:r w:rsidR="00E572BF">
        <w:t xml:space="preserve"> </w:t>
      </w:r>
      <w:r w:rsidRPr="001B301B">
        <w:t>31</w:t>
      </w:r>
      <w:r w:rsidR="00E572BF">
        <w:t xml:space="preserve"> </w:t>
      </w:r>
      <w:hyperlink r:id="rId14" w:tooltip="Физическое лицо" w:history="1">
        <w:r w:rsidRPr="001B301B">
          <w:t>физических</w:t>
        </w:r>
        <w:r w:rsidR="00E572BF">
          <w:t xml:space="preserve"> </w:t>
        </w:r>
        <w:r w:rsidRPr="001B301B">
          <w:t>лиц</w:t>
        </w:r>
      </w:hyperlink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4</w:t>
      </w:r>
      <w:r w:rsidR="00E572BF">
        <w:t xml:space="preserve"> </w:t>
      </w:r>
      <w:hyperlink r:id="rId15" w:tooltip="Юридическое лицо" w:history="1">
        <w:r w:rsidRPr="001B301B">
          <w:t>юридических</w:t>
        </w:r>
      </w:hyperlink>
      <w:r w:rsidR="00E572BF">
        <w:t xml:space="preserve"> </w:t>
      </w:r>
      <w:r w:rsidRPr="001B301B">
        <w:t>лица.</w:t>
      </w:r>
      <w:r w:rsidR="00E572BF">
        <w:t xml:space="preserve"> </w:t>
      </w:r>
      <w:r w:rsidRPr="001B301B">
        <w:t>Крупнейший</w:t>
      </w:r>
      <w:r w:rsidR="00E572BF">
        <w:t xml:space="preserve"> </w:t>
      </w:r>
      <w:r w:rsidRPr="001B301B">
        <w:t>акционер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ОАО</w:t>
      </w:r>
      <w:r w:rsidR="00E572BF">
        <w:t xml:space="preserve"> </w:t>
      </w:r>
      <w:r w:rsidRPr="001B301B">
        <w:t>«Уржумский</w:t>
      </w:r>
      <w:r w:rsidR="00E572BF">
        <w:t xml:space="preserve"> </w:t>
      </w:r>
      <w:r w:rsidRPr="001B301B">
        <w:t>спиртоводочный</w:t>
      </w:r>
      <w:r w:rsidR="00E572BF">
        <w:t xml:space="preserve"> </w:t>
      </w:r>
      <w:r w:rsidRPr="001B301B">
        <w:t>завод»</w:t>
      </w:r>
      <w:r w:rsidR="00E572BF">
        <w:t xml:space="preserve"> </w:t>
      </w:r>
      <w:r w:rsidRPr="001B301B">
        <w:t>(доля</w:t>
      </w:r>
      <w:r w:rsidR="00E572BF">
        <w:t xml:space="preserve"> </w:t>
      </w:r>
      <w:r w:rsidRPr="001B301B">
        <w:t>акций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99,51357</w:t>
      </w:r>
      <w:r w:rsidR="00E572BF">
        <w:t xml:space="preserve"> </w:t>
      </w:r>
      <w:r w:rsidRPr="001B301B">
        <w:t>%).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Руководство</w:t>
      </w:r>
      <w:r w:rsidR="00E572BF">
        <w:t xml:space="preserve"> </w:t>
      </w:r>
      <w:r w:rsidRPr="001B301B">
        <w:t>текущей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единоличным</w:t>
      </w:r>
      <w:r w:rsidR="00E572BF">
        <w:t xml:space="preserve"> </w:t>
      </w:r>
      <w:r w:rsidRPr="001B301B">
        <w:t>исполнительным</w:t>
      </w:r>
      <w:r w:rsidR="00E572BF">
        <w:t xml:space="preserve"> </w:t>
      </w:r>
      <w:r w:rsidRPr="001B301B">
        <w:t>органом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Председателем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коллегиальным</w:t>
      </w:r>
      <w:r w:rsidR="00E572BF">
        <w:t xml:space="preserve"> </w:t>
      </w:r>
      <w:r w:rsidRPr="001B301B">
        <w:t>исполнительным</w:t>
      </w:r>
      <w:r w:rsidR="00E572BF">
        <w:t xml:space="preserve"> </w:t>
      </w:r>
      <w:r w:rsidRPr="001B301B">
        <w:t>органом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Правлением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возглавляет</w:t>
      </w:r>
      <w:r w:rsidR="00E572BF">
        <w:t xml:space="preserve"> </w:t>
      </w:r>
      <w:r w:rsidRPr="001B301B">
        <w:t>коллегиальный</w:t>
      </w:r>
      <w:r w:rsidR="00E572BF">
        <w:t xml:space="preserve"> </w:t>
      </w:r>
      <w:r w:rsidRPr="001B301B">
        <w:t>орган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Избрание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досрочное</w:t>
      </w:r>
      <w:r w:rsidR="00E572BF">
        <w:t xml:space="preserve"> </w:t>
      </w:r>
      <w:r w:rsidRPr="001B301B">
        <w:t>прекращение</w:t>
      </w:r>
      <w:r w:rsidR="00E572BF">
        <w:t xml:space="preserve"> </w:t>
      </w:r>
      <w:r w:rsidRPr="001B301B">
        <w:t>полномочий</w:t>
      </w:r>
      <w:r w:rsidR="00E572BF">
        <w:t xml:space="preserve"> </w:t>
      </w:r>
      <w:r w:rsidRPr="001B301B">
        <w:t>Председателя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решению</w:t>
      </w:r>
      <w:r w:rsidR="00E572BF">
        <w:t xml:space="preserve"> </w:t>
      </w:r>
      <w:r w:rsidRPr="001B301B">
        <w:t>общего</w:t>
      </w:r>
      <w:r w:rsidR="00E572BF">
        <w:t xml:space="preserve"> </w:t>
      </w:r>
      <w:r w:rsidRPr="001B301B">
        <w:t>собрания</w:t>
      </w:r>
      <w:r w:rsidR="00E572BF">
        <w:t xml:space="preserve"> </w:t>
      </w:r>
      <w:r w:rsidRPr="001B301B">
        <w:t>акционеров.</w:t>
      </w:r>
      <w:r w:rsidR="00E572BF">
        <w:t xml:space="preserve"> </w:t>
      </w:r>
      <w:r w:rsidRPr="001B301B"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избирается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2</w:t>
      </w:r>
      <w:r w:rsidR="00E572BF">
        <w:t xml:space="preserve"> </w:t>
      </w:r>
      <w:r w:rsidRPr="001B301B">
        <w:t>года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действует</w:t>
      </w:r>
      <w:r w:rsidR="00E572BF">
        <w:t xml:space="preserve"> </w:t>
      </w:r>
      <w:r w:rsidRPr="001B301B">
        <w:t>до</w:t>
      </w:r>
      <w:r w:rsidR="00E572BF">
        <w:t xml:space="preserve"> </w:t>
      </w:r>
      <w:r w:rsidRPr="001B301B">
        <w:t>переизбрания</w:t>
      </w:r>
      <w:r w:rsidR="00E572BF">
        <w:t xml:space="preserve"> </w:t>
      </w:r>
      <w:r w:rsidRPr="001B301B">
        <w:t>годовым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Правление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избирается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количестве</w:t>
      </w:r>
      <w:r w:rsidR="00E572BF">
        <w:t xml:space="preserve"> </w:t>
      </w:r>
      <w:r w:rsidRPr="001B301B">
        <w:t>7</w:t>
      </w:r>
      <w:r w:rsidR="00E572BF">
        <w:t xml:space="preserve"> </w:t>
      </w:r>
      <w:r w:rsidRPr="001B301B">
        <w:t>членов</w:t>
      </w:r>
      <w:r w:rsidR="00E572BF">
        <w:t xml:space="preserve"> </w:t>
      </w:r>
      <w:r w:rsidRPr="001B301B">
        <w:t>сроком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2</w:t>
      </w:r>
      <w:r w:rsidR="00E572BF">
        <w:t xml:space="preserve"> </w:t>
      </w:r>
      <w:r w:rsidRPr="001B301B">
        <w:t>года.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lastRenderedPageBreak/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руководит</w:t>
      </w:r>
      <w:r w:rsidR="00E572BF">
        <w:t xml:space="preserve"> </w:t>
      </w:r>
      <w:r w:rsidRPr="001B301B">
        <w:t>всей</w:t>
      </w:r>
      <w:r w:rsidR="00E572BF">
        <w:t xml:space="preserve"> </w:t>
      </w:r>
      <w:r w:rsidRPr="001B301B">
        <w:t>хозяйственной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финансовой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Руководство</w:t>
      </w:r>
      <w:r w:rsidR="00E572BF">
        <w:t xml:space="preserve"> </w:t>
      </w:r>
      <w:r w:rsidRPr="001B301B">
        <w:t>отдельными</w:t>
      </w:r>
      <w:r w:rsidR="00E572BF">
        <w:t xml:space="preserve"> </w:t>
      </w:r>
      <w:r w:rsidRPr="001B301B">
        <w:t>участками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передоверять</w:t>
      </w:r>
      <w:r w:rsidR="00E572BF">
        <w:t xml:space="preserve"> </w:t>
      </w:r>
      <w:r w:rsidRPr="001B301B">
        <w:t>заместителям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членам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банка,</w:t>
      </w:r>
      <w:r w:rsidR="00E572BF">
        <w:t xml:space="preserve"> </w:t>
      </w:r>
      <w:r w:rsidRPr="001B301B">
        <w:t>путем</w:t>
      </w:r>
      <w:r w:rsidR="00E572BF">
        <w:t xml:space="preserve"> </w:t>
      </w:r>
      <w:r w:rsidRPr="001B301B">
        <w:t>издания</w:t>
      </w:r>
      <w:r w:rsidR="00E572BF">
        <w:t xml:space="preserve"> </w:t>
      </w:r>
      <w:r w:rsidRPr="001B301B">
        <w:t>специального</w:t>
      </w:r>
      <w:r w:rsidR="00E572BF">
        <w:t xml:space="preserve"> </w:t>
      </w:r>
      <w:r w:rsidRPr="001B301B">
        <w:t>распоряжения</w:t>
      </w:r>
      <w:r w:rsidR="00E572BF">
        <w:t xml:space="preserve"> </w:t>
      </w:r>
      <w:r w:rsidRPr="001B301B">
        <w:t>или</w:t>
      </w:r>
      <w:r w:rsidR="00E572BF">
        <w:t xml:space="preserve"> </w:t>
      </w:r>
      <w:r w:rsidRPr="001B301B">
        <w:t>выдачей</w:t>
      </w:r>
      <w:r w:rsidR="00E572BF">
        <w:t xml:space="preserve"> </w:t>
      </w:r>
      <w:r w:rsidRPr="001B301B">
        <w:t>доверенности.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он</w:t>
      </w:r>
      <w:r w:rsidR="00E572BF">
        <w:t xml:space="preserve"> </w:t>
      </w:r>
      <w:r w:rsidRPr="001B301B">
        <w:t>назначает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освобождает</w:t>
      </w:r>
      <w:r w:rsidR="00E572BF">
        <w:t xml:space="preserve"> </w:t>
      </w:r>
      <w:r w:rsidRPr="001B301B">
        <w:t>заместителей</w:t>
      </w:r>
      <w:r w:rsidR="00E572BF">
        <w:t xml:space="preserve"> </w:t>
      </w:r>
      <w:r w:rsidRPr="001B301B">
        <w:t>Председателя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банка,</w:t>
      </w:r>
      <w:r w:rsidR="00E572BF">
        <w:t xml:space="preserve"> </w:t>
      </w:r>
      <w:r w:rsidRPr="001B301B">
        <w:t>главного</w:t>
      </w:r>
      <w:r w:rsidR="00E572BF">
        <w:t xml:space="preserve"> </w:t>
      </w:r>
      <w:r w:rsidRPr="001B301B">
        <w:t>бухгалтера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заместителей</w:t>
      </w:r>
      <w:r w:rsidR="00E572BF">
        <w:t xml:space="preserve"> </w:t>
      </w:r>
      <w:r w:rsidRPr="001B301B">
        <w:t>главного</w:t>
      </w:r>
      <w:r w:rsidR="00E572BF">
        <w:t xml:space="preserve"> </w:t>
      </w:r>
      <w:r w:rsidRPr="001B301B">
        <w:t>бухгалтера,</w:t>
      </w:r>
      <w:r w:rsidR="00E572BF">
        <w:t xml:space="preserve"> </w:t>
      </w:r>
      <w:r w:rsidRPr="001B301B">
        <w:t>руководителя</w:t>
      </w:r>
      <w:r w:rsidR="00E572BF">
        <w:t xml:space="preserve"> </w:t>
      </w:r>
      <w:r w:rsidRPr="001B301B">
        <w:t>службы</w:t>
      </w:r>
      <w:r w:rsidR="00E572BF">
        <w:t xml:space="preserve"> </w:t>
      </w:r>
      <w:r w:rsidRPr="001B301B">
        <w:t>внутреннего</w:t>
      </w:r>
      <w:r w:rsidR="00E572BF">
        <w:t xml:space="preserve"> </w:t>
      </w:r>
      <w:r w:rsidRPr="001B301B">
        <w:t>контроля</w:t>
      </w:r>
      <w:r w:rsidR="00E572BF">
        <w:t xml:space="preserve"> </w:t>
      </w:r>
      <w:r w:rsidRPr="001B301B">
        <w:t>после</w:t>
      </w:r>
      <w:r w:rsidR="00E572BF">
        <w:t xml:space="preserve"> </w:t>
      </w:r>
      <w:r w:rsidRPr="001B301B">
        <w:t>утверждения</w:t>
      </w:r>
      <w:r w:rsidR="00E572BF">
        <w:t xml:space="preserve"> </w:t>
      </w:r>
      <w:r w:rsidRPr="001B301B">
        <w:t>кандидатур</w:t>
      </w:r>
      <w:r w:rsidR="00E572BF">
        <w:t xml:space="preserve"> </w:t>
      </w:r>
      <w:r w:rsidRPr="001B301B">
        <w:t>Совета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согласования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Главным</w:t>
      </w:r>
      <w:r w:rsidR="00E572BF">
        <w:t xml:space="preserve"> </w:t>
      </w:r>
      <w:r w:rsidRPr="001B301B">
        <w:t>управлением</w:t>
      </w:r>
      <w:r w:rsidR="00E572BF">
        <w:t xml:space="preserve"> </w:t>
      </w:r>
      <w:r w:rsidRPr="001B301B">
        <w:t>ЦБР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Кировской</w:t>
      </w:r>
      <w:r w:rsidR="00E572BF">
        <w:t xml:space="preserve"> </w:t>
      </w:r>
      <w:r w:rsidRPr="001B301B">
        <w:t>области.</w:t>
      </w:r>
      <w:r w:rsidR="00E572BF">
        <w:t xml:space="preserve"> </w:t>
      </w:r>
      <w:r w:rsidRPr="001B301B">
        <w:t>Предлагает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рассмотрения</w:t>
      </w:r>
      <w:r w:rsidR="00E572BF">
        <w:t xml:space="preserve"> </w:t>
      </w:r>
      <w:r w:rsidRPr="001B301B">
        <w:t>Совету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лиц,</w:t>
      </w:r>
      <w:r w:rsidR="00E572BF">
        <w:t xml:space="preserve"> </w:t>
      </w:r>
      <w:r w:rsidRPr="001B301B">
        <w:t>указанных</w:t>
      </w:r>
      <w:r w:rsidR="00E572BF">
        <w:t xml:space="preserve"> </w:t>
      </w:r>
      <w:r w:rsidRPr="001B301B">
        <w:t>выше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утверждения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должности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список</w:t>
      </w:r>
      <w:r w:rsidR="00E572BF">
        <w:t xml:space="preserve"> </w:t>
      </w:r>
      <w:r w:rsidRPr="001B301B">
        <w:t>кандидатур,</w:t>
      </w:r>
      <w:r w:rsidR="00E572BF">
        <w:t xml:space="preserve"> </w:t>
      </w:r>
      <w:r w:rsidRPr="001B301B">
        <w:t>избираемых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состав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[8].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Совет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организует</w:t>
      </w:r>
      <w:r w:rsidR="00E572BF">
        <w:t xml:space="preserve"> </w:t>
      </w:r>
      <w:r w:rsidRPr="001B301B">
        <w:t>свою</w:t>
      </w:r>
      <w:r w:rsidR="00E572BF">
        <w:t xml:space="preserve"> </w:t>
      </w:r>
      <w:r w:rsidRPr="001B301B">
        <w:t>деятельность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соответствии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Уставом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осуществляет</w:t>
      </w:r>
      <w:r w:rsidR="00E572BF">
        <w:t xml:space="preserve"> </w:t>
      </w:r>
      <w:r w:rsidRPr="001B301B">
        <w:t>общее</w:t>
      </w:r>
      <w:r w:rsidR="00E572BF">
        <w:t xml:space="preserve"> </w:t>
      </w:r>
      <w:r w:rsidRPr="001B301B">
        <w:t>руководство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Совет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состоит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5</w:t>
      </w:r>
      <w:r w:rsidR="00E572BF">
        <w:t xml:space="preserve"> </w:t>
      </w:r>
      <w:r w:rsidRPr="001B301B">
        <w:t>членов.</w:t>
      </w:r>
      <w:r w:rsidR="00E572BF">
        <w:t xml:space="preserve"> </w:t>
      </w:r>
      <w:r w:rsidRPr="001B301B">
        <w:t>Членом</w:t>
      </w:r>
      <w:r w:rsidR="00E572BF">
        <w:t xml:space="preserve"> </w:t>
      </w:r>
      <w:r w:rsidRPr="001B301B">
        <w:t>Совета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быть</w:t>
      </w:r>
      <w:r w:rsidR="00E572BF">
        <w:t xml:space="preserve"> </w:t>
      </w:r>
      <w:r w:rsidRPr="001B301B">
        <w:t>только</w:t>
      </w:r>
      <w:r w:rsidR="00E572BF">
        <w:t xml:space="preserve"> </w:t>
      </w:r>
      <w:r w:rsidRPr="001B301B">
        <w:t>физическое</w:t>
      </w:r>
      <w:r w:rsidR="00E572BF">
        <w:t xml:space="preserve"> </w:t>
      </w:r>
      <w:r w:rsidRPr="001B301B">
        <w:t>лицо,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быть</w:t>
      </w:r>
      <w:r w:rsidR="00E572BF">
        <w:t xml:space="preserve"> </w:t>
      </w:r>
      <w:r w:rsidRPr="001B301B">
        <w:t>акционером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Контроль</w:t>
      </w:r>
      <w:r w:rsidR="00E572BF">
        <w:t xml:space="preserve"> </w:t>
      </w:r>
      <w:r w:rsidRPr="001B301B">
        <w:t>над</w:t>
      </w:r>
      <w:r w:rsidR="00E572BF">
        <w:t xml:space="preserve"> </w:t>
      </w:r>
      <w:r w:rsidRPr="001B301B">
        <w:t>финансово-хозяйственной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ревизионной</w:t>
      </w:r>
      <w:r w:rsidR="00E572BF">
        <w:t xml:space="preserve"> </w:t>
      </w:r>
      <w:r w:rsidRPr="001B301B">
        <w:t>комиссией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службой</w:t>
      </w:r>
      <w:r w:rsidR="00E572BF">
        <w:t xml:space="preserve"> </w:t>
      </w:r>
      <w:r w:rsidRPr="001B301B">
        <w:t>внутреннего</w:t>
      </w:r>
      <w:r w:rsidR="00E572BF">
        <w:t xml:space="preserve"> </w:t>
      </w:r>
      <w:r w:rsidRPr="001B301B">
        <w:t>контроля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Одним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направлений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Pr="001B301B">
        <w:t>развитие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деятельности,</w:t>
      </w:r>
      <w:r w:rsidR="00E572BF">
        <w:t xml:space="preserve"> </w:t>
      </w:r>
      <w:r w:rsidRPr="001B301B">
        <w:t>а</w:t>
      </w:r>
      <w:r w:rsidR="00E572BF">
        <w:t xml:space="preserve"> </w:t>
      </w:r>
      <w:r w:rsidRPr="001B301B">
        <w:t>именно:</w:t>
      </w:r>
    </w:p>
    <w:p w:rsidR="00D17A86" w:rsidRPr="001B301B" w:rsidRDefault="00D17A86" w:rsidP="00917460">
      <w:pPr>
        <w:numPr>
          <w:ilvl w:val="0"/>
          <w:numId w:val="25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участников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деятельности;</w:t>
      </w:r>
    </w:p>
    <w:p w:rsidR="00D17A86" w:rsidRPr="001B301B" w:rsidRDefault="00D17A86" w:rsidP="00917460">
      <w:pPr>
        <w:numPr>
          <w:ilvl w:val="0"/>
          <w:numId w:val="25"/>
        </w:numPr>
        <w:tabs>
          <w:tab w:val="clear" w:pos="720"/>
          <w:tab w:val="left" w:pos="1134"/>
        </w:tabs>
        <w:ind w:left="0" w:firstLine="709"/>
      </w:pPr>
      <w:r w:rsidRPr="001B301B">
        <w:t>расширение</w:t>
      </w:r>
      <w:r w:rsidR="00E572BF">
        <w:t xml:space="preserve"> </w:t>
      </w:r>
      <w:r w:rsidRPr="001B301B">
        <w:t>спектра</w:t>
      </w:r>
      <w:r w:rsidR="00E572BF">
        <w:t xml:space="preserve"> </w:t>
      </w:r>
      <w:r w:rsidRPr="001B301B">
        <w:t>оказываемых</w:t>
      </w:r>
      <w:r w:rsidR="00E572BF">
        <w:t xml:space="preserve"> </w:t>
      </w:r>
      <w:r w:rsidRPr="001B301B">
        <w:t>услуг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участников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[5].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Также</w:t>
      </w:r>
      <w:r w:rsidR="00E572BF">
        <w:t xml:space="preserve"> </w:t>
      </w:r>
      <w:r w:rsidRPr="001B301B">
        <w:t>дальнейшее</w:t>
      </w:r>
      <w:r w:rsidR="00E572BF">
        <w:t xml:space="preserve"> </w:t>
      </w:r>
      <w:r w:rsidRPr="001B301B">
        <w:t>развитие</w:t>
      </w:r>
      <w:r w:rsidR="00E572BF">
        <w:t xml:space="preserve"> </w:t>
      </w:r>
      <w:r w:rsidRPr="001B301B">
        <w:t>получило</w:t>
      </w:r>
      <w:r w:rsidR="00E572BF">
        <w:t xml:space="preserve"> </w:t>
      </w:r>
      <w:r w:rsidRPr="001B301B">
        <w:t>одно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основных</w:t>
      </w:r>
      <w:r w:rsidR="00E572BF">
        <w:t xml:space="preserve"> </w:t>
      </w:r>
      <w:r w:rsidRPr="001B301B">
        <w:t>направлений</w:t>
      </w:r>
      <w:r w:rsidR="00E572BF">
        <w:t xml:space="preserve"> </w:t>
      </w:r>
      <w:r w:rsidRPr="001B301B">
        <w:t>корпоративного</w:t>
      </w:r>
      <w:r w:rsidR="00E572BF">
        <w:t xml:space="preserve"> </w:t>
      </w:r>
      <w:r w:rsidRPr="001B301B">
        <w:t>бизнеса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Pr="001B301B">
        <w:t>,</w:t>
      </w:r>
      <w:r w:rsidR="00E572BF">
        <w:t xml:space="preserve"> </w:t>
      </w:r>
      <w:r w:rsidRPr="001B301B">
        <w:t>являющееся</w:t>
      </w:r>
      <w:r w:rsidR="00E572BF">
        <w:t xml:space="preserve"> </w:t>
      </w:r>
      <w:r w:rsidRPr="001B301B">
        <w:t>источником</w:t>
      </w:r>
      <w:r w:rsidR="00E572BF">
        <w:t xml:space="preserve"> </w:t>
      </w:r>
      <w:r w:rsidRPr="001B301B">
        <w:t>стабильного</w:t>
      </w:r>
      <w:r w:rsidR="00E572BF">
        <w:t xml:space="preserve"> </w:t>
      </w:r>
      <w:r w:rsidRPr="001B301B">
        <w:t>дохода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кредитная</w:t>
      </w:r>
      <w:r w:rsidR="00E572BF">
        <w:t xml:space="preserve"> </w:t>
      </w:r>
      <w:r w:rsidRPr="001B301B">
        <w:t>деятельность.</w:t>
      </w:r>
      <w:r w:rsidR="00E572BF">
        <w:t xml:space="preserve"> </w:t>
      </w:r>
      <w:r w:rsidRPr="001B301B">
        <w:t>Среди</w:t>
      </w:r>
      <w:r w:rsidR="00E572BF">
        <w:t xml:space="preserve"> </w:t>
      </w:r>
      <w:r w:rsidRPr="001B301B">
        <w:t>заемщиков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присутствуют</w:t>
      </w:r>
      <w:r w:rsidR="00E572BF">
        <w:t xml:space="preserve"> </w:t>
      </w:r>
      <w:r w:rsidRPr="001B301B">
        <w:t>клиенты</w:t>
      </w:r>
      <w:r w:rsidR="00E572BF">
        <w:t xml:space="preserve"> </w:t>
      </w:r>
      <w:r w:rsidRPr="001B301B">
        <w:t>всех</w:t>
      </w:r>
      <w:r w:rsidR="00E572BF">
        <w:t xml:space="preserve"> </w:t>
      </w:r>
      <w:r w:rsidRPr="001B301B">
        <w:t>организационно-правовых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собственности.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кризисной</w:t>
      </w:r>
      <w:r w:rsidR="00E572BF">
        <w:t xml:space="preserve"> </w:t>
      </w:r>
      <w:r w:rsidRPr="001B301B">
        <w:t>ситуацией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предъявляет</w:t>
      </w:r>
      <w:r w:rsidR="00E572BF">
        <w:t xml:space="preserve"> </w:t>
      </w:r>
      <w:r w:rsidRPr="001B301B">
        <w:t>повышенные</w:t>
      </w:r>
      <w:r w:rsidR="00E572BF">
        <w:t xml:space="preserve"> </w:t>
      </w:r>
      <w:r w:rsidRPr="001B301B">
        <w:t>требования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заемщикам,</w:t>
      </w:r>
      <w:r w:rsidR="00E572BF">
        <w:t xml:space="preserve"> </w:t>
      </w:r>
      <w:r w:rsidRPr="001B301B">
        <w:t>а</w:t>
      </w:r>
      <w:r w:rsidR="00E572BF">
        <w:t xml:space="preserve"> </w:t>
      </w:r>
      <w:r w:rsidRPr="001B301B">
        <w:t>именно:</w:t>
      </w:r>
      <w:r w:rsidR="00E572BF">
        <w:t xml:space="preserve"> </w:t>
      </w:r>
      <w:r w:rsidRPr="001B301B">
        <w:t>пересмотром</w:t>
      </w:r>
      <w:r w:rsidR="00E572BF">
        <w:t xml:space="preserve"> </w:t>
      </w:r>
      <w:r w:rsidRPr="001B301B">
        <w:t>требований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потенциальным</w:t>
      </w:r>
      <w:r w:rsidR="00E572BF">
        <w:t xml:space="preserve"> </w:t>
      </w:r>
      <w:r w:rsidRPr="001B301B">
        <w:t>заемщикам,</w:t>
      </w:r>
      <w:r w:rsidR="00E572BF">
        <w:t xml:space="preserve"> </w:t>
      </w:r>
      <w:r w:rsidRPr="001B301B">
        <w:t>повышением</w:t>
      </w:r>
      <w:r w:rsidR="00E572BF">
        <w:t xml:space="preserve"> </w:t>
      </w:r>
      <w:r w:rsidRPr="001B301B">
        <w:t>коэффициентов</w:t>
      </w:r>
      <w:r w:rsidR="00E572BF">
        <w:t xml:space="preserve"> </w:t>
      </w:r>
      <w:r w:rsidRPr="001B301B">
        <w:t>дисконтирования</w:t>
      </w:r>
      <w:r w:rsidR="00E572BF">
        <w:t xml:space="preserve"> </w:t>
      </w:r>
      <w:r w:rsidRPr="001B301B">
        <w:t>имущества,</w:t>
      </w:r>
      <w:r w:rsidR="00E572BF">
        <w:t xml:space="preserve"> </w:t>
      </w:r>
      <w:r w:rsidRPr="001B301B">
        <w:t>передаваемого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обеспечение,</w:t>
      </w:r>
      <w:r w:rsidR="00E572BF">
        <w:t xml:space="preserve"> </w:t>
      </w:r>
      <w:r w:rsidRPr="001B301B">
        <w:lastRenderedPageBreak/>
        <w:t>превышением</w:t>
      </w:r>
      <w:r w:rsidR="00E572BF">
        <w:t xml:space="preserve"> </w:t>
      </w:r>
      <w:r w:rsidRPr="001B301B">
        <w:t>процентных</w:t>
      </w:r>
      <w:r w:rsidR="00E572BF">
        <w:t xml:space="preserve"> </w:t>
      </w:r>
      <w:r w:rsidRPr="001B301B">
        <w:t>ставок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пользование</w:t>
      </w:r>
      <w:r w:rsidR="00E572BF">
        <w:t xml:space="preserve"> </w:t>
      </w:r>
      <w:r w:rsidRPr="001B301B">
        <w:t>кредитными</w:t>
      </w:r>
      <w:r w:rsidR="00E572BF">
        <w:t xml:space="preserve"> </w:t>
      </w:r>
      <w:r w:rsidRPr="001B301B">
        <w:t>средствами</w:t>
      </w:r>
      <w:r w:rsidR="00E572BF">
        <w:t xml:space="preserve"> </w:t>
      </w:r>
      <w:r w:rsidRPr="001B301B">
        <w:t>и,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следствие</w:t>
      </w:r>
      <w:r w:rsidR="00E572BF">
        <w:t xml:space="preserve"> </w:t>
      </w:r>
      <w:r w:rsidRPr="001B301B">
        <w:t>этого,</w:t>
      </w:r>
      <w:r w:rsidR="00E572BF">
        <w:t xml:space="preserve"> </w:t>
      </w:r>
      <w:r w:rsidRPr="001B301B">
        <w:t>снижением</w:t>
      </w:r>
      <w:r w:rsidR="00E572BF">
        <w:t xml:space="preserve"> </w:t>
      </w:r>
      <w:r w:rsidRPr="001B301B">
        <w:t>объемов</w:t>
      </w:r>
      <w:r w:rsidR="00E572BF">
        <w:t xml:space="preserve"> </w:t>
      </w:r>
      <w:r w:rsidRPr="001B301B">
        <w:t>выдачи</w:t>
      </w:r>
      <w:r w:rsidR="00E572BF">
        <w:t xml:space="preserve"> </w:t>
      </w:r>
      <w:r w:rsidRPr="001B301B">
        <w:t>кредитных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[9].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С</w:t>
      </w:r>
      <w:r w:rsidR="00E572BF">
        <w:t xml:space="preserve"> </w:t>
      </w:r>
      <w:r w:rsidRPr="001B301B">
        <w:t>учетом</w:t>
      </w:r>
      <w:r w:rsidR="00E572BF">
        <w:t xml:space="preserve"> </w:t>
      </w:r>
      <w:r w:rsidRPr="001B301B">
        <w:t>повысившихся</w:t>
      </w:r>
      <w:r w:rsidR="00E572BF">
        <w:t xml:space="preserve"> </w:t>
      </w:r>
      <w:r w:rsidRPr="001B301B">
        <w:t>рисков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финансовых</w:t>
      </w:r>
      <w:r w:rsidR="00E572BF">
        <w:t xml:space="preserve"> </w:t>
      </w:r>
      <w:r w:rsidRPr="001B301B">
        <w:t>рынках,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придерживался</w:t>
      </w:r>
      <w:r w:rsidR="00E572BF">
        <w:t xml:space="preserve"> </w:t>
      </w:r>
      <w:r w:rsidRPr="001B301B">
        <w:t>крайне</w:t>
      </w:r>
      <w:r w:rsidR="00E572BF">
        <w:t xml:space="preserve"> </w:t>
      </w:r>
      <w:r w:rsidRPr="001B301B">
        <w:t>консервативной</w:t>
      </w:r>
      <w:r w:rsidR="00E572BF">
        <w:t xml:space="preserve"> </w:t>
      </w:r>
      <w:r w:rsidRPr="001B301B">
        <w:t>политики</w:t>
      </w:r>
      <w:r w:rsidR="00E572BF">
        <w:t xml:space="preserve"> </w:t>
      </w:r>
      <w:r w:rsidRPr="001B301B">
        <w:t>при</w:t>
      </w:r>
      <w:r w:rsidR="00E572BF">
        <w:t xml:space="preserve"> </w:t>
      </w:r>
      <w:r w:rsidRPr="001B301B">
        <w:t>проведении</w:t>
      </w:r>
      <w:r w:rsidR="00E572BF">
        <w:t xml:space="preserve"> </w:t>
      </w:r>
      <w:r w:rsidRPr="001B301B">
        <w:t>операций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ценными</w:t>
      </w:r>
      <w:r w:rsidR="00E572BF">
        <w:t xml:space="preserve"> </w:t>
      </w:r>
      <w:r w:rsidRPr="001B301B">
        <w:t>бумагами</w:t>
      </w:r>
      <w:r w:rsidR="00E572BF">
        <w:t xml:space="preserve"> </w:t>
      </w:r>
      <w:r w:rsidRPr="001B301B">
        <w:t>[2].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Розничный</w:t>
      </w:r>
      <w:r w:rsidR="00E572BF">
        <w:t xml:space="preserve"> </w:t>
      </w:r>
      <w:r w:rsidRPr="001B301B">
        <w:t>бизнес</w:t>
      </w:r>
      <w:r w:rsidR="00E572BF">
        <w:t xml:space="preserve"> </w:t>
      </w:r>
      <w:r w:rsidRPr="001B301B">
        <w:t>рассматривается</w:t>
      </w:r>
      <w:r w:rsidR="00E572BF">
        <w:t xml:space="preserve"> </w:t>
      </w:r>
      <w:r w:rsidRPr="001B301B">
        <w:t>банком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самостоятельный</w:t>
      </w:r>
      <w:r w:rsidR="00E572BF">
        <w:t xml:space="preserve"> </w:t>
      </w:r>
      <w:r w:rsidRPr="001B301B">
        <w:t>сегмент</w:t>
      </w:r>
      <w:r w:rsidR="00E572BF">
        <w:t xml:space="preserve"> </w:t>
      </w:r>
      <w:r w:rsidRPr="001B301B">
        <w:t>банковского</w:t>
      </w:r>
      <w:r w:rsidR="00E572BF">
        <w:t xml:space="preserve"> </w:t>
      </w:r>
      <w:r w:rsidRPr="001B301B">
        <w:t>рынка,</w:t>
      </w:r>
      <w:r w:rsidR="00E572BF">
        <w:t xml:space="preserve"> </w:t>
      </w:r>
      <w:r w:rsidRPr="001B301B">
        <w:t>значительно</w:t>
      </w:r>
      <w:r w:rsidR="00E572BF">
        <w:t xml:space="preserve"> </w:t>
      </w:r>
      <w:r w:rsidRPr="001B301B">
        <w:t>расширяющий</w:t>
      </w:r>
      <w:r w:rsidR="00E572BF">
        <w:t xml:space="preserve"> </w:t>
      </w:r>
      <w:r w:rsidRPr="001B301B">
        <w:t>клиентскую</w:t>
      </w:r>
      <w:r w:rsidR="00E572BF">
        <w:t xml:space="preserve"> </w:t>
      </w:r>
      <w:r w:rsidRPr="001B301B">
        <w:t>базу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приносящий</w:t>
      </w:r>
      <w:r w:rsidR="00E572BF">
        <w:t xml:space="preserve"> </w:t>
      </w:r>
      <w:r w:rsidRPr="001B301B">
        <w:t>стабильный</w:t>
      </w:r>
      <w:r w:rsidR="00E572BF">
        <w:t xml:space="preserve"> </w:t>
      </w:r>
      <w:r w:rsidRPr="001B301B">
        <w:t>доход.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2008</w:t>
      </w:r>
      <w:r w:rsidR="00E572BF">
        <w:t xml:space="preserve"> </w:t>
      </w:r>
      <w:r w:rsidRPr="001B301B">
        <w:t>году</w:t>
      </w:r>
      <w:r w:rsidR="00E572BF">
        <w:t xml:space="preserve"> </w:t>
      </w:r>
      <w:r w:rsidRPr="001B301B">
        <w:t>было</w:t>
      </w:r>
      <w:r w:rsidR="00E572BF">
        <w:t xml:space="preserve"> </w:t>
      </w:r>
      <w:r w:rsidRPr="001B301B">
        <w:t>создано</w:t>
      </w:r>
      <w:r w:rsidR="00E572BF">
        <w:t xml:space="preserve"> </w:t>
      </w:r>
      <w:r w:rsidRPr="001B301B">
        <w:t>управление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развитию</w:t>
      </w:r>
      <w:r w:rsidR="00E572BF">
        <w:t xml:space="preserve"> </w:t>
      </w:r>
      <w:r w:rsidRPr="001B301B">
        <w:t>розничных</w:t>
      </w:r>
      <w:r w:rsidR="00E572BF">
        <w:t xml:space="preserve"> </w:t>
      </w:r>
      <w:r w:rsidRPr="001B301B">
        <w:t>услуг,</w:t>
      </w:r>
      <w:r w:rsidR="00E572BF">
        <w:t xml:space="preserve"> </w:t>
      </w:r>
      <w:r w:rsidRPr="001B301B">
        <w:t>основной</w:t>
      </w:r>
      <w:r w:rsidR="00E572BF">
        <w:t xml:space="preserve"> </w:t>
      </w:r>
      <w:r w:rsidRPr="001B301B">
        <w:t>задачей</w:t>
      </w:r>
      <w:r w:rsidR="00E572BF">
        <w:t xml:space="preserve"> </w:t>
      </w:r>
      <w:r w:rsidRPr="001B301B">
        <w:t>которого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Pr="001B301B">
        <w:t>целенаправленная</w:t>
      </w:r>
      <w:r w:rsidR="00E572BF">
        <w:t xml:space="preserve"> </w:t>
      </w:r>
      <w:r w:rsidRPr="001B301B">
        <w:t>реализация</w:t>
      </w:r>
      <w:r w:rsidR="00E572BF">
        <w:t xml:space="preserve"> </w:t>
      </w:r>
      <w:r w:rsidRPr="001B301B">
        <w:t>проводимой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банке</w:t>
      </w:r>
      <w:r w:rsidR="00E572BF">
        <w:t xml:space="preserve"> </w:t>
      </w:r>
      <w:r w:rsidRPr="001B301B">
        <w:t>политики</w:t>
      </w:r>
      <w:r w:rsidR="00E572BF">
        <w:t xml:space="preserve"> </w:t>
      </w:r>
      <w:r w:rsidRPr="001B301B">
        <w:t>интенсификации</w:t>
      </w:r>
      <w:r w:rsidR="00E572BF">
        <w:t xml:space="preserve"> </w:t>
      </w:r>
      <w:r w:rsidRPr="001B301B">
        <w:t>работы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частными</w:t>
      </w:r>
      <w:r w:rsidR="00E572BF">
        <w:t xml:space="preserve"> </w:t>
      </w:r>
      <w:r w:rsidRPr="001B301B">
        <w:t>клиентами.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Pr="001B301B">
        <w:t>предлагает</w:t>
      </w:r>
      <w:r w:rsidR="00E572BF">
        <w:t xml:space="preserve"> </w:t>
      </w:r>
      <w:r w:rsidRPr="001B301B">
        <w:t>полный</w:t>
      </w:r>
      <w:r w:rsidR="00E572BF">
        <w:t xml:space="preserve"> </w:t>
      </w:r>
      <w:r w:rsidRPr="001B301B">
        <w:t>спектр</w:t>
      </w:r>
      <w:r w:rsidR="00E572BF">
        <w:t xml:space="preserve"> </w:t>
      </w:r>
      <w:r w:rsidRPr="001B301B">
        <w:t>традиционных</w:t>
      </w:r>
      <w:r w:rsidR="00E572BF">
        <w:t xml:space="preserve"> </w:t>
      </w:r>
      <w:r w:rsidRPr="001B301B">
        <w:t>услуг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физических</w:t>
      </w:r>
      <w:r w:rsidR="00E572BF">
        <w:t xml:space="preserve"> </w:t>
      </w:r>
      <w:r w:rsidRPr="001B301B">
        <w:t>лиц.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кризисом</w:t>
      </w:r>
      <w:r w:rsidR="00E572BF">
        <w:t xml:space="preserve"> </w:t>
      </w:r>
      <w:r w:rsidRPr="001B301B">
        <w:t>ликвидности</w:t>
      </w:r>
      <w:r w:rsidR="00E572BF">
        <w:t xml:space="preserve"> </w:t>
      </w:r>
      <w:r w:rsidRPr="001B301B">
        <w:t>конкуренция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</w:t>
      </w:r>
      <w:r w:rsidR="00E572BF">
        <w:t xml:space="preserve"> </w:t>
      </w:r>
      <w:r w:rsidRPr="001B301B">
        <w:t>привлечения</w:t>
      </w:r>
      <w:r w:rsidR="00E572BF">
        <w:t xml:space="preserve"> </w:t>
      </w:r>
      <w:r w:rsidRPr="001B301B">
        <w:t>вкладов</w:t>
      </w:r>
      <w:r w:rsidR="00E572BF">
        <w:t xml:space="preserve"> </w:t>
      </w:r>
      <w:r w:rsidRPr="001B301B">
        <w:t>резко</w:t>
      </w:r>
      <w:r w:rsidR="00E572BF">
        <w:t xml:space="preserve"> </w:t>
      </w:r>
      <w:r w:rsidRPr="001B301B">
        <w:t>возросла,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выразилось</w:t>
      </w:r>
      <w:r w:rsidR="00E572BF">
        <w:t xml:space="preserve"> </w:t>
      </w:r>
      <w:r w:rsidRPr="001B301B">
        <w:t>повышении</w:t>
      </w:r>
      <w:r w:rsidR="00E572BF">
        <w:t xml:space="preserve"> </w:t>
      </w:r>
      <w:r w:rsidRPr="001B301B">
        <w:t>числа</w:t>
      </w:r>
      <w:r w:rsidR="00E572BF">
        <w:t xml:space="preserve"> </w:t>
      </w:r>
      <w:r w:rsidRPr="001B301B">
        <w:t>банков,</w:t>
      </w:r>
      <w:r w:rsidR="00E572BF">
        <w:t xml:space="preserve"> </w:t>
      </w:r>
      <w:r w:rsidRPr="001B301B">
        <w:t>активно</w:t>
      </w:r>
      <w:r w:rsidR="00E572BF">
        <w:t xml:space="preserve"> </w:t>
      </w:r>
      <w:r w:rsidRPr="001B301B">
        <w:t>привлекающих</w:t>
      </w:r>
      <w:r w:rsidR="00E572BF">
        <w:t xml:space="preserve"> </w:t>
      </w:r>
      <w:r w:rsidRPr="001B301B">
        <w:t>депозиты</w:t>
      </w:r>
      <w:r w:rsidR="00E572BF">
        <w:t xml:space="preserve"> </w:t>
      </w:r>
      <w:r w:rsidRPr="001B301B">
        <w:t>физических</w:t>
      </w:r>
      <w:r w:rsidR="00E572BF">
        <w:t xml:space="preserve"> </w:t>
      </w:r>
      <w:r w:rsidRPr="001B301B">
        <w:t>лиц.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следствие</w:t>
      </w:r>
      <w:r w:rsidR="00E572BF">
        <w:t xml:space="preserve"> </w:t>
      </w:r>
      <w:r w:rsidRPr="001B301B">
        <w:t>это</w:t>
      </w:r>
      <w:r w:rsidR="00E572BF">
        <w:t xml:space="preserve"> </w:t>
      </w:r>
      <w:r w:rsidRPr="001B301B">
        <w:t>привело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росту</w:t>
      </w:r>
      <w:r w:rsidR="00E572BF">
        <w:t xml:space="preserve"> </w:t>
      </w:r>
      <w:r w:rsidRPr="001B301B">
        <w:t>процентных</w:t>
      </w:r>
      <w:r w:rsidR="00E572BF">
        <w:t xml:space="preserve"> </w:t>
      </w:r>
      <w:r w:rsidRPr="001B301B">
        <w:t>ставок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рынке.</w:t>
      </w:r>
      <w:r w:rsidR="00E572BF">
        <w:t xml:space="preserve"> </w:t>
      </w:r>
      <w:r w:rsidRPr="001B301B">
        <w:t>Но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уменьшением</w:t>
      </w:r>
      <w:r w:rsidR="00E572BF">
        <w:t xml:space="preserve"> </w:t>
      </w:r>
      <w:r w:rsidRPr="001B301B">
        <w:t>ставки</w:t>
      </w:r>
      <w:r w:rsidR="00E572BF">
        <w:t xml:space="preserve"> </w:t>
      </w:r>
      <w:r w:rsidRPr="001B301B">
        <w:t>рефинансирования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2009</w:t>
      </w:r>
      <w:r w:rsidR="00E572BF">
        <w:t xml:space="preserve"> </w:t>
      </w:r>
      <w:r w:rsidRPr="001B301B">
        <w:t>году,</w:t>
      </w:r>
      <w:r w:rsidR="00E572BF">
        <w:t xml:space="preserve"> </w:t>
      </w:r>
      <w:r w:rsidRPr="001B301B">
        <w:t>процентные</w:t>
      </w:r>
      <w:r w:rsidR="00E572BF">
        <w:t xml:space="preserve"> </w:t>
      </w:r>
      <w:r w:rsidRPr="001B301B">
        <w:t>ставки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вкладам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снижаются.</w:t>
      </w:r>
      <w:r w:rsidR="00E572BF">
        <w:t xml:space="preserve"> </w:t>
      </w:r>
      <w:r w:rsidRPr="001B301B">
        <w:t>Линейка</w:t>
      </w:r>
      <w:r w:rsidR="00E572BF">
        <w:t xml:space="preserve"> </w:t>
      </w:r>
      <w:r w:rsidRPr="001B301B">
        <w:t>срочных</w:t>
      </w:r>
      <w:r w:rsidR="00E572BF">
        <w:t xml:space="preserve"> </w:t>
      </w:r>
      <w:r w:rsidRPr="001B301B">
        <w:t>вкладов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оперативно</w:t>
      </w:r>
      <w:r w:rsidR="00E572BF">
        <w:t xml:space="preserve"> </w:t>
      </w:r>
      <w:r w:rsidRPr="001B301B">
        <w:t>пополняется</w:t>
      </w:r>
      <w:r w:rsidR="00E572BF">
        <w:t xml:space="preserve"> </w:t>
      </w:r>
      <w:r w:rsidRPr="001B301B">
        <w:t>новыми</w:t>
      </w:r>
      <w:r w:rsidR="00E572BF">
        <w:t xml:space="preserve"> </w:t>
      </w:r>
      <w:r w:rsidRPr="001B301B">
        <w:t>продуктами,</w:t>
      </w:r>
      <w:r w:rsidR="00E572BF">
        <w:t xml:space="preserve"> </w:t>
      </w:r>
      <w:r w:rsidRPr="001B301B">
        <w:t>учитывающими</w:t>
      </w:r>
      <w:r w:rsidR="00E572BF">
        <w:t xml:space="preserve"> </w:t>
      </w:r>
      <w:r w:rsidRPr="001B301B">
        <w:t>различные</w:t>
      </w:r>
      <w:r w:rsidR="00E572BF">
        <w:t xml:space="preserve"> </w:t>
      </w:r>
      <w:r w:rsidRPr="001B301B">
        <w:t>интересы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[3].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Приоритетными</w:t>
      </w:r>
      <w:r w:rsidR="00E572BF">
        <w:t xml:space="preserve"> </w:t>
      </w:r>
      <w:r w:rsidRPr="001B301B">
        <w:t>направлениями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банка:</w:t>
      </w:r>
    </w:p>
    <w:p w:rsidR="00D17A86" w:rsidRPr="001B301B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наращивание</w:t>
      </w:r>
      <w:r w:rsidR="00E572BF">
        <w:t xml:space="preserve"> </w:t>
      </w:r>
      <w:r w:rsidRPr="001B301B">
        <w:t>клиентской</w:t>
      </w:r>
      <w:r w:rsidR="00E572BF">
        <w:t xml:space="preserve"> </w:t>
      </w:r>
      <w:r w:rsidRPr="001B301B">
        <w:t>базы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="00BA7A16">
        <w:t>с</w:t>
      </w:r>
      <w:r w:rsidRPr="001B301B">
        <w:t>чет</w:t>
      </w:r>
      <w:r w:rsidR="00E572BF">
        <w:t xml:space="preserve"> </w:t>
      </w:r>
      <w:r w:rsidRPr="001B301B">
        <w:t>качественного</w:t>
      </w:r>
      <w:r w:rsidR="00E572BF">
        <w:t xml:space="preserve"> </w:t>
      </w:r>
      <w:r w:rsidRPr="001B301B">
        <w:t>операционно-кассового</w:t>
      </w:r>
      <w:r w:rsidR="00E572BF">
        <w:t xml:space="preserve"> </w:t>
      </w:r>
      <w:r w:rsidRPr="001B301B">
        <w:t>обслуживания;</w:t>
      </w:r>
    </w:p>
    <w:p w:rsidR="00D17A86" w:rsidRPr="001B301B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кредитование</w:t>
      </w:r>
      <w:r w:rsidR="00E572BF">
        <w:t xml:space="preserve"> </w:t>
      </w:r>
      <w:r w:rsidRPr="001B301B">
        <w:t>субъектов</w:t>
      </w:r>
      <w:r w:rsidR="00E572BF">
        <w:t xml:space="preserve"> </w:t>
      </w:r>
      <w:r w:rsidRPr="001B301B">
        <w:t>среднего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малого</w:t>
      </w:r>
      <w:r w:rsidR="00E572BF">
        <w:t xml:space="preserve"> </w:t>
      </w:r>
      <w:r w:rsidRPr="001B301B">
        <w:t>бизнеса;</w:t>
      </w:r>
    </w:p>
    <w:p w:rsidR="00D17A86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граждан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срочные</w:t>
      </w:r>
      <w:r w:rsidR="00E572BF">
        <w:t xml:space="preserve"> </w:t>
      </w:r>
      <w:r w:rsidRPr="001B301B">
        <w:t>вклады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рублях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иностранной</w:t>
      </w:r>
      <w:r w:rsidR="00E572BF">
        <w:t xml:space="preserve"> </w:t>
      </w:r>
      <w:r w:rsidRPr="001B301B">
        <w:t>валюте.</w:t>
      </w:r>
    </w:p>
    <w:p w:rsidR="00050998" w:rsidRDefault="00D17A86" w:rsidP="0007661D">
      <w:pPr>
        <w:rPr>
          <w:szCs w:val="24"/>
        </w:rPr>
      </w:pPr>
      <w:bookmarkStart w:id="6" w:name="_Hlk140217683"/>
      <w:r w:rsidRPr="00D17A86">
        <w:rPr>
          <w:szCs w:val="24"/>
        </w:rPr>
        <w:t>Для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оценки</w:t>
      </w:r>
      <w:r w:rsidR="00E572BF">
        <w:rPr>
          <w:szCs w:val="24"/>
        </w:rPr>
        <w:t xml:space="preserve"> </w:t>
      </w:r>
      <w:r w:rsidR="00466BA7">
        <w:rPr>
          <w:szCs w:val="24"/>
        </w:rPr>
        <w:t>финансового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состояния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АО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Банк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«Венец»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и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ООО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Банк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«Хлынов»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необходимо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провести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анализ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показателей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финансово-экономической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деятельности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банк</w:t>
      </w:r>
      <w:r w:rsidR="00466BA7">
        <w:rPr>
          <w:szCs w:val="24"/>
        </w:rPr>
        <w:t>ов</w:t>
      </w:r>
      <w:r w:rsidRPr="00D17A86">
        <w:rPr>
          <w:szCs w:val="24"/>
        </w:rPr>
        <w:t>,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применив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в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том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числе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горизонтальный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вертикальный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анализ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бухгалтерского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баланса.</w:t>
      </w:r>
    </w:p>
    <w:p w:rsidR="00B41F92" w:rsidRPr="001B301B" w:rsidRDefault="005D7A7B" w:rsidP="00D13216">
      <w:pPr>
        <w:pStyle w:val="2"/>
        <w:rPr>
          <w:rFonts w:cs="Times New Roman"/>
          <w:szCs w:val="28"/>
        </w:rPr>
      </w:pPr>
      <w:bookmarkStart w:id="7" w:name="_Toc168090071"/>
      <w:bookmarkEnd w:id="6"/>
      <w:r>
        <w:rPr>
          <w:rFonts w:cs="Times New Roman"/>
        </w:rPr>
        <w:lastRenderedPageBreak/>
        <w:t>2</w:t>
      </w:r>
      <w:r w:rsidR="00CD2D48" w:rsidRPr="001B301B">
        <w:rPr>
          <w:rFonts w:cs="Times New Roman"/>
        </w:rPr>
        <w:t>.</w:t>
      </w:r>
      <w:r w:rsidR="007706A9">
        <w:rPr>
          <w:rFonts w:cs="Times New Roman"/>
        </w:rPr>
        <w:t>2</w:t>
      </w:r>
      <w:r w:rsidR="00E572BF">
        <w:rPr>
          <w:rFonts w:cs="Times New Roman"/>
        </w:rPr>
        <w:t xml:space="preserve"> </w:t>
      </w:r>
      <w:r w:rsidR="00CD2D48" w:rsidRPr="001B301B">
        <w:rPr>
          <w:rFonts w:cs="Times New Roman"/>
        </w:rPr>
        <w:t>Анализ</w:t>
      </w:r>
      <w:r w:rsidR="00E572BF">
        <w:rPr>
          <w:rFonts w:cs="Times New Roman"/>
        </w:rPr>
        <w:t xml:space="preserve"> </w:t>
      </w:r>
      <w:r w:rsidR="00096465">
        <w:rPr>
          <w:rFonts w:cs="Times New Roman"/>
        </w:rPr>
        <w:t xml:space="preserve">баланса </w:t>
      </w:r>
      <w:r w:rsidR="00096465" w:rsidRPr="00096465">
        <w:rPr>
          <w:rFonts w:cs="Times New Roman"/>
        </w:rPr>
        <w:t>АО Банк «Венец» и ООО Банк «Хлынов»</w:t>
      </w:r>
      <w:bookmarkEnd w:id="7"/>
      <w:r w:rsidR="00E572BF">
        <w:rPr>
          <w:rFonts w:cs="Times New Roman"/>
        </w:rPr>
        <w:t xml:space="preserve"> </w:t>
      </w:r>
    </w:p>
    <w:p w:rsidR="00050998" w:rsidRDefault="00050998" w:rsidP="008364DB">
      <w:pPr>
        <w:rPr>
          <w:rFonts w:cs="Times New Roman"/>
          <w:szCs w:val="28"/>
        </w:rPr>
      </w:pPr>
    </w:p>
    <w:p w:rsidR="00CD2D48" w:rsidRPr="001B301B" w:rsidRDefault="00EC68BC" w:rsidP="008364DB">
      <w:pPr>
        <w:rPr>
          <w:rFonts w:cs="Times New Roman"/>
          <w:sz w:val="16"/>
          <w:szCs w:val="16"/>
        </w:rPr>
      </w:pPr>
      <w:r w:rsidRPr="001B301B">
        <w:rPr>
          <w:rFonts w:cs="Times New Roman"/>
          <w:szCs w:val="28"/>
        </w:rPr>
        <w:t>Банковские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ресурсы,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предоставления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кредитов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услуг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своим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своей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[6]</w:t>
      </w:r>
      <w:r w:rsidR="00247085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2555D6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2555D6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1.</w:t>
      </w:r>
    </w:p>
    <w:p w:rsidR="004A034C" w:rsidRDefault="00DF6EE7" w:rsidP="00726A0D">
      <w:pPr>
        <w:ind w:right="-108" w:firstLine="698"/>
      </w:pP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таблицы</w:t>
      </w:r>
      <w:r w:rsidR="00E572BF">
        <w:t xml:space="preserve"> </w:t>
      </w:r>
      <w:r w:rsidRPr="001B301B">
        <w:t>1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вывод,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соотношение</w:t>
      </w:r>
      <w:r w:rsidR="00E572BF">
        <w:t xml:space="preserve"> </w:t>
      </w:r>
      <w:r w:rsidRPr="001B301B">
        <w:t>отдельных</w:t>
      </w:r>
      <w:r w:rsidR="00E572BF">
        <w:t xml:space="preserve"> </w:t>
      </w:r>
      <w:r w:rsidRPr="001B301B">
        <w:t>частей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общему</w:t>
      </w:r>
      <w:r w:rsidR="00E572BF">
        <w:t xml:space="preserve"> </w:t>
      </w:r>
      <w:r w:rsidRPr="001B301B">
        <w:t>объему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</w:t>
      </w:r>
      <w:r w:rsidR="00E572BF">
        <w:t xml:space="preserve"> </w:t>
      </w:r>
      <w:r w:rsidRPr="001B301B">
        <w:t>изменилось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сильно.</w:t>
      </w:r>
      <w:r w:rsidR="00E572BF">
        <w:t xml:space="preserve"> </w:t>
      </w:r>
      <w:r w:rsidRPr="001B301B">
        <w:t>Наибольшее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изменение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чистая</w:t>
      </w:r>
      <w:r w:rsidR="00E572BF">
        <w:t xml:space="preserve"> </w:t>
      </w:r>
      <w:r w:rsidRPr="001B301B">
        <w:t>ссудная</w:t>
      </w:r>
      <w:r w:rsidR="00E572BF">
        <w:t xml:space="preserve"> </w:t>
      </w:r>
      <w:r w:rsidRPr="001B301B">
        <w:t>задолженность,</w:t>
      </w:r>
      <w:r w:rsidR="00E572BF">
        <w:t xml:space="preserve"> </w:t>
      </w:r>
      <w:r w:rsidRPr="001B301B">
        <w:t>оцениваемая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</w:t>
      </w:r>
      <w:r w:rsidR="00306182" w:rsidRPr="001B301B">
        <w:t>мортизированной</w:t>
      </w:r>
      <w:r w:rsidR="00E572BF">
        <w:t xml:space="preserve"> </w:t>
      </w:r>
      <w:r w:rsidR="00306182" w:rsidRPr="001B301B">
        <w:t>стоимости</w:t>
      </w:r>
      <w:r w:rsidR="00E572BF">
        <w:t xml:space="preserve"> </w:t>
      </w:r>
      <w:r w:rsidR="00E90A6A">
        <w:rPr>
          <w:rFonts w:cs="Times New Roman"/>
          <w:szCs w:val="28"/>
        </w:rPr>
        <w:t>–</w:t>
      </w:r>
      <w:r w:rsidR="00E572BF">
        <w:t xml:space="preserve"> </w:t>
      </w:r>
      <w:r w:rsidR="00E90A6A" w:rsidRPr="00E90A6A">
        <w:t>9</w:t>
      </w:r>
      <w:r w:rsidR="00E90A6A">
        <w:t>,52</w:t>
      </w:r>
      <w:r w:rsidR="00BA3C70" w:rsidRPr="001B301B">
        <w:t>%,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увеличение</w:t>
      </w:r>
      <w:r w:rsidR="00E572BF">
        <w:t xml:space="preserve"> </w:t>
      </w:r>
      <w:r w:rsidR="00BA3C70" w:rsidRPr="001B301B">
        <w:t>объема</w:t>
      </w:r>
      <w:r w:rsidR="00E572BF">
        <w:t xml:space="preserve"> </w:t>
      </w:r>
      <w:r w:rsidR="00BA3C70" w:rsidRPr="001B301B">
        <w:t>заемных</w:t>
      </w:r>
      <w:r w:rsidR="00E572BF">
        <w:t xml:space="preserve"> </w:t>
      </w:r>
      <w:r w:rsidR="00BA3C70" w:rsidRPr="001B301B">
        <w:t>средств</w:t>
      </w:r>
      <w:r w:rsidR="00E572BF">
        <w:t xml:space="preserve"> </w:t>
      </w:r>
      <w:r w:rsidR="005E6610" w:rsidRPr="001B301B">
        <w:t>к</w:t>
      </w:r>
      <w:r w:rsidR="00BA3C70" w:rsidRPr="001B301B">
        <w:t>омпании.</w:t>
      </w:r>
      <w:r w:rsidR="00E572BF">
        <w:t xml:space="preserve"> </w:t>
      </w:r>
      <w:r w:rsidR="00962E4A">
        <w:rPr>
          <w:szCs w:val="28"/>
        </w:rPr>
        <w:t>Больше</w:t>
      </w:r>
      <w:r w:rsidR="00E572BF">
        <w:rPr>
          <w:szCs w:val="28"/>
        </w:rPr>
        <w:t xml:space="preserve"> </w:t>
      </w:r>
      <w:r w:rsidR="00962E4A">
        <w:rPr>
          <w:szCs w:val="28"/>
        </w:rPr>
        <w:t>всего</w:t>
      </w:r>
      <w:r w:rsidR="00E572BF">
        <w:rPr>
          <w:szCs w:val="28"/>
        </w:rPr>
        <w:t xml:space="preserve"> </w:t>
      </w:r>
      <w:r w:rsidR="00962E4A">
        <w:rPr>
          <w:szCs w:val="28"/>
        </w:rPr>
        <w:t>уменьшился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показатель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«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Финансовые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активы,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оцениваемые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справедливой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стоимости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через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прибыль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убыток</w:t>
      </w:r>
      <w:r w:rsidR="004A034C" w:rsidRPr="00E90A6A">
        <w:rPr>
          <w:szCs w:val="28"/>
        </w:rPr>
        <w:t>»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с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изменением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-</w:t>
      </w:r>
      <w:r w:rsidR="00E90A6A" w:rsidRPr="00E90A6A">
        <w:rPr>
          <w:szCs w:val="28"/>
        </w:rPr>
        <w:t>3,62</w:t>
      </w:r>
      <w:r w:rsidR="00BA3C70" w:rsidRPr="00E90A6A">
        <w:rPr>
          <w:szCs w:val="28"/>
        </w:rPr>
        <w:t>%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в</w:t>
      </w:r>
      <w:r w:rsidR="00E572BF">
        <w:t xml:space="preserve"> </w:t>
      </w:r>
      <w:r w:rsidR="00BA3C70" w:rsidRPr="001B301B">
        <w:t>общем</w:t>
      </w:r>
      <w:r w:rsidR="00E572BF">
        <w:t xml:space="preserve"> </w:t>
      </w:r>
      <w:r w:rsidR="00BA3C70" w:rsidRPr="001B301B">
        <w:t>количестве</w:t>
      </w:r>
      <w:r w:rsidR="00E572BF">
        <w:t xml:space="preserve"> </w:t>
      </w:r>
      <w:r w:rsidR="00BA3C70" w:rsidRPr="001B301B">
        <w:t>активов,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снижение</w:t>
      </w:r>
      <w:r w:rsidR="00E572BF">
        <w:t xml:space="preserve"> </w:t>
      </w:r>
      <w:r w:rsidR="00BA3C70" w:rsidRPr="001B301B">
        <w:t>объема</w:t>
      </w:r>
      <w:r w:rsidR="00E572BF">
        <w:t xml:space="preserve"> </w:t>
      </w:r>
      <w:r w:rsidR="00BA3C70" w:rsidRPr="001B301B">
        <w:t>инвестиций</w:t>
      </w:r>
      <w:r w:rsidR="00E572BF">
        <w:t xml:space="preserve"> </w:t>
      </w:r>
      <w:r w:rsidR="005E6610" w:rsidRPr="001B301B">
        <w:t>к</w:t>
      </w:r>
      <w:r w:rsidR="00BA3C70" w:rsidRPr="001B301B">
        <w:t>омпании</w:t>
      </w:r>
      <w:r w:rsidR="00E572BF">
        <w:t xml:space="preserve"> </w:t>
      </w:r>
      <w:r w:rsidR="00BA3C70" w:rsidRPr="001B301B">
        <w:t>в</w:t>
      </w:r>
      <w:r w:rsidR="00E572BF">
        <w:t xml:space="preserve"> </w:t>
      </w:r>
      <w:r w:rsidR="00BA3C70" w:rsidRPr="001B301B">
        <w:t>данные</w:t>
      </w:r>
      <w:r w:rsidR="00E572BF">
        <w:t xml:space="preserve"> </w:t>
      </w:r>
      <w:r w:rsidR="00BA3C70" w:rsidRPr="001B301B">
        <w:t>активы.</w:t>
      </w:r>
    </w:p>
    <w:p w:rsidR="0000140F" w:rsidRPr="001B301B" w:rsidRDefault="0000140F" w:rsidP="00726A0D">
      <w:pPr>
        <w:ind w:right="-108" w:firstLine="698"/>
      </w:pPr>
      <w:r>
        <w:t>За</w:t>
      </w:r>
      <w:r w:rsidR="00E572BF">
        <w:t xml:space="preserve"> </w:t>
      </w:r>
      <w:r>
        <w:t>2023</w:t>
      </w:r>
      <w:r w:rsidR="00E572BF">
        <w:t xml:space="preserve"> </w:t>
      </w:r>
      <w:r>
        <w:t>год</w:t>
      </w:r>
      <w:r w:rsidR="00E572BF">
        <w:t xml:space="preserve"> </w:t>
      </w:r>
      <w:r>
        <w:t>отдельные</w:t>
      </w:r>
      <w:r w:rsidR="00E572BF">
        <w:t xml:space="preserve"> </w:t>
      </w:r>
      <w:r>
        <w:t>компоненты</w:t>
      </w:r>
      <w:r w:rsidR="00E572BF">
        <w:t xml:space="preserve"> </w:t>
      </w:r>
      <w:r>
        <w:t>активов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>
        <w:t>не</w:t>
      </w:r>
      <w:r w:rsidR="00E572BF">
        <w:t xml:space="preserve"> </w:t>
      </w:r>
      <w:r>
        <w:t>претерпели</w:t>
      </w:r>
      <w:r w:rsidR="00E572BF">
        <w:t xml:space="preserve"> </w:t>
      </w:r>
      <w:r>
        <w:t>серьезных</w:t>
      </w:r>
      <w:r w:rsidR="00E572BF">
        <w:t xml:space="preserve"> </w:t>
      </w:r>
      <w:r>
        <w:t>изменений</w:t>
      </w:r>
      <w:r w:rsidR="00E572BF">
        <w:t xml:space="preserve"> </w:t>
      </w:r>
      <w:r>
        <w:t>в</w:t>
      </w:r>
      <w:r w:rsidR="00E572BF">
        <w:t xml:space="preserve"> </w:t>
      </w:r>
      <w:r>
        <w:t>процентном</w:t>
      </w:r>
      <w:r w:rsidR="00E572BF">
        <w:t xml:space="preserve"> </w:t>
      </w:r>
      <w:r>
        <w:t>соотношении.</w:t>
      </w:r>
      <w:r w:rsidR="00E572BF">
        <w:t xml:space="preserve"> </w:t>
      </w:r>
      <w:r>
        <w:t>Наибольшее</w:t>
      </w:r>
      <w:r w:rsidR="00E572BF">
        <w:t xml:space="preserve"> </w:t>
      </w:r>
      <w:r>
        <w:t>увеличение</w:t>
      </w:r>
      <w:r w:rsidR="00E572BF">
        <w:t xml:space="preserve"> </w:t>
      </w:r>
      <w:r>
        <w:t>имеет</w:t>
      </w:r>
      <w:r w:rsidR="00E572BF">
        <w:t xml:space="preserve"> </w:t>
      </w:r>
      <w:r>
        <w:t>показатель</w:t>
      </w:r>
      <w:r w:rsidR="00E572BF">
        <w:t xml:space="preserve"> </w:t>
      </w:r>
      <w:r>
        <w:t>«</w:t>
      </w:r>
      <w:r w:rsidRPr="0000140F">
        <w:t>Чистая</w:t>
      </w:r>
      <w:r w:rsidR="00E572BF">
        <w:t xml:space="preserve"> </w:t>
      </w:r>
      <w:r w:rsidRPr="0000140F">
        <w:t>ссудная</w:t>
      </w:r>
      <w:r w:rsidR="00E572BF">
        <w:t xml:space="preserve"> </w:t>
      </w:r>
      <w:r w:rsidRPr="0000140F">
        <w:t>задолженность,</w:t>
      </w:r>
      <w:r w:rsidR="00E572BF">
        <w:t xml:space="preserve"> </w:t>
      </w:r>
      <w:r w:rsidRPr="0000140F">
        <w:t>оцениваемая</w:t>
      </w:r>
      <w:r w:rsidR="00E572BF">
        <w:t xml:space="preserve"> </w:t>
      </w:r>
      <w:r w:rsidRPr="0000140F">
        <w:t>по</w:t>
      </w:r>
      <w:r w:rsidR="00E572BF">
        <w:t xml:space="preserve"> </w:t>
      </w:r>
      <w:r w:rsidRPr="0000140F">
        <w:t>амортизированной</w:t>
      </w:r>
      <w:r w:rsidR="00E572BF">
        <w:t xml:space="preserve"> </w:t>
      </w:r>
      <w:r w:rsidRPr="0000140F">
        <w:t>стоимости</w:t>
      </w:r>
      <w:r w:rsidR="00224AF6">
        <w:t>»</w:t>
      </w:r>
      <w:r w:rsidR="00E572BF">
        <w:t xml:space="preserve"> </w:t>
      </w:r>
      <w:r w:rsidR="00224AF6" w:rsidRPr="00224AF6">
        <w:t>–</w:t>
      </w:r>
      <w:r w:rsidR="00E572BF">
        <w:t xml:space="preserve"> </w:t>
      </w:r>
      <w:r>
        <w:t>2,</w:t>
      </w:r>
      <w:r w:rsidR="00A3202D" w:rsidRPr="00A3202D">
        <w:t>88</w:t>
      </w:r>
      <w:r>
        <w:t>%.</w:t>
      </w:r>
      <w:r w:rsidR="00E572BF">
        <w:t xml:space="preserve"> </w:t>
      </w:r>
      <w:r>
        <w:t>За</w:t>
      </w:r>
      <w:r w:rsidR="00E572BF">
        <w:t xml:space="preserve"> </w:t>
      </w:r>
      <w:r>
        <w:t>2023</w:t>
      </w:r>
      <w:r w:rsidR="00E572BF">
        <w:t xml:space="preserve"> </w:t>
      </w:r>
      <w:r>
        <w:t>год</w:t>
      </w:r>
      <w:r w:rsidR="00E572BF">
        <w:t xml:space="preserve"> </w:t>
      </w:r>
      <w:r>
        <w:t>больше</w:t>
      </w:r>
      <w:r w:rsidR="00E572BF">
        <w:t xml:space="preserve"> </w:t>
      </w:r>
      <w:r>
        <w:t>всего</w:t>
      </w:r>
      <w:r w:rsidR="00E572BF">
        <w:t xml:space="preserve"> </w:t>
      </w:r>
      <w:r>
        <w:t>уменьшился</w:t>
      </w:r>
      <w:r w:rsidR="00E572BF">
        <w:t xml:space="preserve"> </w:t>
      </w:r>
      <w:r>
        <w:t>показатель</w:t>
      </w:r>
      <w:r w:rsidR="00E572BF">
        <w:t xml:space="preserve"> </w:t>
      </w:r>
      <w:r>
        <w:t>«</w:t>
      </w:r>
      <w:r w:rsidRPr="0000140F">
        <w:t>Основные</w:t>
      </w:r>
      <w:r w:rsidR="00E572BF">
        <w:t xml:space="preserve"> </w:t>
      </w:r>
      <w:r w:rsidRPr="0000140F">
        <w:t>средства,</w:t>
      </w:r>
      <w:r w:rsidR="00E572BF">
        <w:t xml:space="preserve"> </w:t>
      </w:r>
      <w:r w:rsidRPr="0000140F">
        <w:t>активы</w:t>
      </w:r>
      <w:r w:rsidR="00E572BF">
        <w:t xml:space="preserve"> </w:t>
      </w:r>
      <w:r w:rsidRPr="0000140F">
        <w:t>в</w:t>
      </w:r>
      <w:r w:rsidR="00E572BF">
        <w:t xml:space="preserve"> </w:t>
      </w:r>
      <w:r w:rsidRPr="0000140F">
        <w:t>форме</w:t>
      </w:r>
      <w:r w:rsidR="00E572BF">
        <w:t xml:space="preserve"> </w:t>
      </w:r>
      <w:r w:rsidRPr="0000140F">
        <w:t>права</w:t>
      </w:r>
      <w:r w:rsidR="00E572BF">
        <w:t xml:space="preserve"> </w:t>
      </w:r>
      <w:r w:rsidRPr="0000140F">
        <w:t>пользования</w:t>
      </w:r>
      <w:r w:rsidR="00E572BF">
        <w:t xml:space="preserve"> </w:t>
      </w:r>
      <w:r w:rsidRPr="0000140F">
        <w:t>и</w:t>
      </w:r>
      <w:r w:rsidR="00E572BF">
        <w:t xml:space="preserve"> </w:t>
      </w:r>
      <w:r w:rsidRPr="0000140F">
        <w:t>нематериальные</w:t>
      </w:r>
      <w:r w:rsidR="00E572BF">
        <w:t xml:space="preserve"> </w:t>
      </w:r>
      <w:r w:rsidRPr="0000140F">
        <w:t>активы</w:t>
      </w:r>
      <w:r>
        <w:t>»,</w:t>
      </w:r>
      <w:r w:rsidR="00E572BF">
        <w:t xml:space="preserve"> </w:t>
      </w:r>
      <w:r>
        <w:t>а</w:t>
      </w:r>
      <w:r w:rsidR="00E572BF">
        <w:t xml:space="preserve"> </w:t>
      </w:r>
      <w:r>
        <w:t>именно</w:t>
      </w:r>
      <w:r w:rsidR="00E572BF">
        <w:t xml:space="preserve"> </w:t>
      </w:r>
      <w:r>
        <w:t>на</w:t>
      </w:r>
      <w:r w:rsidR="00E572BF">
        <w:t xml:space="preserve"> </w:t>
      </w:r>
      <w:r>
        <w:t>1,37%.</w:t>
      </w:r>
    </w:p>
    <w:p w:rsidR="00BA3C70" w:rsidRPr="001B301B" w:rsidRDefault="00BA3C70" w:rsidP="00BA3C70">
      <w:pPr>
        <w:tabs>
          <w:tab w:val="num" w:pos="1276"/>
        </w:tabs>
        <w:ind w:right="-108"/>
      </w:pPr>
      <w:r w:rsidRPr="001B301B">
        <w:t>Согласно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анализа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следующие</w:t>
      </w:r>
      <w:r w:rsidR="00E572BF">
        <w:t xml:space="preserve"> </w:t>
      </w:r>
      <w:r w:rsidRPr="001B301B">
        <w:t>выводы:</w:t>
      </w:r>
    </w:p>
    <w:p w:rsidR="00BA3C70" w:rsidRPr="001B301B" w:rsidRDefault="00CF7EF7" w:rsidP="00F16F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1B301B">
        <w:t>д</w:t>
      </w:r>
      <w:r w:rsidR="00BA3C70" w:rsidRPr="001B301B">
        <w:t>енежные</w:t>
      </w:r>
      <w:r w:rsidR="00E572BF">
        <w:t xml:space="preserve"> </w:t>
      </w:r>
      <w:r w:rsidR="00BA3C70" w:rsidRPr="001B301B">
        <w:t>средства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2022</w:t>
      </w:r>
      <w:r w:rsidR="00E572BF">
        <w:t xml:space="preserve"> </w:t>
      </w:r>
      <w:r w:rsidR="00BA3C70" w:rsidRPr="001B301B">
        <w:t>уменьшились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E90A6A" w:rsidRPr="00E90A6A">
        <w:t>3,22</w:t>
      </w:r>
      <w:r w:rsidR="00BA3C70" w:rsidRPr="001B301B">
        <w:t>%,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уменьшение</w:t>
      </w:r>
      <w:r w:rsidR="00E572BF">
        <w:t xml:space="preserve"> </w:t>
      </w:r>
      <w:r w:rsidR="00BA3C70" w:rsidRPr="001B301B">
        <w:t>доходов</w:t>
      </w:r>
      <w:r w:rsidR="00E572BF">
        <w:t xml:space="preserve"> </w:t>
      </w:r>
      <w:r w:rsidR="00BA3C70" w:rsidRPr="001B301B">
        <w:t>или</w:t>
      </w:r>
      <w:r w:rsidR="00E572BF">
        <w:t xml:space="preserve"> </w:t>
      </w:r>
      <w:r w:rsidR="00BA3C70" w:rsidRPr="001B301B">
        <w:t>увеличение</w:t>
      </w:r>
      <w:r w:rsidR="00E572BF">
        <w:t xml:space="preserve"> </w:t>
      </w:r>
      <w:r w:rsidR="00BA3C70" w:rsidRPr="001B301B">
        <w:t>расходов</w:t>
      </w:r>
      <w:r w:rsidR="00E572BF">
        <w:t xml:space="preserve"> </w:t>
      </w:r>
      <w:r w:rsidR="00BA3C70" w:rsidRPr="001B301B">
        <w:t>компании</w:t>
      </w:r>
      <w:r w:rsidR="0000140F">
        <w:t>.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2023</w:t>
      </w:r>
      <w:r w:rsidR="00E572BF">
        <w:t xml:space="preserve"> </w:t>
      </w:r>
      <w:r w:rsidR="0000140F">
        <w:t>данный</w:t>
      </w:r>
      <w:r w:rsidR="00E572BF">
        <w:t xml:space="preserve"> </w:t>
      </w:r>
      <w:r w:rsidR="0000140F">
        <w:t>показатель</w:t>
      </w:r>
      <w:r w:rsidR="00E572BF">
        <w:t xml:space="preserve"> </w:t>
      </w:r>
      <w:r w:rsidR="0000140F">
        <w:t>также</w:t>
      </w:r>
      <w:r w:rsidR="00E572BF">
        <w:t xml:space="preserve"> </w:t>
      </w:r>
      <w:r w:rsidR="0000140F">
        <w:t>сохранил</w:t>
      </w:r>
      <w:r w:rsidR="00E572BF">
        <w:t xml:space="preserve"> </w:t>
      </w:r>
      <w:r w:rsidR="0000140F">
        <w:t>тенденцию</w:t>
      </w:r>
      <w:r w:rsidR="00E572BF">
        <w:t xml:space="preserve"> </w:t>
      </w:r>
      <w:r w:rsidR="0000140F">
        <w:t>на</w:t>
      </w:r>
      <w:r w:rsidR="00E572BF">
        <w:t xml:space="preserve"> </w:t>
      </w:r>
      <w:r w:rsidR="0000140F">
        <w:t>уменьшение</w:t>
      </w:r>
      <w:r w:rsidR="00E572BF">
        <w:t xml:space="preserve"> </w:t>
      </w:r>
      <w:r w:rsidR="0000140F">
        <w:t>объема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общей</w:t>
      </w:r>
      <w:r w:rsidR="00E572BF">
        <w:t xml:space="preserve"> </w:t>
      </w:r>
      <w:r w:rsidR="0000140F">
        <w:t>сумме</w:t>
      </w:r>
      <w:r w:rsidR="00E572BF">
        <w:t xml:space="preserve"> </w:t>
      </w:r>
      <w:r w:rsidR="0000140F">
        <w:t>активов,</w:t>
      </w:r>
      <w:r w:rsidR="00E572BF">
        <w:t xml:space="preserve"> </w:t>
      </w:r>
      <w:r w:rsidR="0000140F">
        <w:t>но</w:t>
      </w:r>
      <w:r w:rsidR="00E572BF">
        <w:t xml:space="preserve"> </w:t>
      </w:r>
      <w:r w:rsidR="007357C8">
        <w:t>его</w:t>
      </w:r>
      <w:r w:rsidR="00E572BF">
        <w:t xml:space="preserve"> </w:t>
      </w:r>
      <w:r w:rsidR="007357C8">
        <w:t>изменение</w:t>
      </w:r>
      <w:r w:rsidR="00E572BF">
        <w:t xml:space="preserve"> </w:t>
      </w:r>
      <w:r w:rsidR="0000140F">
        <w:t>сократилось</w:t>
      </w:r>
      <w:r w:rsidR="00E572BF">
        <w:t xml:space="preserve"> </w:t>
      </w:r>
      <w:r w:rsidR="0000140F">
        <w:t>с</w:t>
      </w:r>
      <w:r w:rsidR="00E572BF">
        <w:t xml:space="preserve"> </w:t>
      </w:r>
      <w:r w:rsidR="0000140F">
        <w:t>3,22%</w:t>
      </w:r>
      <w:r w:rsidR="00E572BF">
        <w:t xml:space="preserve"> </w:t>
      </w:r>
      <w:r w:rsidR="0000140F">
        <w:t>до</w:t>
      </w:r>
      <w:r w:rsidR="00E572BF">
        <w:t xml:space="preserve"> </w:t>
      </w:r>
      <w:r w:rsidR="0000140F">
        <w:t>0,1</w:t>
      </w:r>
      <w:r w:rsidR="00A3202D" w:rsidRPr="00A3202D">
        <w:t>5</w:t>
      </w:r>
      <w:r w:rsidR="0000140F">
        <w:t>%</w:t>
      </w:r>
      <w:r w:rsidRPr="001B301B">
        <w:t>;</w:t>
      </w:r>
    </w:p>
    <w:p w:rsidR="00E364A0" w:rsidRDefault="00E364A0" w:rsidP="007357C8">
      <w:pPr>
        <w:tabs>
          <w:tab w:val="num" w:pos="1276"/>
        </w:tabs>
        <w:ind w:right="-108" w:firstLine="0"/>
        <w:rPr>
          <w:szCs w:val="28"/>
        </w:rPr>
      </w:pPr>
    </w:p>
    <w:p w:rsidR="007357C8" w:rsidRDefault="007357C8" w:rsidP="007357C8">
      <w:pPr>
        <w:tabs>
          <w:tab w:val="num" w:pos="1276"/>
        </w:tabs>
        <w:ind w:right="-108" w:firstLine="0"/>
        <w:rPr>
          <w:szCs w:val="28"/>
        </w:rPr>
        <w:sectPr w:rsidR="007357C8" w:rsidSect="006C06DB">
          <w:footerReference w:type="default" r:id="rId16"/>
          <w:pgSz w:w="11906" w:h="16838"/>
          <w:pgMar w:top="1134" w:right="567" w:bottom="1134" w:left="1701" w:header="709" w:footer="709" w:gutter="0"/>
          <w:pgNumType w:start="5"/>
          <w:cols w:space="708"/>
          <w:docGrid w:linePitch="381"/>
        </w:sectPr>
      </w:pPr>
    </w:p>
    <w:p w:rsidR="00E364A0" w:rsidRDefault="00E364A0" w:rsidP="003C278E">
      <w:pPr>
        <w:ind w:firstLine="0"/>
        <w:rPr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993"/>
        <w:gridCol w:w="708"/>
        <w:gridCol w:w="851"/>
        <w:gridCol w:w="709"/>
        <w:gridCol w:w="1134"/>
        <w:gridCol w:w="1275"/>
        <w:gridCol w:w="993"/>
        <w:gridCol w:w="850"/>
        <w:gridCol w:w="1276"/>
        <w:gridCol w:w="1636"/>
      </w:tblGrid>
      <w:tr w:rsidR="00E364A0" w:rsidRPr="00E364A0" w:rsidTr="0011043C">
        <w:trPr>
          <w:trHeight w:val="29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bookmarkStart w:id="8" w:name="OLE_LINK1"/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07592C" w:rsidRPr="00E364A0" w:rsidTr="00F413C0">
        <w:trPr>
          <w:trHeight w:val="548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left="-394" w:right="-389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614E5C" w:rsidRPr="00E364A0" w:rsidTr="00D37609">
        <w:trPr>
          <w:trHeight w:val="414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Денежные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F413C0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287795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-65552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236029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2,2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13786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-0,15</w:t>
            </w:r>
          </w:p>
        </w:tc>
      </w:tr>
      <w:tr w:rsidR="00614E5C" w:rsidRPr="00E364A0" w:rsidTr="00D37609">
        <w:trPr>
          <w:trHeight w:val="73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Центральном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банке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Российской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Федерации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115827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210948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95121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250729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39781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</w:tr>
      <w:tr w:rsidR="00614E5C" w:rsidRPr="00E364A0" w:rsidTr="00D37609">
        <w:trPr>
          <w:trHeight w:val="28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кредитных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137660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128817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-8843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157584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28767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0,12</w:t>
            </w:r>
          </w:p>
        </w:tc>
      </w:tr>
      <w:tr w:rsidR="00614E5C" w:rsidRPr="00E364A0" w:rsidTr="00D37609">
        <w:trPr>
          <w:trHeight w:val="69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убыток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399133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388213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-10920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297329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-90884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-1,33</w:t>
            </w:r>
          </w:p>
        </w:tc>
      </w:tr>
      <w:tr w:rsidR="00614E5C" w:rsidRPr="00E364A0" w:rsidTr="00D37609">
        <w:trPr>
          <w:trHeight w:val="63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задолженность,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3948238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4170892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9,52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2,88</w:t>
            </w:r>
          </w:p>
        </w:tc>
      </w:tr>
      <w:tr w:rsidR="00614E5C" w:rsidRPr="00E364A0" w:rsidTr="00D37609">
        <w:trPr>
          <w:trHeight w:val="107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бумаги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(кроме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задолженности)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614E5C" w:rsidRPr="00E364A0" w:rsidTr="00D37609">
        <w:trPr>
          <w:trHeight w:val="58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Требование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текущему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30172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0,3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-13615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</w:tr>
      <w:tr w:rsidR="00614E5C" w:rsidRPr="00E364A0" w:rsidTr="00D37609">
        <w:trPr>
          <w:trHeight w:val="31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Отложенный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налоговый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20372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-0,04</w:t>
            </w:r>
          </w:p>
        </w:tc>
      </w:tr>
      <w:tr w:rsidR="00614E5C" w:rsidRPr="00E364A0" w:rsidTr="00D37609">
        <w:trPr>
          <w:trHeight w:val="87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Основные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форме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права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нематериальные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180141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278474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168454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-110020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-1,37</w:t>
            </w:r>
          </w:p>
        </w:tc>
      </w:tr>
      <w:tr w:rsidR="00614E5C" w:rsidRPr="00E364A0" w:rsidTr="00D37609">
        <w:trPr>
          <w:trHeight w:val="37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Долгосрочные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предназначенные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для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продажи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62501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17461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-0,1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21243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1731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8"/>
    </w:tbl>
    <w:p w:rsidR="00E364A0" w:rsidRDefault="00E364A0" w:rsidP="00D033CD">
      <w:pPr>
        <w:tabs>
          <w:tab w:val="num" w:pos="1276"/>
        </w:tabs>
        <w:ind w:right="-108"/>
        <w:rPr>
          <w:szCs w:val="28"/>
        </w:rPr>
        <w:sectPr w:rsidR="00E364A0" w:rsidSect="00D63871">
          <w:headerReference w:type="default" r:id="rId17"/>
          <w:footerReference w:type="default" r:id="rId18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CD1476" w:rsidRPr="00790BFD" w:rsidRDefault="00CD1476" w:rsidP="00790B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790BFD">
        <w:lastRenderedPageBreak/>
        <w:t>средства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кредитной</w:t>
      </w:r>
      <w:r w:rsidR="00E572BF">
        <w:t xml:space="preserve"> </w:t>
      </w:r>
      <w:r w:rsidRPr="00790BFD">
        <w:t>организации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Центральном</w:t>
      </w:r>
      <w:r w:rsidR="00E572BF">
        <w:t xml:space="preserve"> </w:t>
      </w:r>
      <w:r w:rsidRPr="00790BFD">
        <w:t>банке</w:t>
      </w:r>
      <w:r w:rsidR="00E572BF">
        <w:t xml:space="preserve"> </w:t>
      </w:r>
      <w:r w:rsidRPr="00790BFD">
        <w:t>Российской</w:t>
      </w:r>
      <w:r w:rsidR="00E572BF">
        <w:t xml:space="preserve"> </w:t>
      </w:r>
      <w:r w:rsidRPr="00790BFD">
        <w:t>Федерации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2022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не</w:t>
      </w:r>
      <w:r w:rsidR="00E572BF">
        <w:t xml:space="preserve"> </w:t>
      </w:r>
      <w:r w:rsidRPr="00790BFD">
        <w:t>изменились,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может</w:t>
      </w:r>
      <w:r w:rsidR="00E572BF">
        <w:t xml:space="preserve"> </w:t>
      </w:r>
      <w:r w:rsidRPr="00790BFD">
        <w:t>указывать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снижение</w:t>
      </w:r>
      <w:r w:rsidR="00E572BF">
        <w:t xml:space="preserve"> </w:t>
      </w:r>
      <w:r w:rsidRPr="00790BFD">
        <w:t>потребности</w:t>
      </w:r>
      <w:r w:rsidR="00E572BF">
        <w:t xml:space="preserve"> </w:t>
      </w:r>
      <w:r w:rsidRPr="00790BFD">
        <w:t>компании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заемных</w:t>
      </w:r>
      <w:r w:rsidR="00E572BF">
        <w:t xml:space="preserve"> </w:t>
      </w:r>
      <w:r w:rsidRPr="00790BFD">
        <w:t>средствах.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2023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данный</w:t>
      </w:r>
      <w:r w:rsidR="00E572BF">
        <w:t xml:space="preserve"> </w:t>
      </w:r>
      <w:r w:rsidRPr="00790BFD">
        <w:t>показатель</w:t>
      </w:r>
      <w:r w:rsidR="00E572BF">
        <w:t xml:space="preserve"> </w:t>
      </w:r>
      <w:r w:rsidRPr="00790BFD">
        <w:t>увеличился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0,1%,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говорит</w:t>
      </w:r>
      <w:r w:rsidR="00E572BF">
        <w:t xml:space="preserve"> </w:t>
      </w:r>
      <w:r w:rsidRPr="00790BFD">
        <w:t>о</w:t>
      </w:r>
      <w:r w:rsidR="00E572BF">
        <w:t xml:space="preserve"> </w:t>
      </w:r>
      <w:r w:rsidRPr="00790BFD">
        <w:t>минимальном</w:t>
      </w:r>
      <w:r w:rsidR="00E572BF">
        <w:t xml:space="preserve"> </w:t>
      </w:r>
      <w:r w:rsidRPr="00790BFD">
        <w:t>интересе</w:t>
      </w:r>
      <w:r w:rsidR="00E572BF">
        <w:t xml:space="preserve"> </w:t>
      </w:r>
      <w:r w:rsidRPr="00790BFD">
        <w:t>компании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заёмных</w:t>
      </w:r>
      <w:r w:rsidR="00E572BF">
        <w:t xml:space="preserve"> </w:t>
      </w:r>
      <w:r w:rsidRPr="00790BFD">
        <w:t>средствах;</w:t>
      </w:r>
    </w:p>
    <w:p w:rsidR="00CD1476" w:rsidRPr="00790BFD" w:rsidRDefault="00CD1476" w:rsidP="00790B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790BFD">
        <w:t>долгосрочные</w:t>
      </w:r>
      <w:r w:rsidR="00E572BF">
        <w:t xml:space="preserve"> </w:t>
      </w:r>
      <w:r w:rsidRPr="00790BFD">
        <w:t>активы,</w:t>
      </w:r>
      <w:r w:rsidR="00E572BF">
        <w:t xml:space="preserve"> </w:t>
      </w:r>
      <w:r w:rsidRPr="00790BFD">
        <w:t>предназначенные</w:t>
      </w:r>
      <w:r w:rsidR="00E572BF">
        <w:t xml:space="preserve"> </w:t>
      </w:r>
      <w:r w:rsidRPr="00790BFD">
        <w:t>для</w:t>
      </w:r>
      <w:r w:rsidR="00E572BF">
        <w:t xml:space="preserve"> </w:t>
      </w:r>
      <w:r w:rsidRPr="00790BFD">
        <w:t>продажи,</w:t>
      </w:r>
      <w:r w:rsidR="00E572BF">
        <w:t xml:space="preserve"> </w:t>
      </w:r>
      <w:r w:rsidRPr="00790BFD">
        <w:t>сократились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2022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1,03%,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может</w:t>
      </w:r>
      <w:r w:rsidR="00E572BF">
        <w:t xml:space="preserve"> </w:t>
      </w:r>
      <w:r w:rsidRPr="00790BFD">
        <w:t>указывать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снижение</w:t>
      </w:r>
      <w:r w:rsidR="00E572BF">
        <w:t xml:space="preserve"> </w:t>
      </w:r>
      <w:r w:rsidRPr="00790BFD">
        <w:t>планов</w:t>
      </w:r>
      <w:r w:rsidR="00E572BF">
        <w:t xml:space="preserve"> </w:t>
      </w:r>
      <w:r w:rsidRPr="00790BFD">
        <w:t>по</w:t>
      </w:r>
      <w:r w:rsidR="00E572BF">
        <w:t xml:space="preserve"> </w:t>
      </w:r>
      <w:r w:rsidRPr="00790BFD">
        <w:t>продаже</w:t>
      </w:r>
      <w:r w:rsidR="00E572BF">
        <w:t xml:space="preserve"> </w:t>
      </w:r>
      <w:r w:rsidRPr="00790BFD">
        <w:t>данных</w:t>
      </w:r>
      <w:r w:rsidR="00E572BF">
        <w:t xml:space="preserve"> </w:t>
      </w:r>
      <w:r w:rsidRPr="00790BFD">
        <w:t>активов.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2023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данный</w:t>
      </w:r>
      <w:r w:rsidR="00E572BF">
        <w:t xml:space="preserve"> </w:t>
      </w:r>
      <w:r w:rsidRPr="00790BFD">
        <w:t>показатель</w:t>
      </w:r>
      <w:r w:rsidR="00E572BF">
        <w:t xml:space="preserve"> </w:t>
      </w:r>
      <w:r w:rsidRPr="00790BFD">
        <w:t>практически</w:t>
      </w:r>
      <w:r w:rsidR="00E572BF">
        <w:t xml:space="preserve"> </w:t>
      </w:r>
      <w:r w:rsidRPr="00790BFD">
        <w:t>сохранил</w:t>
      </w:r>
      <w:r w:rsidR="00E572BF">
        <w:t xml:space="preserve"> </w:t>
      </w:r>
      <w:r w:rsidRPr="00790BFD">
        <w:t>своё</w:t>
      </w:r>
      <w:r w:rsidR="00E572BF">
        <w:t xml:space="preserve"> </w:t>
      </w:r>
      <w:r w:rsidRPr="00790BFD">
        <w:t>прежнее</w:t>
      </w:r>
      <w:r w:rsidR="00E572BF">
        <w:t xml:space="preserve"> </w:t>
      </w:r>
      <w:r w:rsidRPr="00790BFD">
        <w:t>значение,</w:t>
      </w:r>
      <w:r w:rsidR="00E572BF">
        <w:t xml:space="preserve"> </w:t>
      </w:r>
      <w:r w:rsidRPr="00790BFD">
        <w:t>сократившись</w:t>
      </w:r>
      <w:r w:rsidR="00E572BF">
        <w:t xml:space="preserve"> </w:t>
      </w:r>
      <w:r w:rsidRPr="00790BFD">
        <w:t>лишь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0,02%.</w:t>
      </w:r>
    </w:p>
    <w:p w:rsidR="00D033CD" w:rsidRDefault="007357C8" w:rsidP="00CD1476">
      <w:pPr>
        <w:tabs>
          <w:tab w:val="num" w:pos="1276"/>
        </w:tabs>
        <w:ind w:right="-108"/>
      </w:pPr>
      <w:r>
        <w:rPr>
          <w:szCs w:val="28"/>
        </w:rPr>
        <w:t>В</w:t>
      </w:r>
      <w:r w:rsidR="00E572BF">
        <w:rPr>
          <w:szCs w:val="28"/>
        </w:rPr>
        <w:t xml:space="preserve"> </w:t>
      </w:r>
      <w:r>
        <w:rPr>
          <w:szCs w:val="28"/>
        </w:rPr>
        <w:t>2022</w:t>
      </w:r>
      <w:r w:rsidR="00E572BF">
        <w:rPr>
          <w:szCs w:val="28"/>
        </w:rPr>
        <w:t xml:space="preserve"> </w:t>
      </w:r>
      <w:r>
        <w:rPr>
          <w:szCs w:val="28"/>
        </w:rPr>
        <w:t>году</w:t>
      </w:r>
      <w:r w:rsidR="00E572BF">
        <w:rPr>
          <w:szCs w:val="28"/>
        </w:rPr>
        <w:t xml:space="preserve"> </w:t>
      </w:r>
      <w:r>
        <w:rPr>
          <w:szCs w:val="28"/>
        </w:rPr>
        <w:t>заметна</w:t>
      </w:r>
      <w:r w:rsidR="00E572BF">
        <w:rPr>
          <w:szCs w:val="28"/>
        </w:rPr>
        <w:t xml:space="preserve"> </w:t>
      </w:r>
      <w:r>
        <w:rPr>
          <w:szCs w:val="28"/>
        </w:rPr>
        <w:t>тенденция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увеличения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активов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на</w:t>
      </w:r>
      <w:r w:rsidR="00E572BF">
        <w:rPr>
          <w:szCs w:val="28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4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279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045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A3C70" w:rsidRPr="00E90A6A">
        <w:rPr>
          <w:szCs w:val="28"/>
        </w:rPr>
        <w:t>тыс.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рублей,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что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мо</w:t>
      </w:r>
      <w:r w:rsidR="00BA3C70" w:rsidRPr="001B301B">
        <w:t>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рост</w:t>
      </w:r>
      <w:r w:rsidR="00E572BF">
        <w:t xml:space="preserve"> </w:t>
      </w:r>
      <w:r w:rsidR="002940E9" w:rsidRPr="001B301B">
        <w:t>банка</w:t>
      </w:r>
      <w:r w:rsidR="00E572BF">
        <w:t xml:space="preserve"> </w:t>
      </w:r>
      <w:r w:rsidR="00BA3C70" w:rsidRPr="001B301B">
        <w:t>и</w:t>
      </w:r>
      <w:r w:rsidR="00E572BF">
        <w:t xml:space="preserve"> </w:t>
      </w:r>
      <w:r w:rsidR="00BA3C70" w:rsidRPr="001B301B">
        <w:t>его</w:t>
      </w:r>
      <w:r w:rsidR="00E572BF">
        <w:t xml:space="preserve"> </w:t>
      </w:r>
      <w:r w:rsidR="00BA3C70" w:rsidRPr="001B301B">
        <w:t>успешное</w:t>
      </w:r>
      <w:r w:rsidR="00E572BF">
        <w:t xml:space="preserve"> </w:t>
      </w:r>
      <w:r w:rsidR="00D033CD">
        <w:t>развитие.</w:t>
      </w:r>
      <w:r w:rsidR="00E572BF">
        <w:t xml:space="preserve"> </w:t>
      </w:r>
      <w:r>
        <w:t>В</w:t>
      </w:r>
      <w:r w:rsidR="00E572BF">
        <w:t xml:space="preserve"> </w:t>
      </w:r>
      <w:r>
        <w:t>2023</w:t>
      </w:r>
      <w:r w:rsidR="00E572BF">
        <w:t xml:space="preserve"> </w:t>
      </w:r>
      <w:r>
        <w:t>году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>
        <w:t>также</w:t>
      </w:r>
      <w:r w:rsidR="00E572BF">
        <w:t xml:space="preserve"> </w:t>
      </w:r>
      <w:r w:rsidR="00AD184A">
        <w:t>сохранил</w:t>
      </w:r>
      <w:r w:rsidR="00E572BF">
        <w:t xml:space="preserve"> </w:t>
      </w:r>
      <w:r>
        <w:t>рост</w:t>
      </w:r>
      <w:r w:rsidR="00E572BF">
        <w:t xml:space="preserve"> </w:t>
      </w:r>
      <w:r>
        <w:t>показателя</w:t>
      </w:r>
      <w:r w:rsidR="00E572BF">
        <w:t xml:space="preserve"> </w:t>
      </w:r>
      <w:r>
        <w:t>суммарных</w:t>
      </w:r>
      <w:r w:rsidR="00E572BF">
        <w:t xml:space="preserve"> </w:t>
      </w:r>
      <w:r>
        <w:t>активов</w:t>
      </w:r>
      <w:r w:rsidR="00E572BF">
        <w:t xml:space="preserve"> </w:t>
      </w:r>
      <w:r>
        <w:t>на</w:t>
      </w:r>
      <w:r w:rsidR="00E572BF">
        <w:t xml:space="preserve"> </w:t>
      </w:r>
      <w:r>
        <w:t>1</w:t>
      </w:r>
      <w:r w:rsidR="00E572BF">
        <w:t xml:space="preserve"> </w:t>
      </w:r>
      <w:r>
        <w:t>25</w:t>
      </w:r>
      <w:r w:rsidR="00767BB7" w:rsidRPr="00767BB7">
        <w:t>1</w:t>
      </w:r>
      <w:r w:rsidR="00E572BF">
        <w:t xml:space="preserve"> </w:t>
      </w:r>
      <w:r w:rsidR="00767BB7" w:rsidRPr="00767BB7">
        <w:t>634</w:t>
      </w:r>
      <w:r w:rsidR="00E572BF">
        <w:t xml:space="preserve"> </w:t>
      </w:r>
      <w:r w:rsidR="00AD184A">
        <w:t>тыс.</w:t>
      </w:r>
      <w:r w:rsidR="00E572BF">
        <w:t xml:space="preserve"> </w:t>
      </w:r>
      <w:r w:rsidR="00AD184A">
        <w:t>по</w:t>
      </w:r>
      <w:r w:rsidR="00E572BF">
        <w:t xml:space="preserve"> </w:t>
      </w:r>
      <w:r w:rsidR="00AD184A">
        <w:t>сравнению</w:t>
      </w:r>
      <w:r w:rsidR="00E572BF">
        <w:t xml:space="preserve"> </w:t>
      </w:r>
      <w:r w:rsidR="00AD184A">
        <w:t>с</w:t>
      </w:r>
      <w:r w:rsidR="00E572BF">
        <w:t xml:space="preserve"> </w:t>
      </w:r>
      <w:r w:rsidR="00AD184A">
        <w:t>2022</w:t>
      </w:r>
      <w:r w:rsidR="00E572BF">
        <w:t xml:space="preserve"> </w:t>
      </w:r>
      <w:r w:rsidR="00AD184A">
        <w:t>годом.</w:t>
      </w:r>
    </w:p>
    <w:p w:rsidR="00724018" w:rsidRDefault="00724018" w:rsidP="0072401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</w:t>
      </w:r>
    </w:p>
    <w:p w:rsidR="00D033CD" w:rsidRPr="001B301B" w:rsidRDefault="00D033CD" w:rsidP="00D033CD">
      <w:pPr>
        <w:ind w:right="-108" w:firstLine="698"/>
      </w:pP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таблицы</w:t>
      </w:r>
      <w:r w:rsidR="00E572BF">
        <w:t xml:space="preserve"> </w:t>
      </w:r>
      <w:r>
        <w:t>2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вывод,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соотношение</w:t>
      </w:r>
      <w:r w:rsidR="00E572BF">
        <w:t xml:space="preserve"> </w:t>
      </w:r>
      <w:r w:rsidRPr="001B301B">
        <w:t>отдельных</w:t>
      </w:r>
      <w:r w:rsidR="00E572BF">
        <w:t xml:space="preserve"> </w:t>
      </w:r>
      <w:r w:rsidRPr="001B301B">
        <w:t>частей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общему</w:t>
      </w:r>
      <w:r w:rsidR="00E572BF">
        <w:t xml:space="preserve"> </w:t>
      </w:r>
      <w:r w:rsidRPr="001B301B">
        <w:t>объему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</w:t>
      </w:r>
      <w:r w:rsidR="00E572BF">
        <w:t xml:space="preserve"> </w:t>
      </w:r>
      <w:r w:rsidRPr="001B301B">
        <w:t>изменилось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сильно.</w:t>
      </w:r>
      <w:r w:rsidR="00E572BF">
        <w:t xml:space="preserve"> </w:t>
      </w:r>
      <w:r w:rsidRPr="001B301B">
        <w:t>Наибольшее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изменение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чистая</w:t>
      </w:r>
      <w:r w:rsidR="00E572BF">
        <w:t xml:space="preserve"> </w:t>
      </w:r>
      <w:r w:rsidRPr="001B301B">
        <w:t>ссудная</w:t>
      </w:r>
      <w:r w:rsidR="00E572BF">
        <w:t xml:space="preserve"> </w:t>
      </w:r>
      <w:r w:rsidRPr="001B301B">
        <w:t>задолженность,</w:t>
      </w:r>
      <w:r w:rsidR="00E572BF">
        <w:t xml:space="preserve"> </w:t>
      </w:r>
      <w:r w:rsidRPr="001B301B">
        <w:t>оцениваемая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амортизированной</w:t>
      </w:r>
      <w:r w:rsidR="00E572BF">
        <w:t xml:space="preserve"> </w:t>
      </w:r>
      <w:r w:rsidRPr="001B301B">
        <w:t>стоимости</w:t>
      </w:r>
      <w:r w:rsidR="00E572BF">
        <w:t xml:space="preserve"> </w:t>
      </w:r>
      <w:r w:rsidRPr="001B301B">
        <w:rPr>
          <w:rFonts w:cs="Times New Roman"/>
          <w:szCs w:val="28"/>
        </w:rPr>
        <w:t>−</w:t>
      </w:r>
      <w:r w:rsidR="00E572BF">
        <w:t xml:space="preserve"> </w:t>
      </w:r>
      <w:r w:rsidRPr="001B301B">
        <w:t>2,69%,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указывать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увеличение</w:t>
      </w:r>
      <w:r w:rsidR="00E572BF">
        <w:t xml:space="preserve"> </w:t>
      </w:r>
      <w:r w:rsidRPr="001B301B">
        <w:t>объема</w:t>
      </w:r>
      <w:r w:rsidR="00E572BF">
        <w:t xml:space="preserve"> </w:t>
      </w:r>
      <w:r w:rsidRPr="001B301B">
        <w:t>заемных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компании.</w:t>
      </w:r>
      <w:r w:rsidR="00E572BF">
        <w:t xml:space="preserve"> </w:t>
      </w:r>
    </w:p>
    <w:p w:rsidR="00D033CD" w:rsidRDefault="00D033CD" w:rsidP="00D033CD">
      <w:pPr>
        <w:ind w:right="-108" w:firstLine="698"/>
      </w:pPr>
      <w:r w:rsidRPr="001B301B">
        <w:t>Наибольшее</w:t>
      </w:r>
      <w:r w:rsidR="00E572BF">
        <w:t xml:space="preserve"> </w:t>
      </w:r>
      <w:r w:rsidRPr="001B301B">
        <w:t>уменьшение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показатель</w:t>
      </w:r>
      <w:r w:rsidR="00E572BF">
        <w:t xml:space="preserve"> </w:t>
      </w:r>
      <w:r w:rsidRPr="001B301B">
        <w:t>«Чистые</w:t>
      </w:r>
      <w:r w:rsidR="00E572BF">
        <w:t xml:space="preserve"> </w:t>
      </w:r>
      <w:r w:rsidRPr="001B301B">
        <w:t>вложения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ценные</w:t>
      </w:r>
      <w:r w:rsidR="00E572BF">
        <w:t xml:space="preserve"> </w:t>
      </w:r>
      <w:r w:rsidRPr="001B301B">
        <w:t>бумаги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иные</w:t>
      </w:r>
      <w:r w:rsidR="00E572BF">
        <w:t xml:space="preserve"> </w:t>
      </w:r>
      <w:r w:rsidRPr="001B301B">
        <w:t>финансовые</w:t>
      </w:r>
      <w:r w:rsidR="00E572BF">
        <w:t xml:space="preserve"> </w:t>
      </w:r>
      <w:r w:rsidRPr="001B301B">
        <w:t>активы,</w:t>
      </w:r>
      <w:r w:rsidR="00E572BF">
        <w:t xml:space="preserve"> </w:t>
      </w:r>
      <w:r w:rsidRPr="001B301B">
        <w:t>оцениваемые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амортизированной</w:t>
      </w:r>
      <w:r w:rsidR="00E572BF">
        <w:t xml:space="preserve"> </w:t>
      </w:r>
      <w:r w:rsidRPr="001B301B">
        <w:t>стоимости</w:t>
      </w:r>
      <w:r w:rsidR="00E572BF">
        <w:t xml:space="preserve"> </w:t>
      </w:r>
      <w:r w:rsidRPr="001B301B">
        <w:t>(кроме</w:t>
      </w:r>
      <w:r w:rsidR="00E572BF">
        <w:t xml:space="preserve"> </w:t>
      </w:r>
      <w:r w:rsidRPr="001B301B">
        <w:t>ссудной</w:t>
      </w:r>
      <w:r w:rsidR="00E572BF">
        <w:t xml:space="preserve"> </w:t>
      </w:r>
      <w:r w:rsidRPr="001B301B">
        <w:t>задолженности)»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изменением</w:t>
      </w:r>
      <w:r w:rsidR="00E572BF">
        <w:t xml:space="preserve"> </w:t>
      </w:r>
      <w:r w:rsidRPr="001B301B">
        <w:t>-1,34%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общем</w:t>
      </w:r>
      <w:r w:rsidR="00E572BF">
        <w:t xml:space="preserve"> </w:t>
      </w:r>
      <w:r w:rsidRPr="001B301B">
        <w:t>количестве</w:t>
      </w:r>
      <w:r w:rsidR="00E572BF">
        <w:t xml:space="preserve"> </w:t>
      </w:r>
      <w:r w:rsidRPr="001B301B">
        <w:t>активов,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указывать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снижение</w:t>
      </w:r>
      <w:r w:rsidR="00E572BF">
        <w:t xml:space="preserve"> </w:t>
      </w:r>
      <w:r w:rsidRPr="001B301B">
        <w:t>объема</w:t>
      </w:r>
      <w:r w:rsidR="00E572BF">
        <w:t xml:space="preserve"> </w:t>
      </w:r>
      <w:r w:rsidRPr="001B301B">
        <w:t>инвестиций</w:t>
      </w:r>
      <w:r w:rsidR="00E572BF">
        <w:t xml:space="preserve"> </w:t>
      </w:r>
      <w:r w:rsidRPr="001B301B">
        <w:t>компании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данные</w:t>
      </w:r>
      <w:r w:rsidR="00E572BF">
        <w:t xml:space="preserve"> </w:t>
      </w:r>
      <w:r>
        <w:t>активы.</w:t>
      </w:r>
    </w:p>
    <w:p w:rsidR="00810F44" w:rsidRDefault="00AD184A" w:rsidP="00AD184A">
      <w:pPr>
        <w:ind w:right="-108" w:firstLine="567"/>
      </w:pPr>
      <w:r>
        <w:t>В</w:t>
      </w:r>
      <w:r w:rsidR="00E572BF">
        <w:t xml:space="preserve"> </w:t>
      </w:r>
      <w:r>
        <w:t>2023</w:t>
      </w:r>
      <w:r w:rsidR="00E572BF">
        <w:t xml:space="preserve"> </w:t>
      </w:r>
      <w:r>
        <w:t>году</w:t>
      </w:r>
      <w:r w:rsidR="00E572BF">
        <w:t xml:space="preserve"> </w:t>
      </w:r>
      <w:r w:rsidR="00AD60DC">
        <w:t>процентная</w:t>
      </w:r>
      <w:r w:rsidR="00E572BF">
        <w:t xml:space="preserve"> </w:t>
      </w:r>
      <w:r w:rsidR="00AD60DC">
        <w:t>доля</w:t>
      </w:r>
      <w:r w:rsidR="00E572BF">
        <w:t xml:space="preserve"> </w:t>
      </w:r>
      <w:r w:rsidR="00AD60DC">
        <w:t>показателей</w:t>
      </w:r>
      <w:r w:rsidR="00E572BF">
        <w:t xml:space="preserve"> </w:t>
      </w:r>
      <w:r w:rsidR="00AD60DC">
        <w:t>в</w:t>
      </w:r>
      <w:r w:rsidR="00E572BF">
        <w:t xml:space="preserve"> </w:t>
      </w:r>
      <w:r w:rsidR="00AD60DC">
        <w:t>общей</w:t>
      </w:r>
      <w:r w:rsidR="00E572BF">
        <w:t xml:space="preserve"> </w:t>
      </w:r>
      <w:r w:rsidR="00AD60DC">
        <w:t>сумме</w:t>
      </w:r>
      <w:r w:rsidR="00E572BF">
        <w:t xml:space="preserve"> </w:t>
      </w:r>
      <w:r w:rsidR="00AD60DC">
        <w:t>активов</w:t>
      </w:r>
      <w:r w:rsidR="00E572BF">
        <w:t xml:space="preserve"> </w:t>
      </w:r>
      <w:r w:rsidR="00AD60DC">
        <w:t>не</w:t>
      </w:r>
      <w:r w:rsidR="00E572BF">
        <w:t xml:space="preserve"> </w:t>
      </w:r>
      <w:r w:rsidR="00AD60DC">
        <w:t>сильно</w:t>
      </w:r>
      <w:r w:rsidR="00E572BF">
        <w:t xml:space="preserve"> </w:t>
      </w:r>
      <w:r w:rsidR="00AD60DC">
        <w:t>изменилась.</w:t>
      </w:r>
      <w:r w:rsidR="00E572BF">
        <w:t xml:space="preserve"> </w:t>
      </w:r>
      <w:r w:rsidR="00AD60DC">
        <w:t>Так</w:t>
      </w:r>
      <w:r w:rsidR="00E572BF">
        <w:t xml:space="preserve"> </w:t>
      </w:r>
      <w:r w:rsidR="00AD60DC">
        <w:t>наибольшее</w:t>
      </w:r>
      <w:r w:rsidR="00E572BF">
        <w:t xml:space="preserve"> </w:t>
      </w:r>
      <w:r w:rsidR="00AD60DC">
        <w:t>увеличения</w:t>
      </w:r>
      <w:r w:rsidR="00E572BF">
        <w:t xml:space="preserve"> </w:t>
      </w:r>
      <w:r w:rsidR="00AD60DC">
        <w:t>доли</w:t>
      </w:r>
      <w:r w:rsidR="00E572BF">
        <w:t xml:space="preserve"> </w:t>
      </w:r>
      <w:r w:rsidR="00AD60DC">
        <w:t>имеет</w:t>
      </w:r>
      <w:r w:rsidR="00E572BF">
        <w:t xml:space="preserve"> </w:t>
      </w:r>
      <w:r w:rsidR="00AD60DC">
        <w:t>показатель</w:t>
      </w:r>
      <w:r w:rsidR="00E572BF">
        <w:t xml:space="preserve"> </w:t>
      </w:r>
      <w:r w:rsidR="00AD60DC">
        <w:t>«</w:t>
      </w:r>
      <w:r w:rsidR="00AD60DC" w:rsidRPr="00AD60DC">
        <w:t>Чистая</w:t>
      </w:r>
      <w:r w:rsidR="00E572BF">
        <w:t xml:space="preserve"> </w:t>
      </w:r>
      <w:r w:rsidR="00AD60DC" w:rsidRPr="00AD60DC">
        <w:t>ссудная</w:t>
      </w:r>
      <w:r w:rsidR="00E572BF">
        <w:t xml:space="preserve"> </w:t>
      </w:r>
      <w:r w:rsidR="00AD60DC" w:rsidRPr="00AD60DC">
        <w:t>задолженность,</w:t>
      </w:r>
      <w:r w:rsidR="00E572BF">
        <w:t xml:space="preserve"> </w:t>
      </w:r>
      <w:r w:rsidR="00AD60DC" w:rsidRPr="00AD60DC">
        <w:t>оцениваемая</w:t>
      </w:r>
      <w:r w:rsidR="00E572BF">
        <w:t xml:space="preserve"> </w:t>
      </w:r>
      <w:r w:rsidR="00AD60DC" w:rsidRPr="00AD60DC">
        <w:t>по</w:t>
      </w:r>
      <w:r w:rsidR="00E572BF">
        <w:t xml:space="preserve"> </w:t>
      </w:r>
      <w:r w:rsidR="00AD60DC" w:rsidRPr="00AD60DC">
        <w:t>амортизированной</w:t>
      </w:r>
      <w:r w:rsidR="00E572BF">
        <w:t xml:space="preserve"> </w:t>
      </w:r>
      <w:r w:rsidR="00AD60DC" w:rsidRPr="00AD60DC">
        <w:t>стоимости</w:t>
      </w:r>
      <w:r w:rsidR="00AD60DC">
        <w:t>»</w:t>
      </w:r>
      <w:r w:rsidR="00E572BF">
        <w:t xml:space="preserve"> </w:t>
      </w:r>
      <w:r w:rsidR="00AD60DC">
        <w:t>с</w:t>
      </w:r>
      <w:r w:rsidR="00E572BF">
        <w:t xml:space="preserve"> </w:t>
      </w:r>
      <w:r w:rsidR="00AD60DC">
        <w:t>приростом</w:t>
      </w:r>
      <w:r w:rsidR="00E572BF">
        <w:t xml:space="preserve"> </w:t>
      </w:r>
      <w:r w:rsidR="00AD60DC">
        <w:t>в</w:t>
      </w:r>
      <w:r w:rsidR="00E572BF">
        <w:t xml:space="preserve"> </w:t>
      </w:r>
      <w:r w:rsidR="00AD60DC">
        <w:t>4,12%.</w:t>
      </w:r>
    </w:p>
    <w:p w:rsidR="00D564CC" w:rsidRDefault="00D564CC" w:rsidP="00AD184A">
      <w:pPr>
        <w:ind w:right="-108" w:firstLine="567"/>
        <w:sectPr w:rsidR="00D564CC" w:rsidSect="000678C2">
          <w:headerReference w:type="default" r:id="rId19"/>
          <w:footerReference w:type="default" r:id="rId20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4D3796" w:rsidRPr="001B301B" w:rsidRDefault="004D3796" w:rsidP="00994AE0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−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1134"/>
        <w:gridCol w:w="992"/>
        <w:gridCol w:w="1134"/>
        <w:gridCol w:w="851"/>
        <w:gridCol w:w="1417"/>
        <w:gridCol w:w="992"/>
        <w:gridCol w:w="1134"/>
        <w:gridCol w:w="851"/>
        <w:gridCol w:w="1134"/>
        <w:gridCol w:w="1069"/>
      </w:tblGrid>
      <w:tr w:rsidR="004D3796" w:rsidRPr="004D3796" w:rsidTr="0011043C">
        <w:trPr>
          <w:trHeight w:val="290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59168F" w:rsidRPr="004D3796" w:rsidTr="0011043C">
        <w:trPr>
          <w:trHeight w:val="290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Денежные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758001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735083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-22918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913961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178878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0,22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Центральном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банке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Российской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739811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560889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-178922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845090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284201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0,57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кредитных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995905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980725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-15180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737207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-243518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-1,05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задолженность,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18177986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63,47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20900507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66,20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2722521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25237640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4337133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4,09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совокупный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доход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6302936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left="-17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6996909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22,20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693973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7188973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192064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-2,18</w:t>
            </w:r>
          </w:p>
        </w:tc>
      </w:tr>
      <w:tr w:rsidR="0059168F" w:rsidRPr="004D3796" w:rsidTr="00EF79B0">
        <w:trPr>
          <w:trHeight w:val="87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ценные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бумаги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(кроме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974049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649789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-324260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316790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-332999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-1,18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Требование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текущему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налогу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29041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25864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5664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86113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-23377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-0,07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убыток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500F2D" w:rsidP="00500F2D">
            <w:pPr>
              <w:spacing w:line="240" w:lineRule="auto"/>
              <w:ind w:left="-104" w:right="-107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0,00003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-1780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7C342F">
            <w:pPr>
              <w:spacing w:line="240" w:lineRule="auto"/>
              <w:ind w:right="-113" w:hanging="101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-0,00</w:t>
            </w:r>
            <w:r w:rsidR="00500F2D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  <w:r w:rsidR="007C342F">
              <w:rPr>
                <w:rFonts w:eastAsia="Times New Roman" w:cs="Times New Roman"/>
                <w:color w:val="000000"/>
                <w:sz w:val="22"/>
                <w:lang w:eastAsia="ru-RU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1283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500F2D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500F2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0,00</w:t>
            </w:r>
            <w:r w:rsidR="00500F2D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Основные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нематериальные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запасы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464346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461686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-2660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503157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41471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-0,06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195473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274984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79511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7C342F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157251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-117733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42F" w:rsidRPr="004D3796" w:rsidRDefault="007C342F" w:rsidP="007C342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-0,34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Долгосрочные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предназначенные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для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продажи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-25955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5F17B1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28640348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31590542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2950194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35907016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4316474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4D3796" w:rsidRDefault="004D3796" w:rsidP="00EF79B0">
      <w:pPr>
        <w:tabs>
          <w:tab w:val="num" w:pos="1276"/>
        </w:tabs>
        <w:ind w:right="-108" w:firstLine="0"/>
        <w:sectPr w:rsidR="004D3796" w:rsidSect="00EF79B0">
          <w:footerReference w:type="default" r:id="rId21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810F44" w:rsidRDefault="00810F44" w:rsidP="00810F44">
      <w:pPr>
        <w:tabs>
          <w:tab w:val="num" w:pos="1276"/>
        </w:tabs>
        <w:ind w:right="-108"/>
      </w:pPr>
      <w:r>
        <w:lastRenderedPageBreak/>
        <w:t>Наибольшее уменьшение в процентном соотношении от общего объема активов имеет показатель «Чистые вложения в финансовые активы, оцениваемые по справедливой стоимости через прочий совокупный доход» с изменением в -2,13%.</w:t>
      </w:r>
    </w:p>
    <w:p w:rsidR="00810F44" w:rsidRDefault="00810F44" w:rsidP="00810F44">
      <w:pPr>
        <w:tabs>
          <w:tab w:val="num" w:pos="1276"/>
        </w:tabs>
        <w:ind w:right="-108"/>
      </w:pPr>
      <w:r>
        <w:t>Также можно сделать следующие выводы: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денежные средства в 2022 году уменьшились на 0,32%, что может указывать на уменьшение доходов или увеличение расходов компании, в отличие от АО Банк «Венец», где уменьшение составило 3,22%. В 2023 году денежные средства имеют прирост в 0,22%, в отличие от АО Банк «Венец», где изменение данного показателя снова составило -0,14%;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средства в кредитной организации в Центральном банке Российской Федерации в 2022 году сократились на 0,80%, что может указывать на снижение потребности компании в заемных средствах. В АО Банк «Венец» изменение данного показателя в 2022 году не произошло. В 2023 году доля средств в кредитной организации в Центральном банке Российской Федерации в общем объеме активов банка «Хлынов» увеличилась на 0,57%. В АО Банк «Венец» увеличение данного показателя в 2023 году составило 0,1%;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чистые вложения в финансовые активы, оцениваемые по справедливой стоимости через прочий совокупный доход, в 2022 году увеличились на 0,14%, что может указывать на более агрессивную инвестиционную политику банка. В 2023 году данный показатель уменьшился на 2,13%;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долгосрочные активы, предназначенные для продажи, в 2022 году сократились на 0,09%, что может указывать на снижение планов по продаже данных активов. В 2023 году данный показатель изменился. В АО Банк «Венец» изменение данного показателя также не произошло.</w:t>
      </w:r>
    </w:p>
    <w:p w:rsidR="00810F44" w:rsidRDefault="00810F44" w:rsidP="00810F44">
      <w:pPr>
        <w:tabs>
          <w:tab w:val="num" w:pos="1276"/>
        </w:tabs>
        <w:ind w:right="-108"/>
      </w:pPr>
      <w:r>
        <w:t xml:space="preserve"> В 2022 году общая тенденция увеличения активов составила 2 950 194 тыс. рублей, что может указывать на рост банка и его успешное развитие. В 2023 году изменение данного показателя составило 4 316 474 тыс. рублей, что говорит об успешном и стремительном развитии банка «Хлынов».</w:t>
      </w:r>
    </w:p>
    <w:p w:rsidR="00B9560F" w:rsidRDefault="00473EE1" w:rsidP="00810F44">
      <w:pPr>
        <w:tabs>
          <w:tab w:val="num" w:pos="1276"/>
        </w:tabs>
        <w:ind w:right="-108"/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>В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t xml:space="preserve"> </w:t>
      </w:r>
      <w:r>
        <w:t>общее</w:t>
      </w:r>
      <w:r w:rsidR="00E572BF">
        <w:t xml:space="preserve"> </w:t>
      </w:r>
      <w:r>
        <w:t>увеличение</w:t>
      </w:r>
      <w:r w:rsidR="00E572BF">
        <w:t xml:space="preserve"> </w:t>
      </w:r>
      <w:r>
        <w:t>активов</w:t>
      </w:r>
      <w:r w:rsidR="00E572BF">
        <w:t xml:space="preserve"> </w:t>
      </w:r>
      <w:r w:rsidR="00492DD4">
        <w:t>в</w:t>
      </w:r>
      <w:r w:rsidR="00E572BF">
        <w:t xml:space="preserve"> </w:t>
      </w:r>
      <w:r w:rsidR="00492DD4">
        <w:t>2022</w:t>
      </w:r>
      <w:r w:rsidR="00E572BF">
        <w:t xml:space="preserve"> </w:t>
      </w:r>
      <w:r w:rsidR="00492DD4">
        <w:t>году</w:t>
      </w:r>
      <w:r w:rsidR="00E572BF">
        <w:t xml:space="preserve"> </w:t>
      </w:r>
      <w:r>
        <w:t>составило</w:t>
      </w:r>
      <w:r w:rsidR="00E246C6">
        <w:br/>
      </w:r>
      <w:r w:rsidRPr="00BB1F0D">
        <w:rPr>
          <w:rFonts w:eastAsia="Times New Roman" w:cs="Times New Roman"/>
          <w:color w:val="000000"/>
          <w:szCs w:val="28"/>
          <w:lang w:eastAsia="ru-RU"/>
        </w:rPr>
        <w:t>4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B1F0D">
        <w:rPr>
          <w:rFonts w:eastAsia="Times New Roman" w:cs="Times New Roman"/>
          <w:color w:val="000000"/>
          <w:szCs w:val="28"/>
          <w:lang w:eastAsia="ru-RU"/>
        </w:rPr>
        <w:t>279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B1F0D">
        <w:rPr>
          <w:rFonts w:eastAsia="Times New Roman" w:cs="Times New Roman"/>
          <w:color w:val="000000"/>
          <w:szCs w:val="28"/>
          <w:lang w:eastAsia="ru-RU"/>
        </w:rPr>
        <w:t>045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тыс.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рублей,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2023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году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1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252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066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t>тыс.</w:t>
      </w:r>
      <w:r w:rsidR="00E572BF">
        <w:t xml:space="preserve"> </w:t>
      </w:r>
      <w:r w:rsidR="00492DD4">
        <w:t>рублей.</w:t>
      </w:r>
    </w:p>
    <w:p w:rsidR="00BB7D6C" w:rsidRPr="00BB7D6C" w:rsidRDefault="005F4B66" w:rsidP="009426FC">
      <w:pPr>
        <w:tabs>
          <w:tab w:val="num" w:pos="1276"/>
        </w:tabs>
        <w:ind w:right="-108"/>
      </w:pPr>
      <w:r>
        <w:rPr>
          <w:rFonts w:eastAsia="Times New Roman" w:cs="Times New Roman"/>
          <w:color w:val="000000"/>
          <w:szCs w:val="28"/>
          <w:lang w:eastAsia="ru-RU"/>
        </w:rPr>
        <w:t>Анализ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активов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банков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понимание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того,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что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активы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обоих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банков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хорошем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состоянии.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2022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году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увеличение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активов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является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более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масштабным,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наряду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</w:t>
      </w:r>
      <w:r w:rsidR="00492DD4">
        <w:t>.</w:t>
      </w:r>
      <w:r w:rsidR="00E572BF">
        <w:t xml:space="preserve"> </w:t>
      </w:r>
      <w:r w:rsidR="00492DD4">
        <w:t>В</w:t>
      </w:r>
      <w:r w:rsidR="00E572BF">
        <w:t xml:space="preserve"> </w:t>
      </w:r>
      <w:r w:rsidR="00492DD4">
        <w:t>2023</w:t>
      </w:r>
      <w:r w:rsidR="00E572BF">
        <w:t xml:space="preserve"> </w:t>
      </w:r>
      <w:r w:rsidR="00492DD4">
        <w:t>году</w:t>
      </w:r>
      <w:r w:rsidR="00E572BF">
        <w:t xml:space="preserve"> </w:t>
      </w:r>
      <w:r w:rsidR="00492DD4">
        <w:t>же</w:t>
      </w:r>
      <w:r w:rsidR="00E572BF">
        <w:t xml:space="preserve"> </w:t>
      </w:r>
      <w:r w:rsidR="00492DD4">
        <w:t>больший</w:t>
      </w:r>
      <w:r w:rsidR="00E572BF">
        <w:t xml:space="preserve"> </w:t>
      </w:r>
      <w:r w:rsidR="00492DD4">
        <w:t>прирост</w:t>
      </w:r>
      <w:r w:rsidR="00E572BF">
        <w:t xml:space="preserve"> </w:t>
      </w:r>
      <w:r w:rsidR="00492DD4">
        <w:t>активов</w:t>
      </w:r>
      <w:r w:rsidR="00E572BF">
        <w:t xml:space="preserve"> </w:t>
      </w:r>
      <w:r w:rsidR="00492DD4">
        <w:t>имеет</w:t>
      </w:r>
      <w:r w:rsidR="00E572BF">
        <w:t xml:space="preserve"> </w:t>
      </w:r>
      <w:r w:rsidR="00492DD4">
        <w:t>уже</w:t>
      </w:r>
      <w:r w:rsidR="00E572BF">
        <w:t xml:space="preserve"> </w:t>
      </w:r>
      <w:r w:rsidR="00492DD4">
        <w:t>ООО</w:t>
      </w:r>
      <w:r w:rsidR="00E572BF">
        <w:t xml:space="preserve"> </w:t>
      </w:r>
      <w:r w:rsidR="00492DD4">
        <w:t>Банк</w:t>
      </w:r>
      <w:r w:rsidR="00E572BF">
        <w:t xml:space="preserve"> </w:t>
      </w:r>
      <w:r w:rsidR="00492DD4">
        <w:t>«Хлынов»</w:t>
      </w:r>
      <w:r w:rsidR="006B7BF3">
        <w:t>.</w:t>
      </w:r>
    </w:p>
    <w:p w:rsidR="00DB2E78" w:rsidRPr="001B301B" w:rsidRDefault="00DB2E78" w:rsidP="009426FC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следует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понимать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самые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различные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должен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регуляторами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другими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заинтересованными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сторонами.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относиться:</w:t>
      </w:r>
    </w:p>
    <w:p w:rsidR="00DB2E78" w:rsidRPr="00E05085" w:rsidRDefault="00DB2E78" w:rsidP="0075287A">
      <w:pPr>
        <w:tabs>
          <w:tab w:val="left" w:pos="1134"/>
        </w:tabs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1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в</w:t>
      </w:r>
      <w:r w:rsidRPr="001B301B">
        <w:rPr>
          <w:rFonts w:cs="Times New Roman"/>
          <w:szCs w:val="28"/>
        </w:rPr>
        <w:t>ыдача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кредитов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займов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75287A">
      <w:pPr>
        <w:tabs>
          <w:tab w:val="left" w:pos="1134"/>
        </w:tabs>
        <w:ind w:left="709"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2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в</w:t>
      </w:r>
      <w:r w:rsidRPr="001B301B">
        <w:rPr>
          <w:rFonts w:cs="Times New Roman"/>
          <w:szCs w:val="28"/>
        </w:rPr>
        <w:t>едение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счетов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ним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75287A">
      <w:pPr>
        <w:tabs>
          <w:tab w:val="left" w:pos="1134"/>
        </w:tabs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3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и</w:t>
      </w:r>
      <w:r w:rsidRPr="001B301B">
        <w:rPr>
          <w:rFonts w:cs="Times New Roman"/>
          <w:szCs w:val="28"/>
        </w:rPr>
        <w:t>нвестирование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75287A">
      <w:pPr>
        <w:tabs>
          <w:tab w:val="left" w:pos="1134"/>
        </w:tabs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4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п</w:t>
      </w:r>
      <w:r w:rsidRPr="001B301B">
        <w:rPr>
          <w:rFonts w:cs="Times New Roman"/>
          <w:szCs w:val="28"/>
        </w:rPr>
        <w:t>роведение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рынках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E05085" w:rsidP="0075287A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DB2E78" w:rsidRPr="001B301B">
        <w:rPr>
          <w:rFonts w:cs="Times New Roman"/>
          <w:szCs w:val="28"/>
        </w:rPr>
        <w:t>оответствие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законодательству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нормам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регулирования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области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деятельности</w:t>
      </w:r>
      <w:r w:rsidRPr="00E05085">
        <w:rPr>
          <w:rFonts w:cs="Times New Roman"/>
          <w:szCs w:val="28"/>
        </w:rPr>
        <w:t>;</w:t>
      </w:r>
    </w:p>
    <w:p w:rsidR="00DB2E78" w:rsidRPr="00E05085" w:rsidRDefault="00DB2E78" w:rsidP="0075287A">
      <w:pPr>
        <w:tabs>
          <w:tab w:val="left" w:pos="1134"/>
        </w:tabs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6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с</w:t>
      </w:r>
      <w:r w:rsidRPr="001B301B">
        <w:rPr>
          <w:rFonts w:cs="Times New Roman"/>
          <w:szCs w:val="28"/>
        </w:rPr>
        <w:t>охранение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конфиденциальности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клиентах</w:t>
      </w:r>
      <w:r w:rsidR="00E05085" w:rsidRPr="00E05085">
        <w:rPr>
          <w:rFonts w:cs="Times New Roman"/>
          <w:szCs w:val="28"/>
        </w:rPr>
        <w:t>;</w:t>
      </w:r>
    </w:p>
    <w:p w:rsidR="00DB2E78" w:rsidRPr="001B301B" w:rsidRDefault="00DB2E78" w:rsidP="0075287A">
      <w:pPr>
        <w:tabs>
          <w:tab w:val="left" w:pos="1134"/>
        </w:tabs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7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обес</w:t>
      </w:r>
      <w:r w:rsidRPr="001B301B">
        <w:rPr>
          <w:rFonts w:cs="Times New Roman"/>
          <w:szCs w:val="28"/>
        </w:rPr>
        <w:t>печение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безопасности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операций.</w:t>
      </w:r>
    </w:p>
    <w:p w:rsidR="00DB2E78" w:rsidRDefault="00DB2E78" w:rsidP="0094381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являются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объективными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условиями,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соблюдать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[11]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г</w:t>
      </w:r>
      <w:r w:rsidR="00E13FA4" w:rsidRPr="001B301B">
        <w:rPr>
          <w:rFonts w:cs="Times New Roman"/>
          <w:szCs w:val="28"/>
        </w:rPr>
        <w:t>оризонтальный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«Венец».</w:t>
      </w:r>
    </w:p>
    <w:p w:rsidR="00FF0C3F" w:rsidRDefault="00AD1A36" w:rsidP="0094381F">
      <w:pPr>
        <w:rPr>
          <w:rFonts w:cs="Times New Roman"/>
          <w:szCs w:val="28"/>
        </w:rPr>
      </w:pPr>
      <w:r w:rsidRPr="00AD1A3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данным,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представленным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3,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сказать,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соотношении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1,17%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обязательств.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«Прочие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обязательства»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-0,89%.</w:t>
      </w:r>
    </w:p>
    <w:p w:rsidR="00FF0C3F" w:rsidRDefault="00FF0C3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254BB" w:rsidRPr="001B301B" w:rsidRDefault="00F254BB" w:rsidP="001D4B9C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CA7391"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612"/>
        <w:gridCol w:w="831"/>
        <w:gridCol w:w="683"/>
        <w:gridCol w:w="842"/>
        <w:gridCol w:w="859"/>
        <w:gridCol w:w="992"/>
        <w:gridCol w:w="596"/>
        <w:gridCol w:w="907"/>
        <w:gridCol w:w="936"/>
      </w:tblGrid>
      <w:tr w:rsidR="00C82742" w:rsidRPr="00C82742" w:rsidTr="00161B49">
        <w:trPr>
          <w:trHeight w:val="29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EA6BE5">
            <w:pPr>
              <w:pStyle w:val="af1"/>
              <w:ind w:right="-106"/>
            </w:pPr>
            <w:r w:rsidRPr="00573899">
              <w:t>Показатели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2021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2022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2021</w:t>
            </w:r>
            <w:r w:rsidR="00161B49">
              <w:br/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2023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2023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</w:tr>
      <w:tr w:rsidR="00573899" w:rsidRPr="00C82742" w:rsidTr="00ED1497">
        <w:trPr>
          <w:trHeight w:val="29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573899">
            <w:pPr>
              <w:pStyle w:val="af1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7" w:right="-113"/>
              <w:jc w:val="center"/>
            </w:pPr>
            <w:r w:rsidRPr="00573899">
              <w:t>абсолютное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97" w:right="-106"/>
              <w:jc w:val="center"/>
            </w:pPr>
            <w:r w:rsidRPr="00573899">
              <w:t>относительное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20"/>
              <w:jc w:val="center"/>
            </w:pPr>
            <w:r w:rsidRPr="00573899">
              <w:t>абсолютное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9" w:right="-12"/>
              <w:jc w:val="center"/>
            </w:pPr>
            <w:r w:rsidRPr="00573899">
              <w:t>относительное</w:t>
            </w:r>
          </w:p>
        </w:tc>
      </w:tr>
      <w:tr w:rsidR="007A16E2" w:rsidRPr="00C82742" w:rsidTr="00ED1497">
        <w:trPr>
          <w:trHeight w:val="11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Средства</w:t>
            </w:r>
            <w:r w:rsidR="00E572BF">
              <w:t xml:space="preserve"> </w:t>
            </w:r>
            <w:r w:rsidRPr="00573899">
              <w:t>клиентов,</w:t>
            </w:r>
            <w:r w:rsidR="00E572BF">
              <w:t xml:space="preserve"> </w:t>
            </w:r>
            <w:r w:rsidRPr="00573899">
              <w:t>оцениваемые</w:t>
            </w:r>
            <w:r w:rsidR="00E572BF">
              <w:t xml:space="preserve"> </w:t>
            </w:r>
            <w:r w:rsidRPr="00573899">
              <w:t>по</w:t>
            </w:r>
            <w:r w:rsidR="00E572BF">
              <w:t xml:space="preserve"> </w:t>
            </w:r>
            <w:r w:rsidRPr="00573899">
              <w:t>амортизированной</w:t>
            </w:r>
            <w:r w:rsidR="00E572BF">
              <w:t xml:space="preserve"> </w:t>
            </w:r>
            <w:r w:rsidRPr="00573899">
              <w:t>стоимости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4230839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Pr="00EC27AC" w:rsidRDefault="006A588A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 w:rsidRPr="00EC27AC">
              <w:rPr>
                <w:color w:val="000000"/>
                <w:sz w:val="22"/>
              </w:rPr>
              <w:t>97,71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8484815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98,88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4253976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9957554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99,53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1472739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</w:t>
            </w:r>
          </w:p>
        </w:tc>
      </w:tr>
      <w:tr w:rsidR="007A16E2" w:rsidRPr="00C82742" w:rsidTr="00ED1497">
        <w:trPr>
          <w:trHeight w:val="5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Выпущенные</w:t>
            </w:r>
            <w:r w:rsidR="00E572BF">
              <w:t xml:space="preserve"> </w:t>
            </w:r>
            <w:r w:rsidRPr="00573899">
              <w:t>долговые</w:t>
            </w:r>
            <w:r w:rsidR="00E572BF">
              <w:t xml:space="preserve"> </w:t>
            </w:r>
            <w:r w:rsidRPr="00573899">
              <w:t>ценные</w:t>
            </w:r>
            <w:r w:rsidR="00E572BF">
              <w:t xml:space="preserve"> </w:t>
            </w:r>
            <w:r w:rsidRPr="00573899">
              <w:t>бумаги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12216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-12216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Прочие</w:t>
            </w:r>
            <w:r w:rsidR="00E572BF">
              <w:t xml:space="preserve"> </w:t>
            </w:r>
            <w:r w:rsidRPr="00573899">
              <w:t>обязательства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86976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2,01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96462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46825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-49637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-0,65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6E2" w:rsidRPr="00573899" w:rsidRDefault="007A16E2" w:rsidP="00766551">
            <w:pPr>
              <w:pStyle w:val="af1"/>
            </w:pPr>
            <w:r w:rsidRPr="00573899">
              <w:t>Всего</w:t>
            </w:r>
            <w:r w:rsidR="00E572BF">
              <w:t xml:space="preserve"> </w:t>
            </w:r>
            <w:r w:rsidRPr="00573899">
              <w:t>обязательств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4330031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hanging="2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EA6BE5">
              <w:rPr>
                <w:color w:val="000000"/>
                <w:sz w:val="22"/>
              </w:rPr>
              <w:t>,00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8581277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33" w:hanging="188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4251246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76" w:right="-104" w:hanging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10004379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25" w:hanging="156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1423102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4A034C" w:rsidRPr="001B301B" w:rsidRDefault="004A034C" w:rsidP="008364DB">
      <w:pPr>
        <w:rPr>
          <w:rFonts w:cs="Times New Roman"/>
          <w:szCs w:val="28"/>
        </w:rPr>
      </w:pPr>
    </w:p>
    <w:p w:rsidR="00B9560F" w:rsidRDefault="006B7BF3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</w:p>
    <w:p w:rsidR="004C01F2" w:rsidRDefault="004C01F2" w:rsidP="00777F2A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</w:t>
      </w:r>
    </w:p>
    <w:p w:rsidR="00866B43" w:rsidRDefault="004C01F2" w:rsidP="00777F2A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данным,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представленным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соотношении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-1,15%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</w:t>
      </w:r>
      <w:r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Венец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1,17%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Наибольший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«Кредиты,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депозиты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Федерации»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0,64%.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-1,55%.</w:t>
      </w:r>
    </w:p>
    <w:p w:rsidR="00866B43" w:rsidRDefault="00866B43" w:rsidP="00866B43">
      <w:pPr>
        <w:ind w:firstLine="0"/>
        <w:rPr>
          <w:rFonts w:cs="Times New Roman"/>
          <w:szCs w:val="28"/>
        </w:rPr>
      </w:pPr>
      <w:r w:rsidRPr="00866B43">
        <w:rPr>
          <w:rFonts w:cs="Times New Roman"/>
          <w:szCs w:val="28"/>
        </w:rPr>
        <w:lastRenderedPageBreak/>
        <w:t>Таблица 4 – Горизонтальный и вертикальный анализ обязательств ООО Банк 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601"/>
        <w:gridCol w:w="969"/>
        <w:gridCol w:w="556"/>
        <w:gridCol w:w="833"/>
        <w:gridCol w:w="831"/>
        <w:gridCol w:w="970"/>
        <w:gridCol w:w="557"/>
        <w:gridCol w:w="831"/>
        <w:gridCol w:w="798"/>
      </w:tblGrid>
      <w:tr w:rsidR="00866B43" w:rsidRPr="00866B43" w:rsidTr="00591321">
        <w:trPr>
          <w:trHeight w:val="29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 xml:space="preserve">Показатели 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2021 г.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2022 г.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Изменения 2022 к 2021</w:t>
            </w: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br/>
              <w:t>(+, -)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2023 г.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Изменения 2023 к 2022</w:t>
            </w: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br/>
              <w:t>(+, -)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3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3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Средства клиентов, оцениваемые по амортизированной стоимости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23250745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96,15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25453119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95,00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2202374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-1,15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28561991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1A148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93,4</w:t>
            </w:r>
            <w:r w:rsidR="001A1483">
              <w:rPr>
                <w:rFonts w:eastAsia="Times New Roman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3108872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1A148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-1,5</w:t>
            </w:r>
            <w:r w:rsidR="001A1483">
              <w:rPr>
                <w:rFonts w:eastAsia="Times New Roman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Выпущенные долговые ценные бумаги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33372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19438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-13934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12337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-7101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-0,03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Обязательства по текущему налогу на прибыль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12320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-12277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22261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22218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866B43" w:rsidRPr="00866B43" w:rsidTr="00591321">
        <w:trPr>
          <w:trHeight w:val="5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Кредиты, депозиты и прочие средства Центрального банка Российской Федерации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393179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1,63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607799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2,27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214620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979112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3,20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371313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0,93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Прочие обязательства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477363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1,97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698731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2,58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221368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963171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3,15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264440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0,57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Отложенные налоговые обязательства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15708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20126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4418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24315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4189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Всего обязательств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24182687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50" w:right="-13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26799256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2616569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30563187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B24277">
            <w:pPr>
              <w:spacing w:line="240" w:lineRule="auto"/>
              <w:ind w:left="-192" w:right="-17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 w:rsidR="00B24277"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3763931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866B43" w:rsidRDefault="00866B43" w:rsidP="00777F2A">
      <w:pPr>
        <w:rPr>
          <w:rFonts w:cs="Times New Roman"/>
          <w:szCs w:val="28"/>
        </w:rPr>
      </w:pPr>
    </w:p>
    <w:p w:rsidR="004C01F2" w:rsidRDefault="00ED214D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C2CD4">
        <w:rPr>
          <w:rFonts w:cs="Times New Roman"/>
          <w:szCs w:val="28"/>
        </w:rPr>
        <w:t>«Венец»,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</w:p>
    <w:p w:rsidR="00B9560F" w:rsidRPr="001B301B" w:rsidRDefault="00ED214D" w:rsidP="00B9560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Наибольший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ED214D">
        <w:rPr>
          <w:rFonts w:cs="Times New Roman"/>
          <w:szCs w:val="28"/>
        </w:rPr>
        <w:t>Кредиты,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депозиты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Федерации</w:t>
      </w:r>
      <w:r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0,93%.</w:t>
      </w:r>
    </w:p>
    <w:p w:rsidR="00A32A8F" w:rsidRDefault="00EB7715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Проведенный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кредитов,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депозитов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прочих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Федерации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банках.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исследуемых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имеют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="00B81E6F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обязательств.</w:t>
      </w:r>
    </w:p>
    <w:p w:rsidR="00713945" w:rsidRPr="001B301B" w:rsidRDefault="00DB2E78" w:rsidP="00713945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Собственный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представляет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совокупность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включающих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нераспределенную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другие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элементы.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должен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соответствовать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определенным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установленным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регуляторами,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обеспечивать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возможность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функции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клиентами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[12]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5.</w:t>
      </w:r>
    </w:p>
    <w:p w:rsidR="00A252E1" w:rsidRPr="001B301B" w:rsidRDefault="00A252E1" w:rsidP="00105BA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5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98"/>
        <w:gridCol w:w="796"/>
        <w:gridCol w:w="567"/>
        <w:gridCol w:w="719"/>
        <w:gridCol w:w="556"/>
        <w:gridCol w:w="971"/>
        <w:gridCol w:w="831"/>
        <w:gridCol w:w="694"/>
        <w:gridCol w:w="557"/>
        <w:gridCol w:w="969"/>
        <w:gridCol w:w="798"/>
      </w:tblGrid>
      <w:tr w:rsidR="00DE663C" w:rsidRPr="00AF1DCD" w:rsidTr="00805B95">
        <w:trPr>
          <w:trHeight w:val="290"/>
        </w:trPr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C30C01">
            <w:pPr>
              <w:pStyle w:val="af1"/>
              <w:jc w:val="center"/>
            </w:pPr>
            <w:r w:rsidRPr="00AF1DCD">
              <w:t>Показатели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2021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2022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2021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2023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2023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</w:tr>
      <w:tr w:rsidR="00DE663C" w:rsidRPr="00AF1DCD" w:rsidTr="00C71653">
        <w:trPr>
          <w:trHeight w:val="290"/>
        </w:trPr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C30C01" w:rsidP="00DE663C">
            <w:pPr>
              <w:pStyle w:val="af1"/>
              <w:ind w:left="-111" w:right="-112"/>
              <w:jc w:val="center"/>
            </w:pPr>
            <w:r>
              <w:t>тыс.</w:t>
            </w:r>
            <w:r>
              <w:br/>
            </w:r>
            <w:r w:rsidR="00AF1DCD" w:rsidRPr="00AF1DCD"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C71653">
            <w:pPr>
              <w:pStyle w:val="af1"/>
              <w:ind w:left="-122" w:right="-105"/>
              <w:jc w:val="center"/>
            </w:pPr>
            <w:r w:rsidRPr="00AF1DCD">
              <w:t>%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DE663C">
            <w:pPr>
              <w:pStyle w:val="af1"/>
              <w:ind w:left="-111" w:right="-112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8" w:right="-105"/>
              <w:jc w:val="center"/>
            </w:pPr>
            <w:r w:rsidRPr="00AF1DCD">
              <w:t>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9" w:right="-107"/>
              <w:jc w:val="center"/>
            </w:pPr>
            <w:r w:rsidRPr="00AF1DCD">
              <w:t>абсолютное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ind w:left="-108" w:right="-107"/>
              <w:jc w:val="center"/>
            </w:pPr>
            <w:r w:rsidRPr="00AF1DCD">
              <w:t>абсолютное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Средства</w:t>
            </w:r>
            <w:r w:rsidR="00E572BF">
              <w:t xml:space="preserve"> </w:t>
            </w:r>
            <w:r w:rsidRPr="00AF1DCD">
              <w:t>акционеров</w:t>
            </w:r>
            <w:r w:rsidR="00E572BF">
              <w:t xml:space="preserve"> </w:t>
            </w:r>
            <w:r w:rsidRPr="00AF1DCD">
              <w:t>(участников)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20,15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4,01</w:t>
            </w:r>
          </w:p>
        </w:tc>
      </w:tr>
      <w:tr w:rsidR="007F3130" w:rsidRPr="00AF1DCD" w:rsidTr="00C71653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C71653">
            <w:pPr>
              <w:pStyle w:val="af1"/>
            </w:pPr>
            <w:r w:rsidRPr="00AF1DCD">
              <w:t>Эмиссионный</w:t>
            </w:r>
            <w:r w:rsidR="00E572BF">
              <w:t xml:space="preserve"> </w:t>
            </w:r>
            <w:r w:rsidRPr="00AF1DCD">
              <w:t>доход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12,98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15,67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3,11</w:t>
            </w:r>
          </w:p>
        </w:tc>
      </w:tr>
      <w:tr w:rsidR="007F3130" w:rsidRPr="00AF1DCD" w:rsidTr="00C71653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Резервный</w:t>
            </w:r>
            <w:r w:rsidR="00E572BF">
              <w:t xml:space="preserve"> </w:t>
            </w:r>
            <w:r w:rsidRPr="00AF1DCD">
              <w:t>фонд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1,01</w:t>
            </w:r>
          </w:p>
        </w:tc>
      </w:tr>
      <w:tr w:rsidR="007F3130" w:rsidRPr="00AF1DCD" w:rsidTr="00C71653">
        <w:trPr>
          <w:trHeight w:val="17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Переоценка</w:t>
            </w:r>
            <w:r w:rsidR="00E572BF">
              <w:t xml:space="preserve"> </w:t>
            </w:r>
            <w:r w:rsidRPr="00AF1DCD">
              <w:t>основных</w:t>
            </w:r>
            <w:r w:rsidR="00E572BF">
              <w:t xml:space="preserve"> </w:t>
            </w:r>
            <w:r w:rsidRPr="00AF1DCD">
              <w:t>средств,</w:t>
            </w:r>
            <w:r w:rsidR="00E572BF">
              <w:t xml:space="preserve"> </w:t>
            </w:r>
            <w:r w:rsidRPr="00AF1DCD">
              <w:t>активов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форме</w:t>
            </w:r>
            <w:r w:rsidR="00E572BF">
              <w:t xml:space="preserve"> </w:t>
            </w:r>
            <w:r w:rsidRPr="00AF1DCD">
              <w:t>права</w:t>
            </w:r>
            <w:r w:rsidR="00E572BF">
              <w:t xml:space="preserve"> </w:t>
            </w:r>
            <w:r w:rsidRPr="00AF1DCD">
              <w:t>пользования</w:t>
            </w:r>
            <w:r w:rsidR="00E572BF">
              <w:t xml:space="preserve"> </w:t>
            </w:r>
            <w:r w:rsidRPr="00AF1DCD">
              <w:t>и</w:t>
            </w:r>
            <w:r w:rsidR="00E572BF">
              <w:t xml:space="preserve"> </w:t>
            </w:r>
            <w:r w:rsidRPr="00AF1DCD">
              <w:t>нематериальных</w:t>
            </w:r>
            <w:r w:rsidR="00E572BF">
              <w:t xml:space="preserve"> </w:t>
            </w:r>
            <w:r w:rsidRPr="00AF1DCD">
              <w:t>активов,</w:t>
            </w:r>
            <w:r w:rsidR="00E572BF">
              <w:t xml:space="preserve"> </w:t>
            </w:r>
            <w:r w:rsidRPr="00AF1DCD">
              <w:t>уменьшенная</w:t>
            </w:r>
            <w:r w:rsidR="00E572BF">
              <w:t xml:space="preserve"> </w:t>
            </w:r>
            <w:r w:rsidRPr="00AF1DCD">
              <w:t>на</w:t>
            </w:r>
            <w:r w:rsidR="00E572BF">
              <w:t xml:space="preserve"> </w:t>
            </w:r>
            <w:r w:rsidRPr="00AF1DCD">
              <w:t>отложенное</w:t>
            </w:r>
            <w:r w:rsidR="00E572BF">
              <w:t xml:space="preserve"> </w:t>
            </w:r>
            <w:r w:rsidRPr="00AF1DCD">
              <w:t>налоговое</w:t>
            </w:r>
            <w:r w:rsidR="00E572BF">
              <w:t xml:space="preserve"> </w:t>
            </w:r>
            <w:r w:rsidRPr="00AF1DCD">
              <w:t>обязательство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51797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-53421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-6,2</w:t>
            </w:r>
          </w:p>
        </w:tc>
      </w:tr>
      <w:tr w:rsidR="007F3130" w:rsidRPr="00AF1DCD" w:rsidTr="00C71653">
        <w:trPr>
          <w:trHeight w:val="116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Денежные</w:t>
            </w:r>
            <w:r w:rsidR="00E572BF">
              <w:t xml:space="preserve"> </w:t>
            </w:r>
            <w:r w:rsidRPr="00AF1DCD">
              <w:t>средства</w:t>
            </w:r>
            <w:r w:rsidR="00E572BF">
              <w:t xml:space="preserve"> </w:t>
            </w:r>
            <w:r w:rsidRPr="00AF1DCD">
              <w:t>безвозмездного</w:t>
            </w:r>
            <w:r w:rsidR="00E572BF">
              <w:t xml:space="preserve"> </w:t>
            </w:r>
            <w:r w:rsidRPr="00AF1DCD">
              <w:t>финансирования</w:t>
            </w:r>
            <w:r w:rsidR="00E572BF">
              <w:t xml:space="preserve"> </w:t>
            </w:r>
            <w:r w:rsidRPr="00AF1DCD">
              <w:t>(вклады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имущество)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5,85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5,67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</w:t>
            </w:r>
            <w:r w:rsidR="00824757">
              <w:rPr>
                <w:color w:val="000000"/>
                <w:sz w:val="22"/>
              </w:rPr>
              <w:t>0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Неиспользованная</w:t>
            </w:r>
            <w:r w:rsidR="00E572BF">
              <w:t xml:space="preserve"> </w:t>
            </w:r>
            <w:r w:rsidRPr="00AF1DCD">
              <w:t>прибыль</w:t>
            </w:r>
            <w:r w:rsidR="00E572BF">
              <w:t xml:space="preserve"> </w:t>
            </w:r>
            <w:r w:rsidRPr="00AF1DCD">
              <w:t>(убыток)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450866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54,08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477041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358994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52,04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-118047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-3,33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Всего</w:t>
            </w:r>
            <w:r w:rsidR="00E572BF">
              <w:t xml:space="preserve"> </w:t>
            </w:r>
            <w:r w:rsidRPr="00AF1DCD">
              <w:t>источников</w:t>
            </w:r>
            <w:r w:rsidR="00E572BF">
              <w:t xml:space="preserve"> </w:t>
            </w:r>
            <w:r w:rsidRPr="00AF1DCD">
              <w:t>собственных</w:t>
            </w:r>
            <w:r w:rsidR="00E572BF">
              <w:t xml:space="preserve"> </w:t>
            </w:r>
            <w:r w:rsidRPr="00AF1DCD">
              <w:t>средств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833711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861510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27799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690042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-171468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B9560F" w:rsidRDefault="00A249EC" w:rsidP="00B41F92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B535CE">
        <w:rPr>
          <w:rFonts w:cs="Times New Roman"/>
          <w:szCs w:val="28"/>
        </w:rPr>
        <w:t>5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прежними,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lastRenderedPageBreak/>
        <w:t>форме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EE5BD1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</w:t>
      </w:r>
      <w:r w:rsidR="00EE5BD1">
        <w:rPr>
          <w:rFonts w:cs="Times New Roman"/>
          <w:szCs w:val="28"/>
        </w:rPr>
        <w:t>01</w:t>
      </w:r>
      <w:r w:rsidRPr="001B301B">
        <w:rPr>
          <w:rFonts w:cs="Times New Roman"/>
          <w:szCs w:val="28"/>
        </w:rPr>
        <w:t>%</w:t>
      </w:r>
      <w:r w:rsidR="00694D60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уменьшилась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уменьшении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Неиспользованная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E5BD1">
        <w:rPr>
          <w:rFonts w:cs="Times New Roman"/>
          <w:szCs w:val="28"/>
        </w:rPr>
        <w:t>1,29</w:t>
      </w:r>
      <w:r w:rsidR="00694D60">
        <w:rPr>
          <w:rFonts w:cs="Times New Roman"/>
          <w:szCs w:val="28"/>
        </w:rPr>
        <w:t>%,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этот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претерпел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3,33</w:t>
      </w:r>
      <w:r w:rsidR="00694D60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будущем.</w:t>
      </w:r>
    </w:p>
    <w:p w:rsidR="00E13FA4" w:rsidRDefault="00E13FA4" w:rsidP="00B41F92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</w:t>
      </w:r>
    </w:p>
    <w:p w:rsidR="00B9560F" w:rsidRPr="001B301B" w:rsidRDefault="00B9560F" w:rsidP="00B9560F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Pr="001B301B">
        <w:rPr>
          <w:rFonts w:cs="Times New Roman"/>
          <w:szCs w:val="28"/>
        </w:rPr>
        <w:br/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9"/>
        <w:gridCol w:w="833"/>
        <w:gridCol w:w="556"/>
        <w:gridCol w:w="842"/>
        <w:gridCol w:w="558"/>
        <w:gridCol w:w="971"/>
        <w:gridCol w:w="836"/>
        <w:gridCol w:w="835"/>
        <w:gridCol w:w="558"/>
        <w:gridCol w:w="971"/>
        <w:gridCol w:w="767"/>
      </w:tblGrid>
      <w:tr w:rsidR="0025743C" w:rsidRPr="00561FEC" w:rsidTr="00C32E67">
        <w:trPr>
          <w:trHeight w:val="290"/>
        </w:trPr>
        <w:tc>
          <w:tcPr>
            <w:tcW w:w="8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867875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Показатели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2021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Изменения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2021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(+,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-)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2023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Изменения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2023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(+,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-)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867875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Pr="00867875">
              <w:rPr>
                <w:rFonts w:cs="Times New Roman"/>
              </w:rPr>
              <w:br/>
            </w:r>
            <w:r w:rsidR="00561FEC" w:rsidRPr="00867875">
              <w:rPr>
                <w:rFonts w:cs="Times New Roman"/>
              </w:rPr>
              <w:t>руб.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867875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Pr="00867875">
              <w:rPr>
                <w:rFonts w:cs="Times New Roman"/>
              </w:rPr>
              <w:br/>
            </w:r>
            <w:r w:rsidR="00561FEC" w:rsidRPr="00867875">
              <w:rPr>
                <w:rFonts w:cs="Times New Roman"/>
              </w:rPr>
              <w:t>руб.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абсолютное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867875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относительное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руб.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абсолютное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относительное</w:t>
            </w:r>
          </w:p>
        </w:tc>
      </w:tr>
      <w:tr w:rsidR="00146BCF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Средства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акционеров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13,58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12,60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-0,98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11,32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-1,28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Резервный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фонд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2,04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1,89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1,70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-0,19</w:t>
            </w:r>
          </w:p>
        </w:tc>
      </w:tr>
      <w:tr w:rsidR="00B67EFA" w:rsidRPr="00561FEC" w:rsidTr="00C32E67">
        <w:trPr>
          <w:trHeight w:val="8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Переоценка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основных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средств,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в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форме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права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пользования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и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нематериальных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уменьшенная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отложенное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налоговое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обязательство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62835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80505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1,68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17670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0,27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97259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665549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1,83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16754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665549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0,15</w:t>
            </w:r>
          </w:p>
        </w:tc>
      </w:tr>
    </w:tbl>
    <w:p w:rsidR="00146BCF" w:rsidRDefault="00146BCF"/>
    <w:p w:rsidR="00146BCF" w:rsidRDefault="00146BCF"/>
    <w:p w:rsidR="00146BCF" w:rsidRDefault="00146BCF"/>
    <w:p w:rsidR="00733391" w:rsidRDefault="00733391"/>
    <w:p w:rsidR="0075287A" w:rsidRDefault="0075287A"/>
    <w:p w:rsidR="0075287A" w:rsidRDefault="0075287A"/>
    <w:p w:rsidR="00733391" w:rsidRPr="00733391" w:rsidRDefault="00733391" w:rsidP="00733391">
      <w:pPr>
        <w:ind w:firstLine="0"/>
      </w:pPr>
      <w:r>
        <w:lastRenderedPageBreak/>
        <w:t>Продолжение таблицы 6.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709"/>
        <w:gridCol w:w="850"/>
        <w:gridCol w:w="709"/>
        <w:gridCol w:w="711"/>
        <w:gridCol w:w="836"/>
        <w:gridCol w:w="835"/>
        <w:gridCol w:w="878"/>
        <w:gridCol w:w="851"/>
        <w:gridCol w:w="567"/>
      </w:tblGrid>
      <w:tr w:rsidR="00146BCF" w:rsidRPr="00561FEC" w:rsidTr="00C71653">
        <w:trPr>
          <w:trHeight w:val="424"/>
        </w:trPr>
        <w:tc>
          <w:tcPr>
            <w:tcW w:w="83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03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146BCF" w:rsidRPr="00561FEC" w:rsidTr="00C71653">
        <w:trPr>
          <w:trHeight w:val="87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Переоценка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справедливой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стоимости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финансовых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активов,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оцениваемых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справедливой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стоимости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через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прочий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совокупный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доход,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уменьшенная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отложенное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налоговое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обязательство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-256150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-5,75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-290256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-6,06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-34106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-0,31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-441738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-8,27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-151482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-2,21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Оценочные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резервы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под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ожидаемые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кредитные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убытки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33654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0,75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100377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2,09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66723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1,34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81989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1,53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-18388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-0,56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Неиспользованная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прибыль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3921572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87,97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4204910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87,80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283338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-0,17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4910569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91,89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705659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4,09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Всего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источников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собственных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средств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4457661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4791286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682FE8">
            <w:pPr>
              <w:pStyle w:val="af1"/>
              <w:ind w:left="-108" w:right="-248" w:hanging="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333625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5343829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682FE8">
            <w:pPr>
              <w:pStyle w:val="af1"/>
              <w:ind w:left="-108" w:right="-105" w:hanging="116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552543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</w:tr>
    </w:tbl>
    <w:p w:rsidR="00B9560F" w:rsidRPr="001B301B" w:rsidRDefault="00B9560F" w:rsidP="00B9560F">
      <w:pPr>
        <w:ind w:firstLine="2"/>
        <w:rPr>
          <w:rFonts w:cs="Times New Roman"/>
          <w:szCs w:val="28"/>
          <w:lang w:val="en-US"/>
        </w:rPr>
      </w:pPr>
    </w:p>
    <w:p w:rsidR="00064FAF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F78B8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прежними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форме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0,27%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0,14%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справедливой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0,31%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2,21%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Оценочные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ожидаемые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кредитные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убытки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1,35%,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0,57%,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сфере.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Неиспользованная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уменьши</w:t>
      </w:r>
      <w:r w:rsidR="00CB7575">
        <w:rPr>
          <w:rFonts w:cs="Times New Roman"/>
          <w:szCs w:val="28"/>
        </w:rPr>
        <w:lastRenderedPageBreak/>
        <w:t>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0,17%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4,09%.</w:t>
      </w:r>
    </w:p>
    <w:p w:rsidR="00F63270" w:rsidRDefault="00064FAF" w:rsidP="0043766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обеих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компаний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состоянии,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будущем.</w:t>
      </w:r>
    </w:p>
    <w:p w:rsidR="00B913FB" w:rsidRPr="001B301B" w:rsidRDefault="00B913FB" w:rsidP="0043766B">
      <w:pPr>
        <w:rPr>
          <w:rFonts w:cs="Times New Roman"/>
          <w:szCs w:val="28"/>
        </w:rPr>
      </w:pPr>
    </w:p>
    <w:p w:rsidR="00B41F92" w:rsidRPr="001B301B" w:rsidRDefault="005D7A7B" w:rsidP="0043766B">
      <w:pPr>
        <w:pStyle w:val="2"/>
        <w:rPr>
          <w:rFonts w:cs="Times New Roman"/>
          <w:szCs w:val="16"/>
        </w:rPr>
      </w:pPr>
      <w:bookmarkStart w:id="9" w:name="_Toc168090072"/>
      <w:r>
        <w:rPr>
          <w:rFonts w:cs="Times New Roman"/>
        </w:rPr>
        <w:t>2</w:t>
      </w:r>
      <w:r w:rsidR="00CD2D48" w:rsidRPr="001B301B">
        <w:rPr>
          <w:rFonts w:cs="Times New Roman"/>
        </w:rPr>
        <w:t>.</w:t>
      </w:r>
      <w:r w:rsidR="00FC273D">
        <w:rPr>
          <w:rFonts w:cs="Times New Roman"/>
        </w:rPr>
        <w:t>3</w:t>
      </w:r>
      <w:r w:rsidR="00E572BF">
        <w:rPr>
          <w:rFonts w:cs="Times New Roman"/>
        </w:rPr>
        <w:t xml:space="preserve"> </w:t>
      </w:r>
      <w:r w:rsidR="00713945" w:rsidRPr="001B301B">
        <w:rPr>
          <w:rFonts w:cs="Times New Roman"/>
        </w:rPr>
        <w:t>Анализ</w:t>
      </w:r>
      <w:r w:rsidR="00E572BF">
        <w:rPr>
          <w:rFonts w:cs="Times New Roman"/>
        </w:rPr>
        <w:t xml:space="preserve"> </w:t>
      </w:r>
      <w:r w:rsidR="00FF0C3F">
        <w:rPr>
          <w:rFonts w:cs="Times New Roman"/>
        </w:rPr>
        <w:t xml:space="preserve">нормативов и результатов </w:t>
      </w:r>
      <w:r w:rsidR="00FF0C3F" w:rsidRPr="00FF0C3F">
        <w:rPr>
          <w:rFonts w:cs="Times New Roman"/>
        </w:rPr>
        <w:t>АО Банк «Венец» и ООО Банк «Хлынов»</w:t>
      </w:r>
      <w:bookmarkEnd w:id="9"/>
      <w:r w:rsidR="00E572BF">
        <w:rPr>
          <w:rFonts w:cs="Times New Roman"/>
        </w:rPr>
        <w:t xml:space="preserve"> </w:t>
      </w:r>
    </w:p>
    <w:p w:rsidR="00B913FB" w:rsidRDefault="00B913FB" w:rsidP="0043766B">
      <w:pPr>
        <w:rPr>
          <w:rFonts w:cs="Times New Roman"/>
          <w:szCs w:val="28"/>
        </w:rPr>
      </w:pPr>
    </w:p>
    <w:p w:rsidR="00EE5BD1" w:rsidRPr="001B301B" w:rsidRDefault="00713945" w:rsidP="0043766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убытках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аналогичный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предприятия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показывает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все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оставшуюся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распоряжении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собственников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ведения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бизнеса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[7]</w:t>
      </w:r>
      <w:r w:rsidR="004A5D71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7.</w:t>
      </w:r>
    </w:p>
    <w:p w:rsidR="00232E76" w:rsidRPr="001B301B" w:rsidRDefault="00232E76" w:rsidP="00BA2471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позволяет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выводы:</w:t>
      </w:r>
    </w:p>
    <w:p w:rsidR="00FA2287" w:rsidRPr="00FA2287" w:rsidRDefault="00FA2287" w:rsidP="00FA2287">
      <w:pPr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основании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представленного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выводы:</w:t>
      </w:r>
    </w:p>
    <w:p w:rsidR="00FA2287" w:rsidRPr="00FA2287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172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положительная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динамика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сохранилась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еще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50</w:t>
      </w:r>
      <w:r w:rsidR="00EF75F7">
        <w:rPr>
          <w:rFonts w:cs="Times New Roman"/>
          <w:szCs w:val="28"/>
        </w:rPr>
        <w:t>7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104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руб.</w:t>
      </w:r>
    </w:p>
    <w:p w:rsidR="00FA2287" w:rsidRPr="00FA2287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</w:t>
      </w:r>
      <w:r w:rsidR="00FD6EC5">
        <w:rPr>
          <w:rFonts w:cs="Times New Roman"/>
          <w:szCs w:val="28"/>
        </w:rPr>
        <w:t>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7,93%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(увеличение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на145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959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составило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612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руб.</w:t>
      </w:r>
    </w:p>
    <w:p w:rsidR="00684B81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(отрицательная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маржа)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23D0D">
        <w:rPr>
          <w:rFonts w:cs="Times New Roman"/>
          <w:szCs w:val="28"/>
        </w:rPr>
        <w:t>7,94</w:t>
      </w:r>
      <w:r w:rsidRPr="00FA2287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26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251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процентное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числовое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уменьшилось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16,1</w:t>
      </w:r>
      <w:r w:rsidR="00EF75F7">
        <w:rPr>
          <w:rFonts w:cs="Times New Roman"/>
          <w:szCs w:val="28"/>
        </w:rPr>
        <w:t>8</w:t>
      </w:r>
      <w:r w:rsidR="00E72163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508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соответственно.</w:t>
      </w:r>
    </w:p>
    <w:p w:rsidR="00C0021B" w:rsidRDefault="00C0021B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  <w:sectPr w:rsidR="00C0021B" w:rsidSect="00EF79B0">
          <w:headerReference w:type="default" r:id="rId22"/>
          <w:footerReference w:type="default" r:id="rId23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546CF1" w:rsidRDefault="00546CF1" w:rsidP="00546CF1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505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0"/>
        <w:gridCol w:w="850"/>
        <w:gridCol w:w="709"/>
        <w:gridCol w:w="712"/>
        <w:gridCol w:w="709"/>
        <w:gridCol w:w="853"/>
        <w:gridCol w:w="844"/>
        <w:gridCol w:w="853"/>
        <w:gridCol w:w="709"/>
        <w:gridCol w:w="850"/>
        <w:gridCol w:w="791"/>
      </w:tblGrid>
      <w:tr w:rsidR="00546CF1" w:rsidRPr="00761EC9" w:rsidTr="00C6167D">
        <w:trPr>
          <w:trHeight w:val="290"/>
        </w:trPr>
        <w:tc>
          <w:tcPr>
            <w:tcW w:w="2311" w:type="pct"/>
            <w:vMerge w:val="restart"/>
            <w:shd w:val="clear" w:color="auto" w:fill="auto"/>
            <w:vAlign w:val="center"/>
            <w:hideMark/>
          </w:tcPr>
          <w:p w:rsidR="00546CF1" w:rsidRPr="00761EC9" w:rsidRDefault="00546CF1" w:rsidP="00546CF1">
            <w:pPr>
              <w:pStyle w:val="af1"/>
              <w:jc w:val="center"/>
            </w:pPr>
            <w:r w:rsidRPr="00761EC9">
              <w:t>Показатели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2021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2022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79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 w:rsidRPr="00761EC9">
              <w:t>Изменения</w:t>
            </w:r>
            <w:r w:rsidR="00E572BF">
              <w:t xml:space="preserve"> </w:t>
            </w:r>
            <w:r w:rsidRPr="00761EC9">
              <w:t>2022</w:t>
            </w:r>
            <w:r w:rsidR="00E572BF">
              <w:t xml:space="preserve"> </w:t>
            </w:r>
            <w:r>
              <w:br/>
            </w:r>
            <w:r w:rsidRPr="00761EC9">
              <w:t>к</w:t>
            </w:r>
            <w:r w:rsidR="00E572BF">
              <w:t xml:space="preserve"> </w:t>
            </w:r>
            <w:r w:rsidRPr="00761EC9">
              <w:t>2021</w:t>
            </w:r>
            <w:r w:rsidR="00E572BF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  <w:tc>
          <w:tcPr>
            <w:tcW w:w="533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2023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60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2023</w:t>
            </w:r>
            <w:r>
              <w:br/>
              <w:t>к</w:t>
            </w:r>
            <w:r w:rsidR="00E572BF">
              <w:t xml:space="preserve"> </w:t>
            </w:r>
            <w:r>
              <w:t>2022</w:t>
            </w:r>
            <w:r w:rsidR="00DA5B69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</w:tr>
      <w:tr w:rsidR="00546CF1" w:rsidRPr="00761EC9" w:rsidTr="00C6167D">
        <w:trPr>
          <w:trHeight w:val="290"/>
        </w:trPr>
        <w:tc>
          <w:tcPr>
            <w:tcW w:w="2311" w:type="pct"/>
            <w:vMerge/>
            <w:shd w:val="clear" w:color="auto" w:fill="auto"/>
            <w:vAlign w:val="center"/>
            <w:hideMark/>
          </w:tcPr>
          <w:p w:rsidR="00546CF1" w:rsidRPr="00761EC9" w:rsidRDefault="00546CF1" w:rsidP="0085306C">
            <w:pPr>
              <w:pStyle w:val="af1"/>
            </w:pP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10" w:right="-106"/>
              <w:jc w:val="center"/>
            </w:pPr>
            <w:r>
              <w:t>тыс.</w:t>
            </w:r>
            <w:r>
              <w:br/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43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7" w:right="-104"/>
              <w:jc w:val="center"/>
            </w:pPr>
            <w:r w:rsidRPr="00761EC9">
              <w:t>тыс.</w:t>
            </w:r>
            <w:r w:rsidR="00E572BF">
              <w:t xml:space="preserve"> </w:t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5" w:right="-248"/>
              <w:jc w:val="center"/>
            </w:pPr>
            <w:r w:rsidRPr="00761EC9">
              <w:t>относительное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2D1222" w:rsidP="00E14490">
            <w:pPr>
              <w:pStyle w:val="af1"/>
              <w:ind w:left="-111" w:right="-113"/>
              <w:jc w:val="center"/>
            </w:pPr>
            <w:r>
              <w:t>тыс.</w:t>
            </w:r>
            <w:r>
              <w:br/>
            </w:r>
            <w:r w:rsidR="00546CF1"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48" w:right="-171"/>
              <w:jc w:val="center"/>
            </w:pPr>
            <w:r w:rsidRPr="00761EC9">
              <w:t>относительное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447613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619823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172210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1126927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507104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0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расходы,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251576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56,2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397535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145959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904147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80,23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506612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16,09</w:t>
            </w:r>
          </w:p>
        </w:tc>
      </w:tr>
      <w:tr w:rsidR="00284A28" w:rsidRPr="00761EC9" w:rsidTr="00C6167D">
        <w:trPr>
          <w:trHeight w:val="29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196037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43,8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222288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35,86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26251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221780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19,68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-508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Pr="00386A45" w:rsidRDefault="00284A28" w:rsidP="00386A45">
            <w:pPr>
              <w:pStyle w:val="af1"/>
              <w:jc w:val="center"/>
              <w:rPr>
                <w:lang w:val="en-US"/>
              </w:rPr>
            </w:pPr>
            <w:r>
              <w:t>-16,1</w:t>
            </w:r>
            <w:r w:rsidR="00386A45">
              <w:rPr>
                <w:lang w:val="en-US"/>
              </w:rPr>
              <w:t>8</w:t>
            </w:r>
          </w:p>
        </w:tc>
      </w:tr>
      <w:tr w:rsidR="00284A28" w:rsidRPr="00761EC9" w:rsidTr="00C6167D">
        <w:trPr>
          <w:trHeight w:val="9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ссудам,</w:t>
            </w:r>
            <w:r w:rsidR="00E572BF">
              <w:t xml:space="preserve"> </w:t>
            </w:r>
            <w:r w:rsidRPr="00761EC9">
              <w:t>ссудной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приравненной</w:t>
            </w:r>
            <w:r w:rsidR="00E572BF">
              <w:t xml:space="preserve"> </w:t>
            </w:r>
            <w:r w:rsidRPr="00761EC9">
              <w:t>к</w:t>
            </w:r>
            <w:r w:rsidR="00E572BF">
              <w:t xml:space="preserve"> </w:t>
            </w:r>
            <w:r w:rsidRPr="00761EC9">
              <w:t>ней</w:t>
            </w:r>
            <w:r w:rsidR="00E572BF">
              <w:t xml:space="preserve"> </w:t>
            </w:r>
            <w:r w:rsidRPr="00761EC9">
              <w:t>задолженности,</w:t>
            </w:r>
            <w:r w:rsidR="00E572BF">
              <w:t xml:space="preserve"> </w:t>
            </w:r>
            <w:r w:rsidRPr="00761EC9">
              <w:t>средствам,</w:t>
            </w:r>
            <w:r w:rsidR="00E572BF">
              <w:t xml:space="preserve"> </w:t>
            </w:r>
            <w:r w:rsidRPr="00761EC9">
              <w:t>размещенным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корреспондентских</w:t>
            </w:r>
            <w:r w:rsidR="00E572BF">
              <w:t xml:space="preserve"> </w:t>
            </w:r>
            <w:r w:rsidRPr="00761EC9">
              <w:t>счетах,</w:t>
            </w:r>
            <w:r w:rsidR="00E572BF">
              <w:t xml:space="preserve"> </w:t>
            </w:r>
            <w:r w:rsidRPr="00761EC9">
              <w:t>а</w:t>
            </w:r>
            <w:r w:rsidR="00E572BF">
              <w:t xml:space="preserve"> </w:t>
            </w:r>
            <w:r w:rsidRPr="00761EC9">
              <w:t>также</w:t>
            </w:r>
            <w:r w:rsidR="00E572BF">
              <w:t xml:space="preserve"> </w:t>
            </w:r>
            <w:r w:rsidRPr="00761EC9">
              <w:t>начисленным</w:t>
            </w:r>
            <w:r w:rsidR="00E572BF">
              <w:t xml:space="preserve"> </w:t>
            </w:r>
            <w:r w:rsidRPr="00761EC9">
              <w:t>процентным</w:t>
            </w:r>
            <w:r w:rsidR="00E572BF">
              <w:t xml:space="preserve"> </w:t>
            </w:r>
            <w:r w:rsidRPr="00761EC9">
              <w:t>доходам,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-218999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-48,93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-36587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-5,9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182412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43,03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-204851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-18,17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-168264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-12,27</w:t>
            </w:r>
          </w:p>
        </w:tc>
      </w:tr>
      <w:tr w:rsidR="00284A28" w:rsidRPr="00761EC9" w:rsidTr="00C6167D">
        <w:trPr>
          <w:trHeight w:val="555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  <w:r w:rsidR="00E572BF">
              <w:t xml:space="preserve"> </w:t>
            </w:r>
            <w:r w:rsidRPr="00761EC9">
              <w:t>после</w:t>
            </w:r>
            <w:r w:rsidR="00E572BF">
              <w:t xml:space="preserve"> </w:t>
            </w:r>
            <w:r w:rsidRPr="00761EC9">
              <w:t>создания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-22962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-5,13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185701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29,96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208663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35,09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16929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1,5</w:t>
            </w:r>
            <w:r w:rsidR="001244AE"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-168772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-28,46</w:t>
            </w:r>
          </w:p>
        </w:tc>
      </w:tr>
      <w:tr w:rsidR="00284A28" w:rsidRPr="00761EC9" w:rsidTr="00C6167D">
        <w:trPr>
          <w:trHeight w:val="56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активами,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-49921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-11,15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-6818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-1,1</w:t>
            </w:r>
            <w:r w:rsidR="00A07A76"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43103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10,05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-90188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-83370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-6,9</w:t>
            </w:r>
          </w:p>
        </w:tc>
      </w:tr>
      <w:tr w:rsidR="00284A28" w:rsidRPr="00761EC9" w:rsidTr="00C6167D">
        <w:trPr>
          <w:trHeight w:val="22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обязательствами,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0,0004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B85D73">
            <w:pPr>
              <w:pStyle w:val="af1"/>
              <w:ind w:right="-163" w:hanging="111"/>
              <w:jc w:val="center"/>
            </w:pPr>
            <w:r>
              <w:t>-0,0004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93021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20,78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95858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15,47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2837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-5,31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76942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6,82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-18916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-8,65</w:t>
            </w:r>
          </w:p>
        </w:tc>
      </w:tr>
      <w:tr w:rsidR="00284A28" w:rsidRPr="00761EC9" w:rsidTr="00C6167D">
        <w:trPr>
          <w:trHeight w:val="12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24217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5,41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15176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2,45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-9041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12986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1,15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-2190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-1,3</w:t>
            </w:r>
            <w:r w:rsidR="00A07A76">
              <w:t>0</w:t>
            </w:r>
          </w:p>
        </w:tc>
      </w:tr>
      <w:tr w:rsidR="00D9501A" w:rsidRPr="00761EC9" w:rsidTr="00C6167D">
        <w:trPr>
          <w:trHeight w:val="118"/>
        </w:trPr>
        <w:tc>
          <w:tcPr>
            <w:tcW w:w="2311" w:type="pct"/>
            <w:shd w:val="clear" w:color="auto" w:fill="auto"/>
            <w:vAlign w:val="center"/>
          </w:tcPr>
          <w:p w:rsidR="00D9501A" w:rsidRPr="00761EC9" w:rsidRDefault="00D9501A" w:rsidP="00BC0C1F">
            <w:pPr>
              <w:pStyle w:val="af1"/>
            </w:pPr>
            <w:r>
              <w:t>Изменение</w:t>
            </w:r>
            <w:r w:rsidR="00E572BF">
              <w:t xml:space="preserve"> </w:t>
            </w:r>
            <w:r>
              <w:t>резерва</w:t>
            </w:r>
            <w:r w:rsidR="00E572BF">
              <w:t xml:space="preserve"> </w:t>
            </w:r>
            <w:r>
              <w:t>по</w:t>
            </w:r>
            <w:r w:rsidR="00E572BF">
              <w:t xml:space="preserve"> </w:t>
            </w:r>
            <w:r>
              <w:t>прочим</w:t>
            </w:r>
            <w:r w:rsidR="00E572BF">
              <w:t xml:space="preserve"> </w:t>
            </w:r>
            <w:r>
              <w:t>потерям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761EC9" w:rsidRDefault="00D9501A" w:rsidP="00396F8F">
            <w:pPr>
              <w:pStyle w:val="af1"/>
              <w:ind w:left="-107" w:right="-112"/>
              <w:jc w:val="center"/>
            </w:pPr>
            <w:r>
              <w:t>2226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761EC9" w:rsidRDefault="00004179" w:rsidP="00396F8F">
            <w:pPr>
              <w:pStyle w:val="af1"/>
              <w:ind w:left="-107" w:right="-112"/>
              <w:jc w:val="center"/>
            </w:pPr>
            <w:r>
              <w:t>0,49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D9501A" w:rsidRPr="00761EC9" w:rsidRDefault="00004179" w:rsidP="00E14490">
            <w:pPr>
              <w:pStyle w:val="af1"/>
              <w:ind w:left="-107" w:right="-104"/>
              <w:jc w:val="center"/>
            </w:pPr>
            <w:r>
              <w:t>-27083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004179" w:rsidRPr="00761EC9" w:rsidRDefault="00004179" w:rsidP="00E14490">
            <w:pPr>
              <w:pStyle w:val="af1"/>
              <w:ind w:left="-254" w:right="-247"/>
              <w:jc w:val="center"/>
            </w:pPr>
            <w:r>
              <w:t>-4,37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004179" w:rsidRPr="00761EC9" w:rsidRDefault="00004179" w:rsidP="00810530">
            <w:pPr>
              <w:pStyle w:val="af1"/>
              <w:ind w:left="-254" w:right="-247"/>
              <w:jc w:val="center"/>
            </w:pPr>
            <w:r>
              <w:t>-29309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D9501A" w:rsidRPr="00761EC9" w:rsidRDefault="00A07A76" w:rsidP="00810530">
            <w:pPr>
              <w:pStyle w:val="af1"/>
              <w:ind w:left="-254" w:right="-247"/>
              <w:jc w:val="center"/>
            </w:pPr>
            <w:r>
              <w:t>-4,86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D9501A" w:rsidRPr="00810530" w:rsidRDefault="00396F8F" w:rsidP="00810530">
            <w:pPr>
              <w:pStyle w:val="af1"/>
              <w:ind w:left="-252" w:right="-255"/>
              <w:jc w:val="center"/>
            </w:pPr>
            <w:r w:rsidRPr="00810530">
              <w:t>36998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150F93" w:rsidRDefault="00150F93" w:rsidP="00E1449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3,28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150F93" w:rsidRDefault="00150F93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64081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150F93" w:rsidRPr="00150F93" w:rsidRDefault="00150F93" w:rsidP="00150F9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7,65</w:t>
            </w:r>
          </w:p>
        </w:tc>
      </w:tr>
      <w:tr w:rsidR="00284A28" w:rsidRPr="00761EC9" w:rsidTr="00C6167D">
        <w:trPr>
          <w:trHeight w:val="561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ценным</w:t>
            </w:r>
            <w:r w:rsidR="00E572BF">
              <w:t xml:space="preserve"> </w:t>
            </w:r>
            <w:r w:rsidRPr="00761EC9">
              <w:t>бумагам,</w:t>
            </w:r>
            <w:r w:rsidR="00E572BF">
              <w:t xml:space="preserve"> </w:t>
            </w:r>
            <w:r w:rsidRPr="00761EC9">
              <w:t>оцениваемым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амортизированной</w:t>
            </w:r>
            <w:r w:rsidR="00E572BF">
              <w:t xml:space="preserve"> </w:t>
            </w:r>
            <w:r w:rsidRPr="00761EC9">
              <w:t>стоимости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-19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-0,003</w:t>
            </w:r>
          </w:p>
        </w:tc>
      </w:tr>
      <w:tr w:rsidR="00284A28" w:rsidRPr="00761EC9" w:rsidTr="00C6167D">
        <w:trPr>
          <w:trHeight w:val="20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до</w:t>
            </w:r>
            <w:r w:rsidR="00E572BF">
              <w:t xml:space="preserve"> </w:t>
            </w:r>
            <w:r w:rsidRPr="00761EC9">
              <w:t>налогообложения</w:t>
            </w:r>
            <w:r w:rsidR="00E572BF">
              <w:t xml:space="preserve"> 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104356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23,31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11470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1,85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-92886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-21,46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-186425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-17,37</w:t>
            </w:r>
          </w:p>
        </w:tc>
      </w:tr>
      <w:tr w:rsidR="00284A28" w:rsidRPr="00761EC9" w:rsidTr="00C6167D">
        <w:trPr>
          <w:trHeight w:val="66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Возмещение</w:t>
            </w:r>
            <w:r w:rsidR="00E572BF">
              <w:t xml:space="preserve"> </w:t>
            </w:r>
            <w:r w:rsidRPr="00761EC9">
              <w:t>(расход)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налогу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прибыль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37883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8,46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-14705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-2,37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-52588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-10,83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14705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2,37</w:t>
            </w:r>
          </w:p>
        </w:tc>
      </w:tr>
      <w:tr w:rsidR="00284A28" w:rsidRPr="00761EC9" w:rsidTr="00C6167D">
        <w:trPr>
          <w:trHeight w:val="19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продолжающейся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25662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-40811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-10,71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-200617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-19,66</w:t>
            </w:r>
          </w:p>
        </w:tc>
      </w:tr>
      <w:tr w:rsidR="00284A28" w:rsidRPr="00761EC9" w:rsidTr="00C6167D">
        <w:trPr>
          <w:trHeight w:val="2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прекращенной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513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513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-513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-0,08</w:t>
            </w:r>
          </w:p>
        </w:tc>
      </w:tr>
      <w:tr w:rsidR="00284A28" w:rsidRPr="00761EC9" w:rsidTr="00C6167D">
        <w:trPr>
          <w:trHeight w:val="7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 </w:t>
            </w:r>
            <w:r w:rsidRPr="00761EC9">
              <w:t>за</w:t>
            </w:r>
            <w:r w:rsidR="00E572BF">
              <w:t xml:space="preserve"> </w:t>
            </w:r>
            <w:r w:rsidRPr="00761EC9">
              <w:t>отчетный</w:t>
            </w:r>
            <w:r w:rsidR="00E572BF">
              <w:t xml:space="preserve"> </w:t>
            </w:r>
            <w:r w:rsidRPr="00761EC9">
              <w:t>период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26175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4,22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-40298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-10,63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-201130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-19,74</w:t>
            </w:r>
          </w:p>
        </w:tc>
      </w:tr>
      <w:tr w:rsidR="00E92323" w:rsidRPr="00761EC9" w:rsidTr="00C6167D">
        <w:trPr>
          <w:trHeight w:val="234"/>
        </w:trPr>
        <w:tc>
          <w:tcPr>
            <w:tcW w:w="2311" w:type="pct"/>
            <w:shd w:val="clear" w:color="auto" w:fill="auto"/>
            <w:vAlign w:val="center"/>
          </w:tcPr>
          <w:p w:rsidR="00E92323" w:rsidRDefault="00E92323" w:rsidP="00E92323">
            <w:pPr>
              <w:pStyle w:val="af1"/>
            </w:pPr>
            <w:r>
              <w:t>Прочие</w:t>
            </w:r>
            <w:r w:rsidR="00E572BF">
              <w:t xml:space="preserve"> </w:t>
            </w:r>
            <w:r>
              <w:t>операционные</w:t>
            </w:r>
            <w:r w:rsidR="00E572BF">
              <w:t xml:space="preserve"> </w:t>
            </w:r>
            <w:r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386133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86,26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04"/>
              <w:jc w:val="center"/>
            </w:pPr>
            <w:r>
              <w:t>208803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33,68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-177330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Default="00A07A76" w:rsidP="00E92323">
            <w:pPr>
              <w:pStyle w:val="af1"/>
              <w:ind w:left="-254" w:right="-247"/>
              <w:jc w:val="center"/>
            </w:pPr>
            <w:r>
              <w:t>-52,58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106182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9,42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-102621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-24,26</w:t>
            </w:r>
          </w:p>
        </w:tc>
      </w:tr>
      <w:tr w:rsidR="00E92323" w:rsidRPr="00761EC9" w:rsidTr="00C6167D">
        <w:trPr>
          <w:trHeight w:val="284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Чистые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доходы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(расходы)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396293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88,53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107" w:right="-104"/>
              <w:jc w:val="center"/>
            </w:pPr>
            <w:r w:rsidRPr="00DD3EA6">
              <w:t>451005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72,76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54712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5" w:right="-285"/>
              <w:jc w:val="center"/>
            </w:pPr>
            <w:r w:rsidRPr="00DD3EA6">
              <w:t>-15,</w:t>
            </w:r>
            <w:r w:rsidR="00A07A76">
              <w:t>77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145208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12,88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-305797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-59,88</w:t>
            </w:r>
          </w:p>
        </w:tc>
      </w:tr>
      <w:tr w:rsidR="00E92323" w:rsidRPr="00761EC9" w:rsidTr="00C6167D">
        <w:trPr>
          <w:trHeight w:val="147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Операционные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291937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65,22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04"/>
              <w:jc w:val="center"/>
            </w:pPr>
            <w:r w:rsidRPr="0075346B">
              <w:t>439535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70,91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147598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5" w:right="-285"/>
              <w:jc w:val="center"/>
            </w:pPr>
            <w:r w:rsidRPr="0075346B">
              <w:t>5,69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320163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28,41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-119372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-42,5</w:t>
            </w:r>
            <w:r w:rsidR="00A07A76">
              <w:t>0</w:t>
            </w:r>
          </w:p>
        </w:tc>
      </w:tr>
    </w:tbl>
    <w:p w:rsidR="00546CF1" w:rsidRDefault="00546CF1" w:rsidP="00546CF1">
      <w:pPr>
        <w:tabs>
          <w:tab w:val="left" w:pos="1134"/>
        </w:tabs>
        <w:rPr>
          <w:rFonts w:cs="Times New Roman"/>
          <w:szCs w:val="28"/>
        </w:rPr>
        <w:sectPr w:rsidR="00546CF1" w:rsidSect="00B85D73">
          <w:headerReference w:type="default" r:id="rId24"/>
          <w:footerReference w:type="default" r:id="rId25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684B81" w:rsidRP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84B81">
        <w:rPr>
          <w:rFonts w:cs="Times New Roman"/>
          <w:szCs w:val="28"/>
        </w:rPr>
        <w:lastRenderedPageBreak/>
        <w:t>Изменение резерва на возможные потери и оценочного резерва под ожидаемые кредитные убытки в 2022 году увеличилось на 43,03% (увеличение на 182 412 тыс. руб.) в 2022 году по сравнению с 2021 годом. В 2023 году данный показатель уменьшился на 12,27% (уменьшение на 168 264 тыс. рублей).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(отрицательная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процентная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маржа)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после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создания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возможные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</w:t>
      </w:r>
      <w:r>
        <w:rPr>
          <w:rFonts w:cs="Times New Roman"/>
          <w:szCs w:val="28"/>
        </w:rPr>
        <w:t xml:space="preserve">лись на 35,09% (увеличение на 208 </w:t>
      </w:r>
      <w:r w:rsidRPr="00FA2287">
        <w:rPr>
          <w:rFonts w:cs="Times New Roman"/>
          <w:szCs w:val="28"/>
        </w:rPr>
        <w:t>663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данный показатель уменьшился на 168 772 тыс. рублей (уменьшение на 28,46%).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операций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финансовыми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активами,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оцениваемыми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справедливой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стоимости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через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прибыль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убыток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</w:t>
      </w:r>
      <w:r>
        <w:rPr>
          <w:rFonts w:cs="Times New Roman"/>
          <w:szCs w:val="28"/>
        </w:rPr>
        <w:t xml:space="preserve">ились на 10,05% (увеличение на 43 </w:t>
      </w:r>
      <w:r w:rsidRPr="00FA2287">
        <w:rPr>
          <w:rFonts w:cs="Times New Roman"/>
          <w:szCs w:val="28"/>
        </w:rPr>
        <w:t>103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данный показатель уменьшился на 83 370 тыс. рублей (уменьшение на 6,9%).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5,3</w:t>
      </w:r>
      <w:r>
        <w:rPr>
          <w:rFonts w:cs="Times New Roman"/>
          <w:szCs w:val="28"/>
        </w:rPr>
        <w:t>1</w:t>
      </w:r>
      <w:r w:rsidRPr="00FA2287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увеличение на 2 </w:t>
      </w:r>
      <w:r w:rsidRPr="00FA2287">
        <w:rPr>
          <w:rFonts w:cs="Times New Roman"/>
          <w:szCs w:val="28"/>
        </w:rPr>
        <w:t>837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комиссионные доходы также уменьшились на 8,64% </w:t>
      </w:r>
      <w:r w:rsidR="00A47D7B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на 189 16 тыс. руб.)</w:t>
      </w:r>
    </w:p>
    <w:p w:rsid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B85D73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расходы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2,96%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041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расходы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1,3%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190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руб.).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Изменение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возможные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оценочного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ожидаемые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кредитные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убытки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ценным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бумагам,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оцениваемым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амортизированной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стоимости,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увеличилось</w:t>
      </w:r>
      <w:r>
        <w:rPr>
          <w:rFonts w:cs="Times New Roman"/>
          <w:szCs w:val="28"/>
        </w:rPr>
        <w:t xml:space="preserve"> в 2022 году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19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значение данного показателя уменьшилось на 19 тыс. рублей и установилось на уровне 0 рублей.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Изменение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прочим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потерям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сни</w:t>
      </w:r>
      <w:r>
        <w:rPr>
          <w:rFonts w:cs="Times New Roman"/>
          <w:szCs w:val="28"/>
        </w:rPr>
        <w:t xml:space="preserve">зилось на 4,87% (уменьшение на 29 </w:t>
      </w:r>
      <w:r w:rsidRPr="00FA2287">
        <w:rPr>
          <w:rFonts w:cs="Times New Roman"/>
          <w:szCs w:val="28"/>
        </w:rPr>
        <w:t>309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</w:t>
      </w:r>
      <w:r>
        <w:rPr>
          <w:rFonts w:cs="Times New Roman"/>
          <w:szCs w:val="28"/>
        </w:rPr>
        <w:lastRenderedPageBreak/>
        <w:t xml:space="preserve">году значение этого показателя возросло </w:t>
      </w:r>
      <w:r w:rsidR="00204164">
        <w:rPr>
          <w:rFonts w:cs="Times New Roman"/>
          <w:szCs w:val="28"/>
        </w:rPr>
        <w:t>на 64 081 тыс. рублей, составив</w:t>
      </w:r>
      <w:r w:rsidR="00204164">
        <w:rPr>
          <w:rFonts w:cs="Times New Roman"/>
          <w:szCs w:val="28"/>
        </w:rPr>
        <w:br/>
      </w:r>
      <w:r>
        <w:rPr>
          <w:rFonts w:cs="Times New Roman"/>
          <w:szCs w:val="28"/>
        </w:rPr>
        <w:t>36 998 тыс. рублей (3,28%).</w:t>
      </w:r>
    </w:p>
    <w:p w:rsidR="00684B81" w:rsidRP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Прочие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операционные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уменьши</w:t>
      </w:r>
      <w:r>
        <w:rPr>
          <w:rFonts w:cs="Times New Roman"/>
          <w:szCs w:val="28"/>
        </w:rPr>
        <w:t xml:space="preserve">лись на 52,6% (уменьшение на 177 </w:t>
      </w:r>
      <w:r w:rsidRPr="00FA2287">
        <w:rPr>
          <w:rFonts w:cs="Times New Roman"/>
          <w:szCs w:val="28"/>
        </w:rPr>
        <w:t>330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эти доходы также продолжили уменьшаться. К концу 2023 года данный показатель достиг уровня в 106 182 тыс. рублей с падением на 24,26% по сравнению с 2022 годом.</w:t>
      </w:r>
    </w:p>
    <w:p w:rsidR="00FA2287" w:rsidRPr="00FA2287" w:rsidRDefault="00FA2287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(расходы)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уменьш</w:t>
      </w:r>
      <w:r w:rsidR="00FD6EC5">
        <w:rPr>
          <w:rFonts w:cs="Times New Roman"/>
          <w:szCs w:val="28"/>
        </w:rPr>
        <w:t>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15,</w:t>
      </w:r>
      <w:r w:rsidR="00061DB7">
        <w:rPr>
          <w:rFonts w:cs="Times New Roman"/>
          <w:szCs w:val="28"/>
        </w:rPr>
        <w:t>8</w:t>
      </w:r>
      <w:r w:rsidR="00FD6EC5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(уменьшение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54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712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продолжил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падение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результатом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-5</w:t>
      </w:r>
      <w:r w:rsidR="00614BE0">
        <w:rPr>
          <w:rFonts w:cs="Times New Roman"/>
          <w:szCs w:val="28"/>
        </w:rPr>
        <w:t>9</w:t>
      </w:r>
      <w:r w:rsidR="000B4A72">
        <w:rPr>
          <w:rFonts w:cs="Times New Roman"/>
          <w:szCs w:val="28"/>
        </w:rPr>
        <w:t>,</w:t>
      </w:r>
      <w:r w:rsidR="00614BE0">
        <w:rPr>
          <w:rFonts w:cs="Times New Roman"/>
          <w:szCs w:val="28"/>
        </w:rPr>
        <w:t>88</w:t>
      </w:r>
      <w:r w:rsidR="000B4A72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год,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остановившись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отметке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145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208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рублей.</w:t>
      </w:r>
    </w:p>
    <w:p w:rsidR="00FA2287" w:rsidRPr="00FA2287" w:rsidRDefault="00FA2287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Операционные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5,69%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 w:rsidR="00FD6EC5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204164">
        <w:rPr>
          <w:rFonts w:cs="Times New Roman"/>
          <w:szCs w:val="28"/>
        </w:rPr>
        <w:br/>
      </w:r>
      <w:r w:rsidR="00FD6EC5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598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убы</w:t>
      </w:r>
      <w:r w:rsidR="00614BE0">
        <w:rPr>
          <w:rFonts w:cs="Times New Roman"/>
          <w:szCs w:val="28"/>
        </w:rPr>
        <w:t>л</w:t>
      </w:r>
      <w:r w:rsidR="00F16DD0">
        <w:rPr>
          <w:rFonts w:cs="Times New Roman"/>
          <w:szCs w:val="28"/>
        </w:rPr>
        <w:t>ь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составила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119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372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(уменьшение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42,</w:t>
      </w:r>
      <w:r w:rsidR="00614BE0">
        <w:rPr>
          <w:rFonts w:cs="Times New Roman"/>
          <w:szCs w:val="28"/>
        </w:rPr>
        <w:t>5</w:t>
      </w:r>
      <w:r w:rsidR="00F16DD0">
        <w:rPr>
          <w:rFonts w:cs="Times New Roman"/>
          <w:szCs w:val="28"/>
        </w:rPr>
        <w:t>%)</w:t>
      </w:r>
    </w:p>
    <w:p w:rsidR="00B9560F" w:rsidRPr="00754ABC" w:rsidRDefault="00232E76" w:rsidP="00FA2287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негативных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тенденциях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принятия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улучшения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результатов.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тенденция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большей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части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изменилась.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Множество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изменили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тренд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противоположный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руководство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проанализировало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прошлого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приняла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мены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стабилизации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деятельности.</w:t>
      </w:r>
    </w:p>
    <w:p w:rsidR="00496E78" w:rsidRDefault="00CB7D3B" w:rsidP="002F04F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2F04F3" w:rsidRDefault="002F04F3" w:rsidP="002F04F3">
      <w:pPr>
        <w:rPr>
          <w:rFonts w:cs="Times New Roman"/>
          <w:szCs w:val="28"/>
        </w:rPr>
        <w:sectPr w:rsidR="002F04F3" w:rsidSect="001A4E78">
          <w:headerReference w:type="default" r:id="rId26"/>
          <w:footerReference w:type="default" r:id="rId27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8E1B76" w:rsidRPr="001B301B" w:rsidRDefault="008E1B76" w:rsidP="008E1B76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487"/>
        <w:gridCol w:w="992"/>
        <w:gridCol w:w="711"/>
        <w:gridCol w:w="850"/>
        <w:gridCol w:w="711"/>
        <w:gridCol w:w="850"/>
        <w:gridCol w:w="850"/>
        <w:gridCol w:w="853"/>
        <w:gridCol w:w="597"/>
        <w:gridCol w:w="821"/>
        <w:gridCol w:w="780"/>
      </w:tblGrid>
      <w:tr w:rsidR="00A35085" w:rsidRPr="00B46C81" w:rsidTr="00833F43">
        <w:trPr>
          <w:trHeight w:val="639"/>
        </w:trPr>
        <w:tc>
          <w:tcPr>
            <w:tcW w:w="2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Показатели</w:t>
            </w:r>
          </w:p>
        </w:tc>
        <w:tc>
          <w:tcPr>
            <w:tcW w:w="5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2021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2022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2"/>
              <w:jc w:val="center"/>
            </w:pPr>
            <w:r w:rsidRPr="00B46C81">
              <w:t>Изменения</w:t>
            </w:r>
            <w:r w:rsidR="00E572BF">
              <w:t xml:space="preserve"> </w:t>
            </w:r>
            <w:r w:rsidRPr="00B46C81">
              <w:t>2022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2021</w:t>
            </w:r>
            <w:r w:rsidR="00E572BF">
              <w:t xml:space="preserve"> </w:t>
            </w:r>
            <w:r w:rsidRPr="00B46C81">
              <w:t>(+,</w:t>
            </w:r>
            <w:r w:rsidR="00E572BF">
              <w:t xml:space="preserve"> </w:t>
            </w:r>
            <w:r w:rsidRPr="00B46C81">
              <w:t>-)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2023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Изменения</w:t>
            </w:r>
            <w:r w:rsidR="00E572BF">
              <w:t xml:space="preserve"> </w:t>
            </w:r>
            <w:r w:rsidRPr="00B46C81">
              <w:t>2023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2022</w:t>
            </w:r>
            <w:r w:rsidR="00E572BF">
              <w:t xml:space="preserve"> </w:t>
            </w:r>
            <w:r w:rsidRPr="00B46C81">
              <w:t>(+,</w:t>
            </w:r>
            <w:r w:rsidR="00E572BF">
              <w:t xml:space="preserve"> </w:t>
            </w:r>
            <w:r w:rsidRPr="00B46C81">
              <w:t>-)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тыс.</w:t>
            </w:r>
            <w:r w:rsidR="00E572BF">
              <w:t xml:space="preserve"> </w:t>
            </w:r>
            <w:r w:rsidRPr="00B46C81">
              <w:t>руб.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%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A35085" w:rsidP="00CB7945">
            <w:pPr>
              <w:pStyle w:val="af1"/>
              <w:ind w:left="-104" w:right="-108"/>
              <w:jc w:val="center"/>
            </w:pPr>
            <w:r>
              <w:t>тыс.</w:t>
            </w:r>
            <w:r>
              <w:br/>
            </w:r>
            <w:r w:rsidR="008E1B76" w:rsidRPr="00B46C81">
              <w:t>руб.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%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2" w:right="-109"/>
              <w:jc w:val="center"/>
            </w:pPr>
            <w:r w:rsidRPr="00B46C81">
              <w:t>абсолютное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относительное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A35085" w:rsidP="00CB7945">
            <w:pPr>
              <w:pStyle w:val="af1"/>
              <w:ind w:left="-112" w:right="-111"/>
              <w:jc w:val="center"/>
            </w:pPr>
            <w:r>
              <w:t>тыс.</w:t>
            </w:r>
            <w:r>
              <w:br/>
            </w:r>
            <w:r w:rsidR="008E1B76" w:rsidRPr="00B46C81">
              <w:t>руб.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%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абсолютное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относительное</w:t>
            </w:r>
          </w:p>
        </w:tc>
      </w:tr>
      <w:tr w:rsidR="00863308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04" w:right="-108"/>
              <w:jc w:val="center"/>
            </w:pPr>
            <w:r>
              <w:t>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243" w:right="-251"/>
              <w:jc w:val="center"/>
            </w:pPr>
            <w:r>
              <w:t>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2" w:right="-101"/>
              <w:jc w:val="center"/>
            </w:pPr>
            <w: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12" w:right="-111"/>
              <w:jc w:val="center"/>
            </w:pPr>
            <w:r>
              <w:t>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01" w:right="-109"/>
              <w:jc w:val="center"/>
            </w:pPr>
            <w:r>
              <w:t>10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Default="00863308" w:rsidP="00EC46B8">
            <w:pPr>
              <w:pStyle w:val="af1"/>
              <w:ind w:left="-261" w:right="-313"/>
              <w:jc w:val="center"/>
            </w:pPr>
            <w:r>
              <w:t>11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2253708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2982594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728886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A35085" w:rsidRDefault="00CB7945" w:rsidP="00CB7945">
            <w:pPr>
              <w:pStyle w:val="af1"/>
              <w:ind w:left="-102" w:right="-101"/>
              <w:jc w:val="center"/>
            </w:pPr>
            <w:r w:rsidRPr="00A35085"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3521281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833F43">
            <w:pPr>
              <w:pStyle w:val="af1"/>
              <w:ind w:left="-104" w:right="-245" w:hanging="117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538687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>
              <w:t>0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Процентные</w:t>
            </w:r>
            <w:r w:rsidR="00E572BF">
              <w:t xml:space="preserve"> </w:t>
            </w:r>
            <w:r w:rsidRPr="00B46C81">
              <w:t>расходы,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682256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30,27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1360414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45,61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678158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15,34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1280892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36,38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-79522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-9,23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1571452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69,73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1622180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54,39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50728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-15,34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2240389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63,62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618209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9,23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Комиссионные</w:t>
            </w:r>
            <w:r w:rsidR="00E572BF">
              <w:t xml:space="preserve"> </w:t>
            </w:r>
            <w:r w:rsidRPr="00B46C81">
              <w:t>доходы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1021029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45,30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1068276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35,82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47247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-9,48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1279580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36,34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211304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0,52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Комиссионные</w:t>
            </w:r>
            <w:r w:rsidR="00E572BF">
              <w:t xml:space="preserve"> </w:t>
            </w:r>
            <w:r w:rsidRPr="00B46C81">
              <w:t>расходы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392086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17,40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410687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13,77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18601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-3,63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492598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13,99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81911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0,22</w:t>
            </w:r>
          </w:p>
        </w:tc>
      </w:tr>
      <w:tr w:rsidR="00A35085" w:rsidRPr="00B46C81" w:rsidTr="00833F43">
        <w:trPr>
          <w:trHeight w:val="1259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резервов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ссудам,</w:t>
            </w:r>
            <w:r w:rsidR="00E572BF">
              <w:t xml:space="preserve"> </w:t>
            </w:r>
            <w:r w:rsidRPr="00B46C81">
              <w:t>ссудной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приравненной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ней</w:t>
            </w:r>
            <w:r w:rsidR="00E572BF">
              <w:t xml:space="preserve"> </w:t>
            </w:r>
            <w:r w:rsidRPr="00B46C81">
              <w:t>задолженности,</w:t>
            </w:r>
            <w:r w:rsidR="00E572BF">
              <w:t xml:space="preserve"> </w:t>
            </w:r>
            <w:r w:rsidRPr="00B46C81">
              <w:t>средствам,</w:t>
            </w:r>
            <w:r w:rsidR="00E572BF">
              <w:t xml:space="preserve"> </w:t>
            </w:r>
            <w:r w:rsidRPr="00B46C81">
              <w:t>размещенным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корреспондентских</w:t>
            </w:r>
            <w:r w:rsidR="00E572BF">
              <w:t xml:space="preserve"> </w:t>
            </w:r>
            <w:r w:rsidRPr="00B46C81">
              <w:t>счетах,</w:t>
            </w:r>
            <w:r w:rsidR="00E572BF">
              <w:t xml:space="preserve"> </w:t>
            </w:r>
            <w:r w:rsidRPr="00B46C81">
              <w:t>а</w:t>
            </w:r>
            <w:r w:rsidR="00E572BF">
              <w:t xml:space="preserve"> </w:t>
            </w:r>
            <w:r w:rsidRPr="00B46C81">
              <w:t>также</w:t>
            </w:r>
            <w:r w:rsidR="00E572BF">
              <w:t xml:space="preserve"> </w:t>
            </w:r>
            <w:r w:rsidRPr="00B46C81">
              <w:t>начисленным</w:t>
            </w:r>
            <w:r w:rsidR="00E572BF">
              <w:t xml:space="preserve"> </w:t>
            </w:r>
            <w:r w:rsidRPr="00B46C81">
              <w:t>процентным</w:t>
            </w:r>
            <w:r w:rsidR="00E572BF">
              <w:t xml:space="preserve"> </w:t>
            </w:r>
            <w:r w:rsidRPr="00B46C81">
              <w:t>доходам,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-249632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-11,08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-319510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-10,71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-69878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0,37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-239406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-6,80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80104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3,91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(отрицательная</w:t>
            </w:r>
            <w:r w:rsidR="00E572BF">
              <w:t xml:space="preserve"> </w:t>
            </w:r>
            <w:r w:rsidRPr="00B46C81">
              <w:t>процентная</w:t>
            </w:r>
            <w:r w:rsidR="00E572BF">
              <w:t xml:space="preserve"> </w:t>
            </w:r>
            <w:r w:rsidRPr="00B46C81">
              <w:t>маржа)</w:t>
            </w:r>
            <w:r w:rsidR="00E572BF">
              <w:t xml:space="preserve"> </w:t>
            </w:r>
            <w:r w:rsidRPr="00B46C81">
              <w:t>после</w:t>
            </w:r>
            <w:r w:rsidR="00E572BF">
              <w:t xml:space="preserve"> </w:t>
            </w:r>
            <w:r w:rsidRPr="00B46C81">
              <w:t>создания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1321820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58,65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1302670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43,68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-19150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-14,97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2000983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56,83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698313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13,15</w:t>
            </w:r>
          </w:p>
        </w:tc>
      </w:tr>
      <w:tr w:rsidR="00A35085" w:rsidRPr="00B46C81" w:rsidTr="00833F43">
        <w:trPr>
          <w:trHeight w:val="535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финансовыми</w:t>
            </w:r>
            <w:r w:rsidR="00E572BF">
              <w:t xml:space="preserve"> </w:t>
            </w:r>
            <w:r w:rsidRPr="00B46C81">
              <w:t>активами,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прибыль</w:t>
            </w:r>
            <w:r w:rsidR="00E572BF">
              <w:t xml:space="preserve"> </w:t>
            </w:r>
            <w:r w:rsidRPr="00B46C81">
              <w:t>или</w:t>
            </w:r>
            <w:r w:rsidR="00E572BF">
              <w:t xml:space="preserve"> </w:t>
            </w:r>
            <w:r w:rsidRPr="00B46C81">
              <w:t>убыток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19758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0,88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18370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0,62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-1388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-0,26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6528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0,19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-11842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-0,43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ценными</w:t>
            </w:r>
            <w:r w:rsidR="00E572BF">
              <w:t xml:space="preserve"> </w:t>
            </w:r>
            <w:r w:rsidRPr="00B46C81">
              <w:t>бумагами,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прочий</w:t>
            </w:r>
            <w:r w:rsidR="00E572BF">
              <w:t xml:space="preserve"> </w:t>
            </w:r>
            <w:r w:rsidRPr="00B46C81">
              <w:t>совокупный</w:t>
            </w:r>
            <w:r w:rsidR="00E572BF">
              <w:t xml:space="preserve"> </w:t>
            </w:r>
            <w:r w:rsidRPr="00B46C81">
              <w:t>доход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25468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1,13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1323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-24145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-1,09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1044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0,03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-279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-0,01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ценными</w:t>
            </w:r>
            <w:r w:rsidR="00E572BF">
              <w:t xml:space="preserve"> </w:t>
            </w:r>
            <w:r w:rsidRPr="00B46C81">
              <w:t>бумагами,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амортизированной</w:t>
            </w:r>
            <w:r w:rsidR="00E572BF">
              <w:t xml:space="preserve"> </w:t>
            </w:r>
            <w:r w:rsidRPr="00B46C81">
              <w:t>стоимости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764858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-804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-0,03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-804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-0,03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363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0,01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1167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0,04</w:t>
            </w:r>
          </w:p>
        </w:tc>
      </w:tr>
      <w:tr w:rsidR="00A35085" w:rsidRPr="00B46C81" w:rsidTr="00833F43">
        <w:trPr>
          <w:trHeight w:val="1071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ценным</w:t>
            </w:r>
            <w:r w:rsidR="00E572BF">
              <w:t xml:space="preserve"> </w:t>
            </w:r>
            <w:r w:rsidRPr="00B46C81">
              <w:t>бумагам,</w:t>
            </w:r>
            <w:r w:rsidR="00E572BF">
              <w:t xml:space="preserve"> </w:t>
            </w:r>
            <w:r w:rsidRPr="00B46C81">
              <w:t>оцениваемым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прочий</w:t>
            </w:r>
            <w:r w:rsidR="00E572BF">
              <w:t xml:space="preserve"> </w:t>
            </w:r>
            <w:r w:rsidRPr="00B46C81">
              <w:t>совокупный</w:t>
            </w:r>
            <w:r w:rsidR="00E572BF">
              <w:t xml:space="preserve"> </w:t>
            </w:r>
            <w:r w:rsidRPr="00B46C81">
              <w:t>доход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-975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A35085" w:rsidRDefault="008E1B76" w:rsidP="00CB7945">
            <w:pPr>
              <w:pStyle w:val="af1"/>
              <w:ind w:left="-104" w:right="-103"/>
              <w:jc w:val="center"/>
            </w:pPr>
            <w:r w:rsidRPr="00CB7945">
              <w:rPr>
                <w:lang w:val="en-US"/>
              </w:rPr>
              <w:t>-0,04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-65439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-2,19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-64464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-2,15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18487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0,53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83926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2,72</w:t>
            </w:r>
          </w:p>
        </w:tc>
      </w:tr>
    </w:tbl>
    <w:p w:rsidR="00863308" w:rsidRDefault="00863308">
      <w:pPr>
        <w:spacing w:after="200" w:line="276" w:lineRule="auto"/>
        <w:ind w:firstLine="0"/>
        <w:jc w:val="left"/>
      </w:pPr>
      <w:r>
        <w:br w:type="page"/>
      </w:r>
    </w:p>
    <w:p w:rsidR="00863308" w:rsidRDefault="00863308" w:rsidP="00863308">
      <w:pPr>
        <w:ind w:firstLine="0"/>
      </w:pPr>
      <w:r>
        <w:lastRenderedPageBreak/>
        <w:t>Продолжение</w:t>
      </w:r>
      <w:r w:rsidR="00E572BF">
        <w:t xml:space="preserve"> </w:t>
      </w:r>
      <w:r>
        <w:t>таблицы</w:t>
      </w:r>
      <w:r w:rsidR="00E572BF">
        <w:t xml:space="preserve"> </w:t>
      </w:r>
      <w:r>
        <w:t>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133"/>
        <w:gridCol w:w="711"/>
        <w:gridCol w:w="850"/>
        <w:gridCol w:w="711"/>
        <w:gridCol w:w="850"/>
        <w:gridCol w:w="850"/>
        <w:gridCol w:w="853"/>
        <w:gridCol w:w="566"/>
        <w:gridCol w:w="853"/>
        <w:gridCol w:w="780"/>
      </w:tblGrid>
      <w:tr w:rsidR="00863308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jc w:val="center"/>
            </w:pPr>
            <w:r>
              <w:t>2</w:t>
            </w:r>
          </w:p>
        </w:tc>
        <w:tc>
          <w:tcPr>
            <w:tcW w:w="24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3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04" w:right="-108"/>
              <w:jc w:val="center"/>
            </w:pPr>
            <w:r>
              <w:t>4</w:t>
            </w:r>
          </w:p>
        </w:tc>
        <w:tc>
          <w:tcPr>
            <w:tcW w:w="24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5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243" w:right="-251"/>
              <w:jc w:val="center"/>
            </w:pPr>
            <w:r>
              <w:t>6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2" w:right="-101"/>
              <w:jc w:val="center"/>
            </w:pPr>
            <w:r>
              <w:t>7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12" w:right="-111"/>
              <w:jc w:val="center"/>
            </w:pPr>
            <w:r>
              <w:t>8</w:t>
            </w:r>
          </w:p>
        </w:tc>
        <w:tc>
          <w:tcPr>
            <w:tcW w:w="19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9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01" w:right="-109"/>
              <w:jc w:val="center"/>
            </w:pPr>
            <w:r>
              <w:t>10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863308" w:rsidRDefault="00863308" w:rsidP="00C76029">
            <w:pPr>
              <w:pStyle w:val="af1"/>
              <w:ind w:left="-261" w:right="-313"/>
              <w:jc w:val="center"/>
            </w:pPr>
            <w:r>
              <w:t>11</w:t>
            </w:r>
          </w:p>
        </w:tc>
      </w:tr>
      <w:tr w:rsidR="00A35085" w:rsidRPr="00B46C81" w:rsidTr="006B5EB1">
        <w:trPr>
          <w:trHeight w:val="87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ценным</w:t>
            </w:r>
            <w:r w:rsidR="00E572BF">
              <w:t xml:space="preserve"> </w:t>
            </w:r>
            <w:r w:rsidRPr="00B46C81">
              <w:t>бумагам,</w:t>
            </w:r>
            <w:r w:rsidR="00E572BF">
              <w:t xml:space="preserve"> </w:t>
            </w:r>
            <w:r w:rsidRPr="00B46C81">
              <w:t>оцениваемым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амортизированной</w:t>
            </w:r>
            <w:r w:rsidR="00E572BF">
              <w:t xml:space="preserve"> </w:t>
            </w:r>
            <w:r w:rsidRPr="00B46C81">
              <w:t>стоимости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1567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0,07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-1717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-0,06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-3284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-0,13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5664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0,16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7381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0,22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прочим</w:t>
            </w:r>
            <w:r w:rsidR="00E572BF">
              <w:t xml:space="preserve"> </w:t>
            </w:r>
            <w:r w:rsidRPr="00B46C81">
              <w:t>потерям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-77131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-3,42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-211921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-7,11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-134790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-3,69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-155133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-4,41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56788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2,70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Прочие</w:t>
            </w:r>
            <w:r w:rsidR="00E572BF">
              <w:t xml:space="preserve"> </w:t>
            </w:r>
            <w:r w:rsidRPr="00B46C81">
              <w:t>операционные</w:t>
            </w:r>
            <w:r w:rsidR="00E572BF">
              <w:t xml:space="preserve"> </w:t>
            </w:r>
            <w:r w:rsidRPr="00B46C81">
              <w:t>доходы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206990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9,18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425947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14,28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218957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5,10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148237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4,21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-277710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-10,07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(расходы)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2147336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95,28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2217298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74,34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69962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-20,94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2977977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84,57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760679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10,23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Операционные</w:t>
            </w:r>
            <w:r w:rsidR="00E572BF">
              <w:t xml:space="preserve"> </w:t>
            </w:r>
            <w:r w:rsidRPr="00B46C81">
              <w:t>расходы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1446586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64,19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1533901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51,43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87315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-12,76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1777561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50,48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243660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-0,95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продолжающейся</w:t>
            </w:r>
            <w:r w:rsidR="00E572BF">
              <w:t xml:space="preserve"> </w:t>
            </w:r>
            <w:r w:rsidRPr="00B46C81">
              <w:t>деятельности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544603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24,16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533293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17,88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-11310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-6,28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955631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27,14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422338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9,26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до</w:t>
            </w:r>
            <w:r w:rsidR="00E572BF">
              <w:t xml:space="preserve"> </w:t>
            </w:r>
            <w:r w:rsidRPr="00B46C81">
              <w:t>налогообложения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700750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31,09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683397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22,91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-17353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-8,18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1200416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34,09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517019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11,18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Возмещение</w:t>
            </w:r>
            <w:r w:rsidR="00E572BF">
              <w:t xml:space="preserve"> </w:t>
            </w:r>
            <w:r w:rsidRPr="00B46C81">
              <w:t>(расход)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налогам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156147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6,93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150104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5,03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-6043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-1,90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244785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6,95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94681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1,92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за</w:t>
            </w:r>
            <w:r w:rsidR="00E572BF">
              <w:t xml:space="preserve"> </w:t>
            </w:r>
            <w:r w:rsidRPr="00B46C81">
              <w:t>отчетный</w:t>
            </w:r>
            <w:r w:rsidR="00E572BF">
              <w:t xml:space="preserve"> </w:t>
            </w:r>
            <w:r w:rsidRPr="00B46C81">
              <w:t>период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544603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24,16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533293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17,88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-11310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-6,28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955631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27,14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422338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9,26</w:t>
            </w:r>
          </w:p>
        </w:tc>
      </w:tr>
    </w:tbl>
    <w:p w:rsidR="008E1B76" w:rsidRDefault="008E1B76" w:rsidP="008E1B76">
      <w:pPr>
        <w:tabs>
          <w:tab w:val="left" w:pos="1134"/>
        </w:tabs>
        <w:ind w:firstLine="0"/>
        <w:rPr>
          <w:rFonts w:cs="Times New Roman"/>
          <w:szCs w:val="28"/>
        </w:rPr>
        <w:sectPr w:rsidR="008E1B76" w:rsidSect="006B5EB1">
          <w:footerReference w:type="default" r:id="rId28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lastRenderedPageBreak/>
        <w:t>Анализ показателей доходов и расходов в разрезе их источников позволяет сделать следующие выводы: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1.</w:t>
      </w:r>
      <w:r w:rsidRPr="002F04F3">
        <w:rPr>
          <w:rFonts w:cs="Times New Roman"/>
          <w:szCs w:val="28"/>
        </w:rPr>
        <w:tab/>
        <w:t>Общая сумма процентных доходов увеличилась на 728 886 тыс. руб. с 2 253 708 тыс. руб. в 2021 году до 2 982 594 тыс. руб. в 2022 году. В 2023 году прирост составил 538 687 тыс. рублей и данный показатель достиг значения в 3 521 271 тыс. рублей.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2.</w:t>
      </w:r>
      <w:r w:rsidRPr="002F04F3">
        <w:rPr>
          <w:rFonts w:cs="Times New Roman"/>
          <w:szCs w:val="28"/>
        </w:rPr>
        <w:tab/>
        <w:t>Процентные расходы в 2022 году составили 1 360 414 тыс. руб., что на 678158 тыс. руб. или на 15,34% больше, чем в 2021 году. В 2023 году данный показатель сменил тренд на уменьшение и составил 1 280 892 тыс. рублей (уменьшение на 79 522 тыс. рублей).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3.</w:t>
      </w:r>
      <w:r w:rsidRPr="002F04F3">
        <w:rPr>
          <w:rFonts w:cs="Times New Roman"/>
          <w:szCs w:val="28"/>
        </w:rPr>
        <w:tab/>
        <w:t>Чистые процентные доходы возросли на 50 728 тыс. руб. на уменьшились в процентном исчислении на 15,34% – с 1 571 452 тыс. руб. в 2021 году до 1 622 180 тыс. руб. в 2022 году. В 2023 году чистые процентные доходы также возросли на 618 209 тыс. рублей (увеличение на 9,23%).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4.</w:t>
      </w:r>
      <w:r w:rsidRPr="002F04F3">
        <w:rPr>
          <w:rFonts w:cs="Times New Roman"/>
          <w:szCs w:val="28"/>
        </w:rPr>
        <w:tab/>
        <w:t>Чистые процентные доходы после создания резервов на возможные потери уменьшились на 15,34% – с 1 3</w:t>
      </w:r>
      <w:r w:rsidR="00204164">
        <w:rPr>
          <w:rFonts w:cs="Times New Roman"/>
          <w:szCs w:val="28"/>
        </w:rPr>
        <w:t>21 820 тыс. руб. в 2021 году до</w:t>
      </w:r>
      <w:r w:rsidR="00204164">
        <w:rPr>
          <w:rFonts w:cs="Times New Roman"/>
          <w:szCs w:val="28"/>
        </w:rPr>
        <w:br/>
      </w:r>
      <w:r w:rsidRPr="002F04F3">
        <w:rPr>
          <w:rFonts w:cs="Times New Roman"/>
          <w:szCs w:val="28"/>
        </w:rPr>
        <w:t>1 302 670 тыс. руб. в 2022 году. В 2023 году также увеличились на 698 313 тыс. рублей (увеличение на 13,15%).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5.</w:t>
      </w:r>
      <w:r w:rsidRPr="002F04F3">
        <w:rPr>
          <w:rFonts w:cs="Times New Roman"/>
          <w:szCs w:val="28"/>
        </w:rPr>
        <w:tab/>
        <w:t>Изменение резервов на возможные потери и оценочного резерва под ожидаемые кредитные убытки в 2022 году составило -319 510 тыс. руб., что на 69 878 тыс. руб. или на 0,37% меньше, чем в 2021 году. В 2023 году данный показатель составил -239 406 тыс. рублей, что на 3,91% больше значения 2022 года.</w:t>
      </w:r>
    </w:p>
    <w:p w:rsidR="00B913FB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 xml:space="preserve">Таким образом, можно сделать вывод о снижении эффективности </w:t>
      </w:r>
      <w:r w:rsidR="006C0462">
        <w:rPr>
          <w:rFonts w:cs="Times New Roman"/>
          <w:szCs w:val="28"/>
        </w:rPr>
        <w:t>деятельности</w:t>
      </w:r>
      <w:r w:rsidRPr="002F04F3">
        <w:rPr>
          <w:rFonts w:cs="Times New Roman"/>
          <w:szCs w:val="28"/>
        </w:rPr>
        <w:t xml:space="preserve"> в 2022 году по сравнению с 2021 годом, что может свидетельствовать о негативных тенденциях в работе банка и необходимости принятия мер для улучшения финансовых результатов. В 2023 году большая часть показателей изменила динамику на противоположную, что может свидетельство</w:t>
      </w:r>
      <w:r w:rsidRPr="002F04F3">
        <w:rPr>
          <w:rFonts w:cs="Times New Roman"/>
          <w:szCs w:val="28"/>
        </w:rPr>
        <w:lastRenderedPageBreak/>
        <w:t>вать о принятии руководством компании мер по стабилизации финансовой деятельности.</w:t>
      </w:r>
    </w:p>
    <w:p w:rsidR="00383A4D" w:rsidRPr="001B301B" w:rsidRDefault="007626A6" w:rsidP="0043766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означают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Низкие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связаны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недостаточной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величиной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клиентской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консервативной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инвестиционной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политикой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Если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превышает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средние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системе,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то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следствием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значительной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доли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дешевой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клиентской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базы,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удачных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спекулятивных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высоко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прибыльные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операции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[6]</w:t>
      </w:r>
      <w:r w:rsidR="007E2390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F86B17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F86B17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9.</w:t>
      </w:r>
    </w:p>
    <w:p w:rsidR="00452BA1" w:rsidRPr="001B301B" w:rsidRDefault="00452BA1" w:rsidP="006C673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  <w:r w:rsidR="006C673E"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C673E" w:rsidRPr="001B301B">
        <w:rPr>
          <w:rFonts w:cs="Times New Roman"/>
          <w:szCs w:val="28"/>
        </w:rPr>
        <w:t>%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266"/>
        <w:gridCol w:w="1166"/>
        <w:gridCol w:w="915"/>
        <w:gridCol w:w="1547"/>
        <w:gridCol w:w="915"/>
        <w:gridCol w:w="1547"/>
      </w:tblGrid>
      <w:tr w:rsidR="00863308" w:rsidRPr="00863308" w:rsidTr="00E74FE4">
        <w:trPr>
          <w:trHeight w:val="843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Показатели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2021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2022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2021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2023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2023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</w:tr>
      <w:tr w:rsidR="0086330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активов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0,013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</w:t>
            </w:r>
            <w:r w:rsidR="006C0462"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-0,019</w:t>
            </w:r>
          </w:p>
        </w:tc>
      </w:tr>
      <w:tr w:rsidR="002E1838" w:rsidRPr="00863308" w:rsidTr="00E74FE4">
        <w:trPr>
          <w:trHeight w:val="58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собственного</w:t>
            </w:r>
            <w:r w:rsidR="00E572BF">
              <w:t xml:space="preserve"> </w:t>
            </w:r>
            <w:r w:rsidRPr="00863308">
              <w:t>капитала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Спрэд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</w:t>
            </w:r>
            <w:r w:rsidR="0052302A">
              <w:t>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0,19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Чистая</w:t>
            </w:r>
            <w:r w:rsidR="00E572BF">
              <w:t xml:space="preserve"> </w:t>
            </w:r>
            <w:r w:rsidRPr="00863308">
              <w:t>процентная</w:t>
            </w:r>
            <w:r w:rsidR="00E572BF">
              <w:t xml:space="preserve"> </w:t>
            </w:r>
            <w:r w:rsidRPr="00863308">
              <w:t>маржа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-0,014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0,02</w:t>
            </w:r>
            <w:r w:rsidR="0052302A">
              <w:t>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-0,003</w:t>
            </w:r>
          </w:p>
        </w:tc>
      </w:tr>
      <w:tr w:rsidR="002E1838" w:rsidRPr="00863308" w:rsidTr="00E74FE4">
        <w:trPr>
          <w:trHeight w:val="583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Отношение</w:t>
            </w:r>
            <w:r w:rsidR="00E572BF">
              <w:t xml:space="preserve"> </w:t>
            </w:r>
            <w:r w:rsidRPr="00863308">
              <w:t>операционных</w:t>
            </w:r>
            <w:r w:rsidR="00E572BF">
              <w:t xml:space="preserve"> </w:t>
            </w:r>
            <w:r w:rsidRPr="00863308">
              <w:t>расходов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операционным</w:t>
            </w:r>
            <w:r w:rsidR="00E572BF">
              <w:t xml:space="preserve"> </w:t>
            </w:r>
            <w:r w:rsidRPr="00863308">
              <w:t>доходам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0,756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2,105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1,349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3,015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0,91</w:t>
            </w:r>
            <w:r w:rsidR="0052302A">
              <w:t>0</w:t>
            </w:r>
          </w:p>
        </w:tc>
      </w:tr>
    </w:tbl>
    <w:p w:rsidR="00B913FB" w:rsidRDefault="00B913FB" w:rsidP="00C35A3E">
      <w:pPr>
        <w:rPr>
          <w:rFonts w:cs="Times New Roman"/>
          <w:szCs w:val="28"/>
        </w:rPr>
      </w:pPr>
    </w:p>
    <w:p w:rsidR="005D2F49" w:rsidRPr="001B301B" w:rsidRDefault="00726A0D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71D10">
        <w:rPr>
          <w:rFonts w:cs="Times New Roman"/>
          <w:szCs w:val="28"/>
        </w:rPr>
        <w:t>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ставится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EF6DF0">
        <w:rPr>
          <w:rFonts w:cs="Times New Roman"/>
          <w:szCs w:val="28"/>
        </w:rPr>
        <w:t>понизилась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202</w:t>
      </w:r>
      <w:r w:rsidR="00EF6DF0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менее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С</w:t>
      </w:r>
      <w:r w:rsidR="00C35A3E" w:rsidRPr="001B301B">
        <w:rPr>
          <w:rFonts w:cs="Times New Roman"/>
          <w:szCs w:val="28"/>
        </w:rPr>
        <w:t>нижение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="00B71FAD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испытывать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владельцев.</w:t>
      </w:r>
    </w:p>
    <w:p w:rsidR="005D2F49" w:rsidRPr="001B301B" w:rsidRDefault="00C35A3E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Спрэд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указанный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период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банка.</w:t>
      </w:r>
    </w:p>
    <w:p w:rsidR="00B9560F" w:rsidRDefault="00C35A3E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Самым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значительным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lastRenderedPageBreak/>
        <w:t>раза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полтора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раза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рационализацию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умеренном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росте,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существует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некоторая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тревога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маржи.</w:t>
      </w:r>
    </w:p>
    <w:p w:rsidR="008F76DD" w:rsidRDefault="008F76DD" w:rsidP="00C35A3E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B9560F" w:rsidRPr="001B301B" w:rsidRDefault="00B9560F" w:rsidP="00B9560F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735"/>
        <w:gridCol w:w="810"/>
        <w:gridCol w:w="690"/>
        <w:gridCol w:w="1662"/>
        <w:gridCol w:w="831"/>
        <w:gridCol w:w="1628"/>
      </w:tblGrid>
      <w:tr w:rsidR="002119D5" w:rsidRPr="002119D5" w:rsidTr="00E74FE4">
        <w:trPr>
          <w:trHeight w:val="290"/>
        </w:trPr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  <w:jc w:val="center"/>
            </w:pPr>
            <w:r w:rsidRPr="002119D5">
              <w:t>Показатели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06"/>
              <w:jc w:val="center"/>
            </w:pP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20"/>
              <w:jc w:val="right"/>
            </w:pP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241" w:right="-27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2022</w:t>
            </w:r>
            <w:r w:rsidR="00DC3A68">
              <w:br/>
              <w:t>к</w:t>
            </w:r>
            <w:r w:rsidR="00E572BF">
              <w:t xml:space="preserve"> </w:t>
            </w:r>
            <w:r>
              <w:t>2021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06"/>
              <w:jc w:val="center"/>
            </w:pPr>
            <w:r w:rsidRPr="002119D5">
              <w:t>2023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12" w:right="-27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2023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Рентабельность</w:t>
            </w:r>
            <w:r w:rsidR="00E572BF">
              <w:t xml:space="preserve"> </w:t>
            </w:r>
            <w:r w:rsidRPr="002119D5">
              <w:t>активов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0,27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0,11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Рентабельность</w:t>
            </w:r>
            <w:r w:rsidR="00E572BF">
              <w:t xml:space="preserve"> </w:t>
            </w:r>
            <w:r w:rsidRPr="002119D5">
              <w:t>собственного</w:t>
            </w:r>
            <w:r>
              <w:br/>
            </w:r>
            <w:r w:rsidRPr="002119D5">
              <w:t>капитала</w:t>
            </w:r>
            <w:r w:rsidR="00E572BF">
              <w:t xml:space="preserve"> 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0,18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0,07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Спрэд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0,08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0,03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Чистая</w:t>
            </w:r>
            <w:r w:rsidR="00E572BF">
              <w:t xml:space="preserve"> </w:t>
            </w:r>
            <w:r w:rsidRPr="002119D5">
              <w:t>процентная</w:t>
            </w:r>
            <w:r w:rsidR="00E572BF">
              <w:t xml:space="preserve"> </w:t>
            </w:r>
            <w:r w:rsidRPr="002119D5">
              <w:t>маржа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0,06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0,01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Отношение</w:t>
            </w:r>
            <w:r w:rsidR="00E572BF">
              <w:t xml:space="preserve"> </w:t>
            </w:r>
            <w:r w:rsidRPr="002119D5">
              <w:t>операционных</w:t>
            </w:r>
            <w:r w:rsidR="00E572BF">
              <w:t xml:space="preserve"> </w:t>
            </w:r>
            <w:r w:rsidRPr="002119D5">
              <w:t>расходов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операционным</w:t>
            </w:r>
            <w:r w:rsidR="00E572BF">
              <w:t xml:space="preserve"> </w:t>
            </w:r>
            <w:r w:rsidRPr="002119D5">
              <w:t>доходам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6,99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3,60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-3,39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11,99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8,39</w:t>
            </w:r>
          </w:p>
        </w:tc>
      </w:tr>
    </w:tbl>
    <w:p w:rsidR="00371D10" w:rsidRDefault="00371D10" w:rsidP="00B9560F">
      <w:pPr>
        <w:rPr>
          <w:rFonts w:cs="Times New Roman"/>
          <w:szCs w:val="28"/>
        </w:rPr>
      </w:pPr>
    </w:p>
    <w:p w:rsidR="00B9560F" w:rsidRPr="00E80464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71D10"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ставится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</w:t>
      </w:r>
      <w:r w:rsidR="00F235D1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испытывал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владельцев.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вновь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вырос,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0,18.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решил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проблемы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владельцев.</w:t>
      </w:r>
    </w:p>
    <w:p w:rsidR="00B9560F" w:rsidRPr="000539BC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Спрэд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</w:t>
      </w:r>
      <w:r w:rsidR="00D911C5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немного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увеличился,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компенсировав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падение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прошло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года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уже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незначительный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количестве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0,1.</w:t>
      </w:r>
    </w:p>
    <w:p w:rsidR="00123A5B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Самым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значительным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</w:t>
      </w:r>
      <w:r w:rsidRPr="001B301B">
        <w:rPr>
          <w:rFonts w:cs="Times New Roman"/>
          <w:szCs w:val="28"/>
        </w:rPr>
        <w:lastRenderedPageBreak/>
        <w:t>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рационализацию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им.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раза,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о</w:t>
      </w:r>
    </w:p>
    <w:p w:rsidR="00B9560F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умеренном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росте,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существует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некоторая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тревога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маржи.</w:t>
      </w:r>
    </w:p>
    <w:p w:rsidR="00DD459C" w:rsidRPr="001B301B" w:rsidRDefault="00DD459C" w:rsidP="00123A5B">
      <w:pPr>
        <w:rPr>
          <w:rFonts w:cs="Times New Roman"/>
          <w:szCs w:val="28"/>
        </w:rPr>
      </w:pPr>
      <w:r w:rsidRPr="00DD459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важной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составляющей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процесса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рисками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стабильности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банковского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сектора.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Правильное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позволяет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банкам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снизить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свои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риски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сохранить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доверие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клиентов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инвесторов.</w:t>
      </w:r>
    </w:p>
    <w:p w:rsidR="0015612D" w:rsidRPr="001B301B" w:rsidRDefault="004A49B5" w:rsidP="00123A5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условий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финансирования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страны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РФ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установил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Проанализируем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нормативы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[7]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11.</w:t>
      </w:r>
    </w:p>
    <w:p w:rsidR="00081968" w:rsidRPr="00081968" w:rsidRDefault="00081968" w:rsidP="00123A5B">
      <w:pPr>
        <w:spacing w:after="200" w:line="276" w:lineRule="auto"/>
        <w:rPr>
          <w:rFonts w:cs="Times New Roman"/>
        </w:rPr>
      </w:pPr>
      <w:r w:rsidRPr="00081968"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таблицы</w:t>
      </w:r>
      <w:r w:rsidR="00E572BF">
        <w:rPr>
          <w:rFonts w:cs="Times New Roman"/>
        </w:rPr>
        <w:t xml:space="preserve"> </w:t>
      </w:r>
      <w:r w:rsidR="00371D10">
        <w:rPr>
          <w:rFonts w:cs="Times New Roman"/>
        </w:rPr>
        <w:t>11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можно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сказать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следующее:</w:t>
      </w:r>
    </w:p>
    <w:p w:rsidR="00123A5B" w:rsidRDefault="00081968" w:rsidP="00123A5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  <w:r w:rsidRPr="00081968">
        <w:rPr>
          <w:rFonts w:cs="Times New Roman"/>
        </w:rPr>
        <w:t>Норматив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базового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(Н1.1)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норматив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основного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(Н1.2)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превышают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нормативные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значения,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свидетельствует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для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покрытия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рисков.</w:t>
      </w:r>
    </w:p>
    <w:p w:rsidR="0043766B" w:rsidRDefault="0043766B" w:rsidP="004376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  <w:r w:rsidRPr="00F950B6">
        <w:rPr>
          <w:rFonts w:cs="Times New Roman"/>
        </w:rPr>
        <w:t>Норматив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достаточности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собственных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средств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(капитала)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(Н1.0)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превышает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нормативное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значение.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Это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указывать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некоторое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улучшение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финансового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положения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банка.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мгновенной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ликвидности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(Н2)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значительно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выше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нормативного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значения,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что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свидетельствовать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значительной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ликвидности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банка.</w:t>
      </w:r>
    </w:p>
    <w:p w:rsidR="0043766B" w:rsidRPr="0043766B" w:rsidRDefault="0043766B" w:rsidP="004376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</w:p>
    <w:p w:rsidR="00123A5B" w:rsidRDefault="00123A5B" w:rsidP="00123A5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  <w:sectPr w:rsidR="00123A5B" w:rsidSect="006B5EB1">
          <w:footerReference w:type="default" r:id="rId29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3D2890" w:rsidRPr="001B301B" w:rsidRDefault="003D2890" w:rsidP="003D2890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269"/>
        <w:gridCol w:w="2027"/>
        <w:gridCol w:w="1183"/>
        <w:gridCol w:w="1183"/>
        <w:gridCol w:w="1450"/>
        <w:gridCol w:w="1946"/>
        <w:gridCol w:w="1488"/>
        <w:gridCol w:w="1291"/>
        <w:gridCol w:w="1665"/>
      </w:tblGrid>
      <w:tr w:rsidR="003D2890" w:rsidRPr="002119D5" w:rsidTr="006B5EB1">
        <w:trPr>
          <w:trHeight w:val="290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211E73">
            <w:pPr>
              <w:pStyle w:val="af1"/>
              <w:jc w:val="center"/>
            </w:pPr>
            <w:r w:rsidRPr="002119D5">
              <w:t>Показатели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E73" w:rsidRDefault="00211E73" w:rsidP="0085306C">
            <w:pPr>
              <w:pStyle w:val="af1"/>
              <w:ind w:left="-12" w:right="-45"/>
              <w:jc w:val="center"/>
            </w:pPr>
            <w:r>
              <w:t>Нормативное</w:t>
            </w:r>
          </w:p>
          <w:p w:rsidR="003D2890" w:rsidRPr="002119D5" w:rsidRDefault="003D2890" w:rsidP="0085306C">
            <w:pPr>
              <w:pStyle w:val="af1"/>
              <w:ind w:left="-12" w:right="-45"/>
              <w:jc w:val="center"/>
            </w:pPr>
            <w:r w:rsidRPr="002119D5">
              <w:t>значение</w:t>
            </w:r>
          </w:p>
        </w:tc>
        <w:tc>
          <w:tcPr>
            <w:tcW w:w="8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0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2023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</w:tr>
      <w:tr w:rsidR="003D2890" w:rsidRPr="002119D5" w:rsidTr="006B5EB1">
        <w:trPr>
          <w:trHeight w:val="1055"/>
        </w:trPr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</w:pP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2" w:right="-45"/>
              <w:jc w:val="center"/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211E73">
              <w:t>нормативному</w:t>
            </w:r>
            <w:r w:rsidR="00211E73">
              <w:br/>
            </w:r>
            <w:r w:rsidRPr="002119D5">
              <w:t>значению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2023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211E73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3D2890">
              <w:t>нормативному</w:t>
            </w:r>
            <w:r w:rsidR="003D2890">
              <w:br/>
            </w:r>
            <w:r w:rsidR="003D2890" w:rsidRPr="002119D5">
              <w:t>значению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базового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(Н1.1)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11,79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10,68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-0,31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основного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11,94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собственных</w:t>
            </w:r>
            <w:r w:rsidR="00E572BF">
              <w:t xml:space="preserve"> </w:t>
            </w:r>
            <w:r w:rsidRPr="002119D5">
              <w:t>средств</w:t>
            </w:r>
            <w:r w:rsidR="00E572BF">
              <w:t xml:space="preserve"> </w:t>
            </w:r>
            <w:r w:rsidRPr="002119D5">
              <w:t>(капитала)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(Н1.0)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18,75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16,88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-1,87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8,88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16,74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8,74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мгновенной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15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129,28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-73,25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111,81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55,78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96,81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текущей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(Н3)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50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125,43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117,27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-7,76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67,27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долгосрочной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(Н4)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≤</w:t>
            </w:r>
            <w:r w:rsidR="00E572BF">
              <w:t xml:space="preserve"> </w:t>
            </w:r>
            <w:r w:rsidRPr="002119D5">
              <w:t>120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67,78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-12,54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-64,76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61,98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6,74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-58,02</w:t>
            </w:r>
          </w:p>
        </w:tc>
      </w:tr>
    </w:tbl>
    <w:p w:rsidR="003D2890" w:rsidRPr="001B301B" w:rsidRDefault="003D2890" w:rsidP="003D2890">
      <w:pPr>
        <w:rPr>
          <w:rFonts w:cs="Times New Roman"/>
        </w:rPr>
      </w:pPr>
    </w:p>
    <w:p w:rsidR="003D2890" w:rsidRDefault="003D2890" w:rsidP="003D2890">
      <w:pPr>
        <w:tabs>
          <w:tab w:val="left" w:pos="1134"/>
        </w:tabs>
        <w:jc w:val="left"/>
        <w:rPr>
          <w:rFonts w:cs="Times New Roman"/>
        </w:rPr>
        <w:sectPr w:rsidR="003D2890" w:rsidSect="006B5EB1">
          <w:footerReference w:type="default" r:id="rId30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123A5B" w:rsidRDefault="00123A5B" w:rsidP="00AE2B30">
      <w:pPr>
        <w:rPr>
          <w:rFonts w:cs="Times New Roman"/>
        </w:rPr>
      </w:pPr>
      <w:r w:rsidRPr="00081968">
        <w:rPr>
          <w:rFonts w:cs="Times New Roman"/>
        </w:rPr>
        <w:lastRenderedPageBreak/>
        <w:t>Таким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образом,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можно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сделать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вывод,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что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у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есть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проблемы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ликвидностью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краткосрочной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перспективе,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но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целом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капитал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достаточен,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хотя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имеются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некоторые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отклонения.</w:t>
      </w:r>
    </w:p>
    <w:p w:rsidR="008F76DD" w:rsidRDefault="008F76DD" w:rsidP="00AE2B30">
      <w:pPr>
        <w:rPr>
          <w:rFonts w:cs="Times New Roman"/>
        </w:rPr>
      </w:pPr>
      <w:r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таблице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12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представлен</w:t>
      </w:r>
      <w:r w:rsidR="00E572BF">
        <w:rPr>
          <w:rFonts w:cs="Times New Roman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724E50" w:rsidRDefault="00B9560F" w:rsidP="00AE2B30">
      <w:pPr>
        <w:rPr>
          <w:rFonts w:cs="Times New Roman"/>
        </w:rPr>
      </w:pPr>
      <w:r w:rsidRPr="001B301B"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анализа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таблицы</w:t>
      </w:r>
      <w:r w:rsidR="00E572BF">
        <w:rPr>
          <w:rFonts w:cs="Times New Roman"/>
        </w:rPr>
        <w:t xml:space="preserve"> </w:t>
      </w:r>
      <w:r w:rsidR="00724E50">
        <w:rPr>
          <w:rFonts w:cs="Times New Roman"/>
        </w:rPr>
        <w:t>12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становится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ясно,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банк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проводит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свою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деятельность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пределах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необходимых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нормативов,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причем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большим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запасом.</w:t>
      </w:r>
    </w:p>
    <w:p w:rsidR="0085306C" w:rsidRDefault="00724E50" w:rsidP="00AE2B30">
      <w:pPr>
        <w:rPr>
          <w:rFonts w:cs="Times New Roman"/>
        </w:rPr>
      </w:pPr>
      <w:r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проведенного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анализа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банковских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нормативов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видно,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проводят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свою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деятельность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строгом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соответствии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требованиями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России</w:t>
      </w:r>
      <w:r w:rsidR="00E3350C" w:rsidRPr="00E3350C">
        <w:rPr>
          <w:rFonts w:cs="Times New Roman"/>
        </w:rPr>
        <w:t>.</w:t>
      </w:r>
      <w:r w:rsidR="00E572BF">
        <w:rPr>
          <w:rFonts w:cs="Times New Roman"/>
        </w:rPr>
        <w:t xml:space="preserve"> </w:t>
      </w:r>
      <w:r w:rsidR="008141D6">
        <w:rPr>
          <w:rFonts w:cs="Times New Roman"/>
        </w:rPr>
        <w:t>Однако</w:t>
      </w:r>
      <w:r w:rsidR="00E3350C"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если</w:t>
      </w:r>
      <w:r w:rsidR="00E572BF">
        <w:rPr>
          <w:rFonts w:cs="Times New Roman"/>
        </w:rPr>
        <w:t xml:space="preserve"> </w:t>
      </w:r>
      <w:r w:rsidR="00614141" w:rsidRPr="001B301B">
        <w:t>ООО</w:t>
      </w:r>
      <w:r w:rsidR="00E572BF">
        <w:t xml:space="preserve"> </w:t>
      </w:r>
      <w:r w:rsidR="00614141" w:rsidRPr="001B301B">
        <w:t>Банк</w:t>
      </w:r>
      <w:r w:rsidR="00E572BF">
        <w:t xml:space="preserve"> </w:t>
      </w:r>
      <w:r w:rsidR="00614141" w:rsidRPr="001B301B">
        <w:t>«Хлынов»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укрепил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свои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нормативы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2022-2023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годах</w:t>
      </w:r>
      <w:r w:rsidR="00E3350C"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то</w:t>
      </w:r>
      <w:r w:rsidR="00E572BF">
        <w:rPr>
          <w:rFonts w:cs="Times New Roman"/>
        </w:rPr>
        <w:t xml:space="preserve"> </w:t>
      </w:r>
      <w:r w:rsidR="00614141">
        <w:t>АО</w:t>
      </w:r>
      <w:r w:rsidR="00E572BF">
        <w:t xml:space="preserve"> </w:t>
      </w:r>
      <w:r w:rsidR="00614141">
        <w:t>Банку</w:t>
      </w:r>
      <w:r w:rsidR="00E572BF">
        <w:t xml:space="preserve"> </w:t>
      </w:r>
      <w:r w:rsidR="00614141">
        <w:t>«Венец»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стоит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настороженно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отнестись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к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своей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деятельности,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т.к.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за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год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нормативы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очень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просели</w:t>
      </w:r>
      <w:r>
        <w:rPr>
          <w:rFonts w:cs="Times New Roman"/>
        </w:rPr>
        <w:t>.</w:t>
      </w:r>
    </w:p>
    <w:p w:rsidR="0085306C" w:rsidRDefault="0085306C" w:rsidP="00AE2B30">
      <w:pPr>
        <w:rPr>
          <w:rFonts w:cs="Times New Roman"/>
        </w:rPr>
        <w:sectPr w:rsidR="0085306C" w:rsidSect="00955027">
          <w:footerReference w:type="default" r:id="rId31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85306C" w:rsidRDefault="0085306C" w:rsidP="00144D16">
      <w:pPr>
        <w:ind w:firstLine="0"/>
        <w:rPr>
          <w:rFonts w:cs="Times New Roman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4936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201"/>
        <w:gridCol w:w="1337"/>
        <w:gridCol w:w="991"/>
        <w:gridCol w:w="1134"/>
        <w:gridCol w:w="1137"/>
        <w:gridCol w:w="1981"/>
        <w:gridCol w:w="1277"/>
        <w:gridCol w:w="1560"/>
        <w:gridCol w:w="1698"/>
      </w:tblGrid>
      <w:tr w:rsidR="00F056BD" w:rsidRPr="0085306C" w:rsidTr="005E2850">
        <w:trPr>
          <w:trHeight w:val="290"/>
        </w:trPr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211E73">
            <w:pPr>
              <w:pStyle w:val="af1"/>
              <w:jc w:val="center"/>
            </w:pPr>
            <w:r w:rsidRPr="0085306C">
              <w:t>Показатели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Нормативное</w:t>
            </w:r>
            <w:r w:rsidR="00E572BF">
              <w:t xml:space="preserve"> </w:t>
            </w:r>
            <w:r w:rsidRPr="0085306C">
              <w:t>значение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Значение</w:t>
            </w: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Изменения</w:t>
            </w:r>
            <w:r w:rsidR="00E572BF">
              <w:t xml:space="preserve"> </w:t>
            </w:r>
            <w:r w:rsidRPr="0085306C">
              <w:t>2022</w:t>
            </w:r>
            <w:r w:rsidR="00E572BF">
              <w:t xml:space="preserve"> </w:t>
            </w:r>
            <w:r w:rsidRPr="0085306C">
              <w:t>к</w:t>
            </w:r>
            <w:r w:rsidR="00E572BF">
              <w:t xml:space="preserve"> </w:t>
            </w:r>
            <w:r w:rsidRPr="0085306C">
              <w:t>2021</w:t>
            </w:r>
            <w:r w:rsidR="00E572BF">
              <w:t xml:space="preserve"> </w:t>
            </w:r>
            <w:r w:rsidRPr="0085306C">
              <w:t>(+,</w:t>
            </w:r>
            <w:r w:rsidR="00E572BF">
              <w:t xml:space="preserve"> </w:t>
            </w:r>
            <w:r w:rsidRPr="0085306C">
              <w:t>-)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Значение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Изменения</w:t>
            </w:r>
            <w:r w:rsidR="00E572BF">
              <w:t xml:space="preserve"> </w:t>
            </w:r>
            <w:r w:rsidRPr="0085306C">
              <w:t>2023</w:t>
            </w:r>
            <w:r w:rsidR="00E572BF">
              <w:t xml:space="preserve"> </w:t>
            </w:r>
            <w:r w:rsidRPr="0085306C">
              <w:t>к</w:t>
            </w:r>
            <w:r w:rsidR="00E572BF">
              <w:t xml:space="preserve"> </w:t>
            </w:r>
            <w:r w:rsidRPr="0085306C">
              <w:t>2022</w:t>
            </w:r>
            <w:r w:rsidR="00E572BF">
              <w:t xml:space="preserve"> </w:t>
            </w:r>
            <w:r w:rsidRPr="0085306C">
              <w:t>(+,</w:t>
            </w:r>
            <w:r w:rsidR="00E572BF">
              <w:t xml:space="preserve"> </w:t>
            </w:r>
            <w:r w:rsidRPr="0085306C">
              <w:t>-)</w:t>
            </w:r>
          </w:p>
        </w:tc>
      </w:tr>
      <w:tr w:rsidR="005E2850" w:rsidRPr="0085306C" w:rsidTr="005E2850">
        <w:trPr>
          <w:trHeight w:val="870"/>
        </w:trPr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</w:p>
        </w:tc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2021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2022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2021</w:t>
            </w:r>
            <w:r w:rsidR="00E572BF">
              <w:t xml:space="preserve"> </w:t>
            </w:r>
            <w:r w:rsidR="0085306C" w:rsidRPr="0085306C">
              <w:t>г.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нормативному</w:t>
            </w:r>
            <w:r w:rsidR="00E572BF">
              <w:t xml:space="preserve"> </w:t>
            </w:r>
            <w:r w:rsidR="0085306C" w:rsidRPr="0085306C">
              <w:t>значению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2023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>
              <w:br/>
            </w:r>
            <w:r w:rsidR="0085306C" w:rsidRPr="0085306C">
              <w:t>к</w:t>
            </w:r>
            <w:r w:rsidR="00E572BF">
              <w:t xml:space="preserve"> </w:t>
            </w:r>
            <w:r w:rsidR="0085306C" w:rsidRPr="0085306C">
              <w:t>2022</w:t>
            </w:r>
            <w:r w:rsidR="00E572BF">
              <w:t xml:space="preserve"> </w:t>
            </w:r>
            <w:r w:rsidR="0085306C" w:rsidRPr="0085306C">
              <w:t>г.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нормативному</w:t>
            </w:r>
            <w:r w:rsidR="00E572BF">
              <w:t xml:space="preserve"> </w:t>
            </w:r>
            <w:r w:rsidR="0085306C" w:rsidRPr="0085306C">
              <w:t>значению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базового</w:t>
            </w:r>
            <w:r w:rsidR="00E572BF">
              <w:t xml:space="preserve"> </w:t>
            </w:r>
            <w:r w:rsidRPr="0085306C">
              <w:t>капитала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(Н1.1)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4,5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12,61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12,93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0,32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8,43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10,85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-2,08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6,35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основного</w:t>
            </w:r>
            <w:r w:rsidR="00E572BF">
              <w:t xml:space="preserve"> </w:t>
            </w:r>
            <w:r w:rsidRPr="0085306C">
              <w:t>капитала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(Н1.2)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12,61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12,93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0,32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6,93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10,85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-2,08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4,85</w:t>
            </w:r>
          </w:p>
        </w:tc>
      </w:tr>
      <w:tr w:rsidR="005E2850" w:rsidRPr="0085306C" w:rsidTr="005E2850">
        <w:trPr>
          <w:trHeight w:val="58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собственных</w:t>
            </w:r>
            <w:r w:rsidR="00E572BF">
              <w:t xml:space="preserve"> </w:t>
            </w:r>
            <w:r w:rsidRPr="0085306C">
              <w:t>средств</w:t>
            </w:r>
            <w:r w:rsidR="00E572BF">
              <w:t xml:space="preserve"> </w:t>
            </w:r>
            <w:r w:rsidRPr="0085306C">
              <w:t>(капитала)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(Н1.0)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14,69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14,57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-0,12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6,57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13,74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-0,83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5,74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мгновенной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(Н2)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15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117,16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65,52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-51,64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50,52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110,16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44,64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95,16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текущей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(Н3)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270,36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198,50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-71,86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148,50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176,26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-22,24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126,26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долгосрочной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(Н4)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≤</w:t>
            </w:r>
            <w:r w:rsidR="00E572BF">
              <w:t xml:space="preserve"> </w:t>
            </w:r>
            <w:r w:rsidRPr="0085306C">
              <w:t>120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31,81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35,53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E51407" w:rsidRDefault="0085306C" w:rsidP="00E07838">
            <w:pPr>
              <w:pStyle w:val="af1"/>
              <w:jc w:val="center"/>
            </w:pPr>
            <w:r w:rsidRPr="0085306C">
              <w:t>3,72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84,47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31,82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-3,71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-88,18</w:t>
            </w:r>
          </w:p>
        </w:tc>
      </w:tr>
    </w:tbl>
    <w:p w:rsidR="0085306C" w:rsidRDefault="0085306C" w:rsidP="009F5F1B">
      <w:pPr>
        <w:rPr>
          <w:rFonts w:cs="Times New Roman"/>
        </w:rPr>
        <w:sectPr w:rsidR="0085306C" w:rsidSect="00EA516D">
          <w:footerReference w:type="default" r:id="rId32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9F5F1B" w:rsidRDefault="009F5F1B" w:rsidP="00CE2E4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большое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многое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насколько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производительно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ими</w:t>
      </w:r>
      <w:r w:rsidR="00E572BF">
        <w:rPr>
          <w:rFonts w:cs="Times New Roman"/>
          <w:szCs w:val="28"/>
        </w:rPr>
        <w:t xml:space="preserve"> </w:t>
      </w:r>
      <w:r w:rsidR="00D974A0">
        <w:rPr>
          <w:rFonts w:cs="Times New Roman"/>
          <w:szCs w:val="28"/>
        </w:rPr>
        <w:t>пользуется.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B913FB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«Венец».</w:t>
      </w:r>
    </w:p>
    <w:p w:rsidR="009F5F1B" w:rsidRPr="001B301B" w:rsidRDefault="009F5F1B" w:rsidP="009F5F1B">
      <w:pPr>
        <w:ind w:firstLine="0"/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B913FB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973"/>
        <w:gridCol w:w="971"/>
        <w:gridCol w:w="1523"/>
        <w:gridCol w:w="1663"/>
        <w:gridCol w:w="1351"/>
      </w:tblGrid>
      <w:tr w:rsidR="006B1D8E" w:rsidRPr="00181153" w:rsidTr="00C72ED2">
        <w:trPr>
          <w:trHeight w:val="483"/>
        </w:trPr>
        <w:tc>
          <w:tcPr>
            <w:tcW w:w="1536" w:type="pct"/>
            <w:vMerge w:val="restart"/>
            <w:shd w:val="clear" w:color="auto" w:fill="auto"/>
            <w:vAlign w:val="center"/>
            <w:hideMark/>
          </w:tcPr>
          <w:p w:rsidR="00380561" w:rsidRPr="00181153" w:rsidRDefault="00380561" w:rsidP="00F056BD">
            <w:pPr>
              <w:pStyle w:val="af1"/>
              <w:jc w:val="center"/>
            </w:pPr>
            <w:r w:rsidRPr="00181153">
              <w:t>Показатели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2021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2022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Изменения</w:t>
            </w:r>
            <w:r w:rsidR="00E572BF">
              <w:t xml:space="preserve"> </w:t>
            </w:r>
            <w:r w:rsidRPr="00181153">
              <w:t>2022</w:t>
            </w:r>
            <w:r w:rsidR="00E572BF">
              <w:t xml:space="preserve"> </w:t>
            </w:r>
            <w:r w:rsidRPr="00181153">
              <w:t>к</w:t>
            </w:r>
            <w:r w:rsidR="00E572BF">
              <w:t xml:space="preserve"> </w:t>
            </w:r>
            <w:r w:rsidRPr="00181153">
              <w:t>2021</w:t>
            </w:r>
            <w:r w:rsidR="00E572BF">
              <w:t xml:space="preserve"> </w:t>
            </w:r>
            <w:r w:rsidRPr="00181153">
              <w:t>(+,</w:t>
            </w:r>
            <w:r w:rsidR="00E572BF">
              <w:t xml:space="preserve"> </w:t>
            </w:r>
            <w:r w:rsidRPr="00181153">
              <w:t>-)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2023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722" w:type="pct"/>
            <w:vMerge w:val="restar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Изменения</w:t>
            </w:r>
            <w:r w:rsidR="00E572BF">
              <w:t xml:space="preserve"> </w:t>
            </w:r>
            <w:r w:rsidRPr="00181153">
              <w:t>2023</w:t>
            </w:r>
            <w:r w:rsidR="00E572BF">
              <w:t xml:space="preserve"> </w:t>
            </w:r>
            <w:r w:rsidRPr="00181153">
              <w:t>к</w:t>
            </w:r>
            <w:r w:rsidR="00E572BF">
              <w:t xml:space="preserve"> </w:t>
            </w:r>
            <w:r w:rsidRPr="00181153">
              <w:t>2022</w:t>
            </w:r>
            <w:r w:rsidR="00E572BF">
              <w:t xml:space="preserve"> </w:t>
            </w:r>
            <w:r w:rsidRPr="00181153">
              <w:t>(+,</w:t>
            </w:r>
            <w:r w:rsidR="00E572BF">
              <w:t xml:space="preserve"> </w:t>
            </w:r>
            <w:r w:rsidRPr="00181153">
              <w:t>-)</w:t>
            </w:r>
          </w:p>
        </w:tc>
      </w:tr>
      <w:tr w:rsidR="006B1D8E" w:rsidRPr="00181153" w:rsidTr="00C72ED2">
        <w:trPr>
          <w:trHeight w:val="408"/>
        </w:trPr>
        <w:tc>
          <w:tcPr>
            <w:tcW w:w="1536" w:type="pct"/>
            <w:vMerge/>
            <w:shd w:val="clear" w:color="auto" w:fill="auto"/>
            <w:vAlign w:val="center"/>
            <w:hideMark/>
          </w:tcPr>
          <w:p w:rsidR="00380561" w:rsidRPr="00181153" w:rsidRDefault="00380561" w:rsidP="00181153">
            <w:pPr>
              <w:pStyle w:val="af1"/>
            </w:pP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380561" w:rsidRPr="00181153" w:rsidRDefault="00181153" w:rsidP="002B7B00">
            <w:pPr>
              <w:pStyle w:val="af1"/>
              <w:ind w:left="-105" w:right="-249" w:hanging="141"/>
              <w:jc w:val="center"/>
            </w:pPr>
            <w:r>
              <w:t>тыс.</w:t>
            </w:r>
            <w:r w:rsidR="00E572BF">
              <w:t xml:space="preserve"> </w:t>
            </w:r>
            <w:r w:rsidR="00380561" w:rsidRPr="00181153">
              <w:t>руб.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ind w:left="-105" w:right="-249" w:hanging="149"/>
              <w:jc w:val="center"/>
            </w:pPr>
            <w:r w:rsidRPr="00181153">
              <w:t>тыс.</w:t>
            </w:r>
            <w:r w:rsidR="00E572BF">
              <w:t xml:space="preserve"> </w:t>
            </w:r>
            <w:r w:rsidRPr="00181153">
              <w:t>руб.</w:t>
            </w:r>
          </w:p>
        </w:tc>
        <w:tc>
          <w:tcPr>
            <w:tcW w:w="814" w:type="pct"/>
            <w:vMerge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</w:p>
        </w:tc>
        <w:tc>
          <w:tcPr>
            <w:tcW w:w="889" w:type="pc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  <w:r w:rsidRPr="00181153">
              <w:t>тыс.</w:t>
            </w:r>
            <w:r w:rsidR="00E572BF">
              <w:t xml:space="preserve"> </w:t>
            </w:r>
            <w:r w:rsidRPr="00181153">
              <w:t>руб.</w:t>
            </w:r>
          </w:p>
        </w:tc>
        <w:tc>
          <w:tcPr>
            <w:tcW w:w="722" w:type="pct"/>
            <w:vMerge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всего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Ссудная</w:t>
            </w:r>
            <w:r w:rsidR="00E572BF">
              <w:t xml:space="preserve"> </w:t>
            </w:r>
            <w:r w:rsidRPr="00181153">
              <w:t>задолженность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3948238</w:t>
            </w:r>
          </w:p>
        </w:tc>
        <w:tc>
          <w:tcPr>
            <w:tcW w:w="519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4170892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Вложения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ценные</w:t>
            </w:r>
            <w:r w:rsidR="00E572BF">
              <w:t xml:space="preserve"> </w:t>
            </w:r>
            <w:r w:rsidRPr="00181153">
              <w:t>бумаги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8776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-8776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приносящие</w:t>
            </w:r>
            <w:r w:rsidR="00E572BF">
              <w:t xml:space="preserve"> </w:t>
            </w:r>
            <w:r w:rsidRPr="00181153">
              <w:t>прямой</w:t>
            </w:r>
            <w:r w:rsidR="00E572BF">
              <w:t xml:space="preserve"> </w:t>
            </w:r>
            <w:r w:rsidRPr="00181153">
              <w:t>доход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3957014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4162116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То</w:t>
            </w:r>
            <w:r w:rsidR="00E572BF">
              <w:t xml:space="preserve"> </w:t>
            </w:r>
            <w:r w:rsidRPr="00181153">
              <w:t>же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%</w:t>
            </w:r>
            <w:r w:rsidR="00E572BF">
              <w:t xml:space="preserve"> </w:t>
            </w:r>
            <w:r w:rsidRPr="00181153">
              <w:t>от</w:t>
            </w:r>
            <w:r w:rsidR="00E572BF">
              <w:t xml:space="preserve"> </w:t>
            </w:r>
            <w:r w:rsidRPr="00181153">
              <w:t>общей</w:t>
            </w:r>
            <w:r w:rsidR="00E572BF">
              <w:t xml:space="preserve"> </w:t>
            </w:r>
            <w:r w:rsidRPr="00181153">
              <w:t>суммы</w:t>
            </w:r>
            <w:r w:rsidR="00E572BF">
              <w:t xml:space="preserve"> </w:t>
            </w:r>
            <w:r w:rsidRPr="00181153">
              <w:t>активов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76,63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85,98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9,35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88,85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2,87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взвешенные</w:t>
            </w:r>
            <w:r w:rsidR="00E572BF">
              <w:t xml:space="preserve"> </w:t>
            </w:r>
            <w:r w:rsidRPr="00181153">
              <w:t>с</w:t>
            </w:r>
            <w:r w:rsidR="00E572BF">
              <w:t xml:space="preserve"> </w:t>
            </w:r>
            <w:r w:rsidRPr="00181153">
              <w:t>учетом</w:t>
            </w:r>
            <w:r w:rsidR="00E572BF">
              <w:t xml:space="preserve"> </w:t>
            </w:r>
            <w:r w:rsidRPr="00181153">
              <w:t>риска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5683541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5390980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-292561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137C84" w:rsidRDefault="00137C84" w:rsidP="00137C84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5734826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343846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То</w:t>
            </w:r>
            <w:r w:rsidR="00E572BF">
              <w:t xml:space="preserve"> </w:t>
            </w:r>
            <w:r w:rsidRPr="00181153">
              <w:t>же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%</w:t>
            </w:r>
            <w:r w:rsidR="00E572BF">
              <w:t xml:space="preserve"> </w:t>
            </w:r>
            <w:r w:rsidRPr="00181153">
              <w:t>от</w:t>
            </w:r>
            <w:r w:rsidR="00E572BF">
              <w:t xml:space="preserve"> </w:t>
            </w:r>
            <w:r w:rsidRPr="00181153">
              <w:t>общей</w:t>
            </w:r>
            <w:r w:rsidR="00E572BF">
              <w:t xml:space="preserve"> </w:t>
            </w:r>
            <w:r w:rsidRPr="00181153">
              <w:t>суммы</w:t>
            </w:r>
            <w:r w:rsidR="00E572BF">
              <w:t xml:space="preserve"> </w:t>
            </w:r>
            <w:r w:rsidRPr="00181153">
              <w:t>активов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110,07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57,09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-52,98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53,62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-3,47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</w:t>
            </w:r>
            <w:r w:rsidR="00E572BF">
              <w:t xml:space="preserve"> </w:t>
            </w:r>
            <w:r w:rsidRPr="00181153">
              <w:t>(убыток)</w:t>
            </w:r>
            <w:r w:rsidR="00E572BF">
              <w:t xml:space="preserve">  </w:t>
            </w:r>
            <w:r w:rsidRPr="00181153">
              <w:t>за</w:t>
            </w:r>
            <w:r w:rsidR="00E572BF">
              <w:t xml:space="preserve"> </w:t>
            </w:r>
            <w:r w:rsidRPr="00181153">
              <w:t>отчетный</w:t>
            </w:r>
            <w:r w:rsidR="00E572BF">
              <w:t xml:space="preserve"> </w:t>
            </w:r>
            <w:r w:rsidRPr="00181153">
              <w:t>период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66473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-40298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-174955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-201130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Прибыльность</w:t>
            </w:r>
            <w:r w:rsidR="00E572BF">
              <w:t xml:space="preserve"> </w:t>
            </w:r>
            <w:r w:rsidRPr="00181153">
              <w:t>активов,</w:t>
            </w:r>
            <w:r w:rsidR="00E572BF">
              <w:t xml:space="preserve"> </w:t>
            </w:r>
            <w:r w:rsidRPr="00181153">
              <w:t>%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1,29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0,28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-1,01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0,53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0,25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Чистые</w:t>
            </w:r>
            <w:r w:rsidR="00E572BF">
              <w:t xml:space="preserve"> </w:t>
            </w:r>
            <w:r w:rsidRPr="00181153">
              <w:t>процентные</w:t>
            </w:r>
            <w:r w:rsidR="00E572BF">
              <w:t xml:space="preserve"> </w:t>
            </w:r>
            <w:r w:rsidRPr="00181153">
              <w:t>доходы</w:t>
            </w:r>
            <w:r w:rsidR="00E572BF">
              <w:t xml:space="preserve"> </w:t>
            </w:r>
            <w:r w:rsidRPr="00181153">
              <w:t>(отрицательная</w:t>
            </w:r>
            <w:r w:rsidR="00E572BF">
              <w:t xml:space="preserve"> </w:t>
            </w:r>
            <w:r w:rsidRPr="00181153">
              <w:t>процентная</w:t>
            </w:r>
            <w:r w:rsidR="00E572BF">
              <w:t xml:space="preserve"> </w:t>
            </w:r>
            <w:r w:rsidRPr="00181153">
              <w:t>маржа)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196037</w:t>
            </w:r>
          </w:p>
        </w:tc>
        <w:tc>
          <w:tcPr>
            <w:tcW w:w="519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222288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26251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221780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-508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Прибыльность</w:t>
            </w:r>
            <w:r w:rsidR="00E572BF">
              <w:t xml:space="preserve"> </w:t>
            </w:r>
            <w:r w:rsidRPr="00181153">
              <w:t>основных</w:t>
            </w:r>
            <w:r w:rsidR="00E572BF">
              <w:t xml:space="preserve"> </w:t>
            </w:r>
            <w:r w:rsidRPr="00181153">
              <w:t>операций,</w:t>
            </w:r>
            <w:r w:rsidR="00E572BF">
              <w:t xml:space="preserve"> </w:t>
            </w:r>
            <w:r w:rsidRPr="00181153">
              <w:t>%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3,45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4,12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0,67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-1,88</w:t>
            </w:r>
          </w:p>
        </w:tc>
      </w:tr>
    </w:tbl>
    <w:p w:rsidR="009078D2" w:rsidRDefault="009078D2" w:rsidP="009078D2">
      <w:pPr>
        <w:spacing w:line="240" w:lineRule="auto"/>
        <w:ind w:left="-993" w:firstLine="0"/>
      </w:pPr>
    </w:p>
    <w:p w:rsidR="009078D2" w:rsidRDefault="009078D2" w:rsidP="00946A93">
      <w:pPr>
        <w:ind w:firstLine="567"/>
      </w:pPr>
      <w:r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становится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2022</w:t>
      </w:r>
      <w:r w:rsidR="00946A93">
        <w:rPr>
          <w:rFonts w:cs="Times New Roman"/>
          <w:szCs w:val="28"/>
        </w:rPr>
        <w:t>-2023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</w:t>
      </w:r>
      <w:r w:rsidR="00946A93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 w:rsidR="00F744D3">
        <w:t>несколько</w:t>
      </w:r>
      <w:r w:rsidR="00E572BF">
        <w:t xml:space="preserve"> </w:t>
      </w:r>
      <w:r>
        <w:t>сократилась.</w:t>
      </w:r>
    </w:p>
    <w:p w:rsidR="009078D2" w:rsidRDefault="00A60FEF" w:rsidP="00946A93">
      <w:pPr>
        <w:ind w:firstLine="567"/>
      </w:pP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  <w:r w:rsidR="00E572BF">
        <w:t xml:space="preserve"> </w:t>
      </w:r>
      <w:r>
        <w:t>представлен</w:t>
      </w:r>
      <w:r w:rsidR="00E572BF">
        <w:t xml:space="preserve"> </w:t>
      </w:r>
      <w:r>
        <w:t>в</w:t>
      </w:r>
      <w:r w:rsidR="00E572BF">
        <w:t xml:space="preserve"> </w:t>
      </w:r>
      <w:r>
        <w:t>таблице</w:t>
      </w:r>
      <w:r w:rsidR="00E572BF">
        <w:t xml:space="preserve"> </w:t>
      </w:r>
      <w:r>
        <w:t>14.</w:t>
      </w:r>
    </w:p>
    <w:p w:rsidR="00DE52D6" w:rsidRDefault="007771C6" w:rsidP="007771C6">
      <w:pPr>
        <w:ind w:firstLine="567"/>
      </w:pPr>
      <w:r w:rsidRPr="007771C6">
        <w:t>По результатам анализа таблицы становится ясно, что прибыльность активов за 2022-2023 года в ООО Банк «Хлынов» немного сократилась, несмотря на то, что общий объем активов вырос. Сократился объем вложений в ценные бумаги при увеличении ссудной задолженности.</w:t>
      </w:r>
    </w:p>
    <w:p w:rsidR="00DE52D6" w:rsidRDefault="00DE52D6">
      <w:pPr>
        <w:spacing w:after="200" w:line="276" w:lineRule="auto"/>
        <w:ind w:firstLine="0"/>
        <w:jc w:val="left"/>
      </w:pPr>
      <w:r>
        <w:br w:type="page"/>
      </w:r>
    </w:p>
    <w:p w:rsidR="00CE2E45" w:rsidRPr="001B301B" w:rsidRDefault="00CE2E45" w:rsidP="00CE2E45">
      <w:pPr>
        <w:ind w:firstLine="0"/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E85DC6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8"/>
        <w:gridCol w:w="1108"/>
        <w:gridCol w:w="1108"/>
        <w:gridCol w:w="1110"/>
        <w:gridCol w:w="1048"/>
        <w:gridCol w:w="1134"/>
      </w:tblGrid>
      <w:tr w:rsidR="00940EE0" w:rsidRPr="006B1D8E" w:rsidTr="00201281">
        <w:trPr>
          <w:trHeight w:val="492"/>
        </w:trPr>
        <w:tc>
          <w:tcPr>
            <w:tcW w:w="20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Показатели</w:t>
            </w:r>
            <w:r w:rsidR="00E572BF">
              <w:rPr>
                <w:color w:val="000000" w:themeColor="text1"/>
              </w:rPr>
              <w:t xml:space="preserve"> 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-)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7771C6">
            <w:pPr>
              <w:pStyle w:val="af1"/>
              <w:ind w:left="-193" w:right="-247" w:hanging="142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710970" w:rsidP="007771C6">
            <w:pPr>
              <w:pStyle w:val="af1"/>
              <w:ind w:left="-107" w:right="-10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Изменения</w:t>
            </w:r>
            <w:r w:rsidR="007771C6">
              <w:rPr>
                <w:color w:val="000000" w:themeColor="text1"/>
              </w:rPr>
              <w:br/>
            </w:r>
            <w:r w:rsidR="006B1D8E" w:rsidRPr="00E7022C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-)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51" w:right="-247" w:hanging="142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всего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28640348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31590542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2950194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35907016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4316474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Ссудная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задолженность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18177986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20900507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2722521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25237640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4337133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Вложения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ценные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бумаги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974049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649789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-324260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316790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-332999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приносящие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прямой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доход: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19152035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21550296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2398261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7E0C51" w:rsidRDefault="007E0C51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22653575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7E0C51" w:rsidRDefault="007E0C51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1103279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То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же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общей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суммы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66,87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68,22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1,35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C51" w:rsidRPr="007E0C51" w:rsidRDefault="007E0C51" w:rsidP="007E0C5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63,08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7E0C51" w:rsidRDefault="007E0C51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-5,14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взвешенные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учетом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риска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28290090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29726916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1436826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C51" w:rsidRPr="007E0C51" w:rsidRDefault="007E0C51" w:rsidP="00077900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30849513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077900" w:rsidRDefault="00077900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1122597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То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же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общей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суммы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98,78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94,1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-4,68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632EB4" w:rsidRDefault="00632EB4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85,91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632EB4" w:rsidRDefault="00632EB4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-8,91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(убыток)</w:t>
            </w:r>
            <w:r w:rsidR="00E572BF">
              <w:rPr>
                <w:color w:val="000000" w:themeColor="text1"/>
              </w:rPr>
              <w:t xml:space="preserve">  </w:t>
            </w:r>
            <w:r w:rsidRPr="00E7022C">
              <w:rPr>
                <w:color w:val="000000" w:themeColor="text1"/>
              </w:rPr>
              <w:t>за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отчетный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период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544603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533293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-11310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955631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422338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Прибыльность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53D16" w:rsidRDefault="006B1D8E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E7022C">
              <w:rPr>
                <w:color w:val="000000" w:themeColor="text1"/>
              </w:rPr>
              <w:t>1,9</w:t>
            </w:r>
            <w:r w:rsidR="00E53D1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1,69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E53D16" w:rsidP="00E7022C">
            <w:pPr>
              <w:pStyle w:val="af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-0,22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077900" w:rsidRDefault="00E53D16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2,66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E53D16" w:rsidRDefault="00E53D16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0,97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Чистые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процентные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доходы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(отрицательная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процентная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маржа)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1571452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1622180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50728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2240389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618209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Прибыльность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основных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операций,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5,55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5,46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-0,09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E53D16" w:rsidRDefault="00E53D16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6,24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E53D16" w:rsidRDefault="00E53D16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0,78</w:t>
            </w:r>
          </w:p>
        </w:tc>
      </w:tr>
    </w:tbl>
    <w:p w:rsidR="00CF6E09" w:rsidRDefault="00CF6E09" w:rsidP="009F5F1B">
      <w:pPr>
        <w:spacing w:line="240" w:lineRule="auto"/>
        <w:ind w:firstLine="0"/>
      </w:pPr>
    </w:p>
    <w:p w:rsidR="00A60FEF" w:rsidRPr="003577FC" w:rsidRDefault="003577FC" w:rsidP="00347CC0">
      <w:pPr>
        <w:ind w:firstLine="567"/>
      </w:pPr>
      <w:r>
        <w:t>В</w:t>
      </w:r>
      <w:r w:rsidR="00E572BF">
        <w:t xml:space="preserve"> </w:t>
      </w:r>
      <w:r>
        <w:t>таблице</w:t>
      </w:r>
      <w:r w:rsidR="00E572BF">
        <w:t xml:space="preserve"> </w:t>
      </w:r>
      <w:r>
        <w:t>15</w:t>
      </w:r>
      <w:r w:rsidR="00E572BF">
        <w:t xml:space="preserve"> </w:t>
      </w:r>
      <w:r>
        <w:t>представлен</w:t>
      </w:r>
      <w:r w:rsidR="00E572BF">
        <w:t xml:space="preserve"> </w:t>
      </w:r>
      <w:r>
        <w:t>анализ</w:t>
      </w:r>
      <w:r w:rsidR="00E572BF">
        <w:t xml:space="preserve"> </w:t>
      </w:r>
      <w:r>
        <w:t>показателей</w:t>
      </w:r>
      <w:r w:rsidR="00E572BF">
        <w:t xml:space="preserve"> </w:t>
      </w:r>
      <w:r>
        <w:t>эффективности</w:t>
      </w:r>
      <w:r w:rsidR="00E572BF">
        <w:t xml:space="preserve"> </w:t>
      </w:r>
      <w:r>
        <w:t>деятельности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«Венец».</w:t>
      </w:r>
    </w:p>
    <w:p w:rsidR="00FC47BE" w:rsidRDefault="00FC47BE" w:rsidP="00FC47BE">
      <w:pPr>
        <w:ind w:firstLine="0"/>
      </w:pPr>
      <w:r>
        <w:t>По результатам анализа таблицы 15 можно сделать следующие выводы: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собственные средства (капитал) увеличились на 51390 тыс. рублей в 2022 году. В 2023 году собственные средства сократились на 241 790 тыс. рублей;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активы увеличились на 4 279 045 тыс. рублей в 2022 году. В 2023 году увеличение составило 1 251 634 тыс. рублей;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технологическая устойчивость уменьшилась на 0,08 в 2022 году и на 0,03 в 2023 году;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суммарный объем обязательств увеличился на 4 251 246 тыс. рублей в 2022 году и на 1 423 102 тыс. рублей в 2023 году.;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стоимость ресурсной базы увеличилась на 3,98 в 2022 году и на 4,51 в 2023 году;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 w:rsidRPr="00FC47BE">
        <w:t>чистые доходы (расходы) увеличились на 54 712 тыс. рублей в 2022 году и сократились на 305 797 тыс. рублей в 2023 году;</w:t>
      </w:r>
    </w:p>
    <w:p w:rsidR="00C82DC7" w:rsidRDefault="00C82DC7" w:rsidP="00C82DC7">
      <w:pPr>
        <w:tabs>
          <w:tab w:val="left" w:pos="1134"/>
        </w:tabs>
      </w:pPr>
    </w:p>
    <w:p w:rsidR="00C82DC7" w:rsidRDefault="00C82DC7" w:rsidP="00C82DC7">
      <w:pPr>
        <w:tabs>
          <w:tab w:val="left" w:pos="1134"/>
        </w:tabs>
      </w:pPr>
    </w:p>
    <w:p w:rsidR="00C82DC7" w:rsidRDefault="00C82DC7" w:rsidP="00C82DC7">
      <w:pPr>
        <w:tabs>
          <w:tab w:val="left" w:pos="1134"/>
        </w:tabs>
        <w:ind w:firstLine="0"/>
      </w:pPr>
      <w:r w:rsidRPr="00C82DC7">
        <w:lastRenderedPageBreak/>
        <w:t>Таблица 15 – Анализ показателей эффективности деятельности АО Банк «Венец»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2522"/>
        <w:gridCol w:w="1257"/>
        <w:gridCol w:w="1055"/>
        <w:gridCol w:w="1594"/>
        <w:gridCol w:w="1334"/>
        <w:gridCol w:w="1594"/>
      </w:tblGrid>
      <w:tr w:rsidR="00940EE0" w:rsidRPr="00940EE0" w:rsidTr="008F57CB">
        <w:trPr>
          <w:trHeight w:val="280"/>
        </w:trPr>
        <w:tc>
          <w:tcPr>
            <w:tcW w:w="1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940E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Из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2022к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D102CD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="00940EE0"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940EE0"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940EE0" w:rsidRPr="00940EE0" w:rsidTr="008F57CB">
        <w:trPr>
          <w:trHeight w:val="280"/>
        </w:trPr>
        <w:tc>
          <w:tcPr>
            <w:tcW w:w="1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940EE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Собственные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(капитал)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959592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1010982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51390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769192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-241790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Технологическая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устойчивость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-0,03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обязательств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4330031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8581277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4251246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10004379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1423102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ресурсной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базы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4,51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8,49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  <w:r w:rsidR="001C035E">
              <w:rPr>
                <w:color w:val="000000"/>
                <w:sz w:val="22"/>
              </w:rPr>
              <w:t>,00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4,51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доходы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(расходы)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396293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451005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54712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145208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-305797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(убыток)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за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отчетный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период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66473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-40298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-174955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-201130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Общий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уровень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рентабельности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16,77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5,8</w:t>
            </w:r>
            <w:r w:rsidR="002F3536">
              <w:rPr>
                <w:color w:val="000000"/>
                <w:sz w:val="22"/>
              </w:rPr>
              <w:t>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-10,97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1C035E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-120,4</w:t>
            </w:r>
            <w:r w:rsidR="001C035E">
              <w:rPr>
                <w:color w:val="000000"/>
                <w:sz w:val="22"/>
              </w:rPr>
              <w:t>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BC1B56" w:rsidP="00BC1B56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-126,29</w:t>
            </w:r>
          </w:p>
        </w:tc>
      </w:tr>
    </w:tbl>
    <w:p w:rsidR="00FC47BE" w:rsidRDefault="00FC47BE" w:rsidP="00AD65A8">
      <w:pPr>
        <w:rPr>
          <w:rFonts w:cs="Times New Roman"/>
          <w:szCs w:val="28"/>
        </w:rPr>
      </w:pPr>
    </w:p>
    <w:p w:rsidR="003577FC" w:rsidRPr="003577FC" w:rsidRDefault="003577FC" w:rsidP="00917460">
      <w:pPr>
        <w:pStyle w:val="a3"/>
        <w:numPr>
          <w:ilvl w:val="0"/>
          <w:numId w:val="2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577FC">
        <w:rPr>
          <w:rFonts w:cs="Times New Roman"/>
          <w:szCs w:val="28"/>
        </w:rPr>
        <w:t>рибыль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(убыток)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отчетный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40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298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201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130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соответственно.</w:t>
      </w:r>
      <w:r w:rsidRPr="003577FC">
        <w:rPr>
          <w:rFonts w:cs="Times New Roman"/>
          <w:szCs w:val="28"/>
        </w:rPr>
        <w:t>;</w:t>
      </w:r>
    </w:p>
    <w:p w:rsidR="003577FC" w:rsidRDefault="003577FC" w:rsidP="00917460">
      <w:pPr>
        <w:pStyle w:val="a3"/>
        <w:numPr>
          <w:ilvl w:val="0"/>
          <w:numId w:val="2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3577FC">
        <w:rPr>
          <w:rFonts w:cs="Times New Roman"/>
          <w:szCs w:val="28"/>
        </w:rPr>
        <w:t>бщий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10,97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126,28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годах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соответственно</w:t>
      </w:r>
      <w:r w:rsidRPr="003577FC">
        <w:rPr>
          <w:rFonts w:cs="Times New Roman"/>
          <w:szCs w:val="28"/>
        </w:rPr>
        <w:t>;</w:t>
      </w:r>
    </w:p>
    <w:p w:rsidR="00A60FEF" w:rsidRPr="00482510" w:rsidRDefault="00482510" w:rsidP="0048251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  <w:r>
        <w:t>.</w:t>
      </w:r>
    </w:p>
    <w:p w:rsidR="009E4AE0" w:rsidRPr="00CE2E45" w:rsidRDefault="009E4AE0" w:rsidP="009E4AE0">
      <w:pPr>
        <w:ind w:firstLine="0"/>
        <w:rPr>
          <w:rFonts w:cs="Times New Roman"/>
          <w:szCs w:val="28"/>
        </w:rPr>
      </w:pPr>
      <w:r w:rsidRPr="00CE2E45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CE2E4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CE2E45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54"/>
        <w:gridCol w:w="1108"/>
        <w:gridCol w:w="1110"/>
        <w:gridCol w:w="1523"/>
        <w:gridCol w:w="1237"/>
        <w:gridCol w:w="1224"/>
      </w:tblGrid>
      <w:tr w:rsidR="00EA3B0E" w:rsidRPr="00EA3B0E" w:rsidTr="00D70B3D">
        <w:trPr>
          <w:trHeight w:val="290"/>
        </w:trPr>
        <w:tc>
          <w:tcPr>
            <w:tcW w:w="16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Показатели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2022</w:t>
            </w:r>
            <w:r w:rsidRPr="00EA3B0E">
              <w:rPr>
                <w:color w:val="000000" w:themeColor="text1"/>
              </w:rPr>
              <w:br/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-)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-)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8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EA3B0E" w:rsidP="000817D2">
            <w:pPr>
              <w:pStyle w:val="af1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Собственные</w:t>
            </w:r>
            <w:r w:rsidR="00E572B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средства</w:t>
            </w:r>
            <w:r>
              <w:rPr>
                <w:color w:val="000000" w:themeColor="text1"/>
              </w:rPr>
              <w:br/>
            </w:r>
            <w:r w:rsidR="00940EE0" w:rsidRPr="00EA3B0E">
              <w:rPr>
                <w:color w:val="000000" w:themeColor="text1"/>
              </w:rPr>
              <w:t>(капитал)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4155109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4329578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174469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80464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</w:rPr>
              <w:t>50</w:t>
            </w:r>
            <w:r w:rsidR="00E80464" w:rsidRPr="00B118F5">
              <w:rPr>
                <w:color w:val="000000" w:themeColor="text1"/>
                <w:lang w:val="en-US"/>
              </w:rPr>
              <w:t>60864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E80464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731286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всего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28640348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31590542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2950194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35907016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4316474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Технологическая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устойчивость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0,15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0,14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-0,01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C554B6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0,14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Всего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обязательств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24182687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26799256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2616569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30563187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3763931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Стоимость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ресурсной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базы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5,82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6,19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0,37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C554B6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5,99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305678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</w:rPr>
              <w:t>-0,</w:t>
            </w:r>
            <w:r w:rsidR="00305678" w:rsidRPr="00B118F5">
              <w:rPr>
                <w:color w:val="000000" w:themeColor="text1"/>
                <w:lang w:val="en-US"/>
              </w:rPr>
              <w:t>2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Чистые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доходы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(расходы)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2147336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2217298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69962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2977977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760679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Прибыль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(убыток)</w:t>
            </w:r>
            <w:r w:rsidR="00E572BF">
              <w:rPr>
                <w:color w:val="000000" w:themeColor="text1"/>
              </w:rPr>
              <w:t xml:space="preserve">  </w:t>
            </w:r>
            <w:r w:rsidRPr="00EA3B0E">
              <w:rPr>
                <w:color w:val="000000" w:themeColor="text1"/>
              </w:rPr>
              <w:t>за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отчетный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период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544603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533293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-11310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955631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422338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EA3B0E" w:rsidP="000817D2">
            <w:pPr>
              <w:pStyle w:val="af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Общий</w:t>
            </w:r>
            <w:r w:rsidR="00E572B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уровень</w:t>
            </w:r>
            <w:r>
              <w:rPr>
                <w:color w:val="000000" w:themeColor="text1"/>
              </w:rPr>
              <w:br/>
            </w:r>
            <w:r w:rsidR="00940EE0" w:rsidRPr="00EA3B0E">
              <w:rPr>
                <w:color w:val="000000" w:themeColor="text1"/>
              </w:rPr>
              <w:t>рентабельности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25,36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24,05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-1,31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305678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32,09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F60FC9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8,04</w:t>
            </w:r>
          </w:p>
        </w:tc>
      </w:tr>
    </w:tbl>
    <w:p w:rsidR="006F3407" w:rsidRDefault="006F3407" w:rsidP="009F5F1B">
      <w:pPr>
        <w:ind w:firstLine="0"/>
        <w:rPr>
          <w:rFonts w:cs="Times New Roman"/>
          <w:szCs w:val="28"/>
        </w:rPr>
      </w:pPr>
    </w:p>
    <w:p w:rsidR="001D66D0" w:rsidRDefault="001D66D0" w:rsidP="006F3407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выводы:</w:t>
      </w:r>
    </w:p>
    <w:p w:rsidR="001D66D0" w:rsidRPr="001D66D0" w:rsidRDefault="001D66D0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D66D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собственные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174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469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329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578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рублей</w:t>
      </w:r>
      <w:r w:rsidR="00BC4F8F" w:rsidRPr="00BC4F8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составило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7</w:t>
      </w:r>
      <w:r w:rsidR="00C077C7">
        <w:rPr>
          <w:rFonts w:cs="Times New Roman"/>
          <w:szCs w:val="28"/>
        </w:rPr>
        <w:t>31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</w:t>
      </w:r>
      <w:r w:rsidR="00C077C7">
        <w:rPr>
          <w:rFonts w:cs="Times New Roman"/>
          <w:szCs w:val="28"/>
        </w:rPr>
        <w:t>86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рублей</w:t>
      </w:r>
      <w:r w:rsidR="00A8312B"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1D66D0" w:rsidRPr="001D66D0">
        <w:rPr>
          <w:rFonts w:cs="Times New Roman"/>
          <w:szCs w:val="28"/>
        </w:rPr>
        <w:t>ктивы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950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194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31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590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542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BC4F8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316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474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1D66D0" w:rsidRPr="001D66D0">
        <w:rPr>
          <w:rFonts w:cs="Times New Roman"/>
          <w:szCs w:val="28"/>
        </w:rPr>
        <w:t>ехнологическая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0,01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0,14</w:t>
      </w:r>
      <w:r w:rsidR="00075B5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произошло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D66D0" w:rsidRPr="001D66D0">
        <w:rPr>
          <w:rFonts w:cs="Times New Roman"/>
          <w:szCs w:val="28"/>
        </w:rPr>
        <w:t>бщие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84313C">
        <w:rPr>
          <w:rFonts w:cs="Times New Roman"/>
          <w:szCs w:val="28"/>
        </w:rPr>
        <w:br/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616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569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799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256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55066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увеличился,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30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563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187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1D66D0" w:rsidRPr="001D66D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и</w:t>
      </w:r>
      <w:r w:rsidR="001D66D0" w:rsidRPr="001D66D0">
        <w:rPr>
          <w:rFonts w:cs="Times New Roman"/>
          <w:szCs w:val="28"/>
        </w:rPr>
        <w:t>мость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ресурсной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0,37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6,19</w:t>
      </w:r>
      <w:r w:rsidR="0055066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сократилось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5,99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AC0956">
        <w:rPr>
          <w:rFonts w:cs="Times New Roman"/>
          <w:szCs w:val="28"/>
        </w:rPr>
        <w:t>истые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962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</w:t>
      </w:r>
      <w:r w:rsidR="003F2920">
        <w:rPr>
          <w:rFonts w:cs="Times New Roman"/>
          <w:szCs w:val="28"/>
        </w:rPr>
        <w:br/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217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298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AC095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продолжил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расти,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конце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 w:rsidRPr="00940EE0">
        <w:t>2</w:t>
      </w:r>
      <w:r w:rsidR="00E572BF">
        <w:t xml:space="preserve"> </w:t>
      </w:r>
      <w:r w:rsidR="00AC0956" w:rsidRPr="00940EE0">
        <w:t>977</w:t>
      </w:r>
      <w:r w:rsidR="00E572BF">
        <w:t xml:space="preserve"> </w:t>
      </w:r>
      <w:r w:rsidR="00AC0956" w:rsidRPr="00940EE0">
        <w:t>977</w:t>
      </w:r>
      <w:r w:rsidR="00E572BF">
        <w:t xml:space="preserve"> </w:t>
      </w:r>
      <w:r w:rsidR="00AC0956">
        <w:t>тыс.</w:t>
      </w:r>
      <w:r w:rsidR="00E572BF">
        <w:t xml:space="preserve"> </w:t>
      </w:r>
      <w:r w:rsidR="00AC0956">
        <w:t>рублей</w:t>
      </w:r>
      <w:r w:rsidR="008A2AE1"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1D66D0" w:rsidRPr="001D66D0">
        <w:rPr>
          <w:rFonts w:cs="Times New Roman"/>
          <w:szCs w:val="28"/>
        </w:rPr>
        <w:t>рибыль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отчетный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310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533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293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53288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снова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увеличилась,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отметки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955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631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D66D0" w:rsidRPr="001D66D0">
        <w:rPr>
          <w:rFonts w:cs="Times New Roman"/>
          <w:szCs w:val="28"/>
        </w:rPr>
        <w:t>бщий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1,31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24,05.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B118F5">
        <w:rPr>
          <w:rFonts w:cs="Times New Roman"/>
          <w:szCs w:val="28"/>
        </w:rPr>
        <w:t>32,09.</w:t>
      </w:r>
    </w:p>
    <w:p w:rsidR="00C30EF9" w:rsidRDefault="00A8312B" w:rsidP="00A8312B"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17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B02A6E">
        <w:rPr>
          <w:rFonts w:cs="Times New Roman"/>
          <w:szCs w:val="28"/>
        </w:rPr>
        <w:t>а</w:t>
      </w:r>
      <w:r w:rsidRPr="00A8312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="00D334A1">
        <w:t>АО</w:t>
      </w:r>
      <w:r w:rsidR="00E572BF">
        <w:t xml:space="preserve"> </w:t>
      </w:r>
      <w:r w:rsidR="00D334A1">
        <w:t>Банк</w:t>
      </w:r>
      <w:r w:rsidR="00E572BF">
        <w:t xml:space="preserve"> </w:t>
      </w:r>
      <w:r w:rsidR="00D334A1">
        <w:t>«Венец»</w:t>
      </w:r>
      <w:r>
        <w:t>.</w:t>
      </w:r>
    </w:p>
    <w:p w:rsidR="008A2AE1" w:rsidRDefault="008A2AE1" w:rsidP="00A8312B"/>
    <w:p w:rsidR="008A2AE1" w:rsidRPr="00A8312B" w:rsidRDefault="008A2AE1" w:rsidP="00A8312B">
      <w:pPr>
        <w:rPr>
          <w:rFonts w:cs="Times New Roman"/>
          <w:szCs w:val="28"/>
        </w:rPr>
      </w:pPr>
    </w:p>
    <w:p w:rsidR="001D66D0" w:rsidRPr="001D66D0" w:rsidRDefault="00A8312B" w:rsidP="00A8312B">
      <w:pPr>
        <w:ind w:firstLine="0"/>
        <w:rPr>
          <w:rFonts w:cs="Times New Roman"/>
          <w:szCs w:val="28"/>
        </w:rPr>
      </w:pPr>
      <w:r w:rsidRPr="00A8312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17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="00D334A1">
        <w:t>АО</w:t>
      </w:r>
      <w:r w:rsidR="00E572BF">
        <w:t xml:space="preserve"> </w:t>
      </w:r>
      <w:r w:rsidR="00D334A1">
        <w:t>Банк</w:t>
      </w:r>
      <w:r w:rsidR="00E572BF">
        <w:t xml:space="preserve"> </w:t>
      </w:r>
      <w:r w:rsidR="00D334A1">
        <w:t>«Венец»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32"/>
        <w:gridCol w:w="780"/>
        <w:gridCol w:w="707"/>
        <w:gridCol w:w="728"/>
        <w:gridCol w:w="690"/>
        <w:gridCol w:w="694"/>
        <w:gridCol w:w="835"/>
        <w:gridCol w:w="831"/>
        <w:gridCol w:w="631"/>
        <w:gridCol w:w="1033"/>
        <w:gridCol w:w="795"/>
      </w:tblGrid>
      <w:tr w:rsidR="00CC35A8" w:rsidRPr="000817D2" w:rsidTr="00B632FA">
        <w:trPr>
          <w:trHeight w:val="280"/>
        </w:trPr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7D2" w:rsidRPr="000817D2" w:rsidRDefault="000817D2" w:rsidP="000817D2">
            <w:pPr>
              <w:pStyle w:val="af1"/>
              <w:jc w:val="center"/>
            </w:pPr>
            <w:r w:rsidRPr="000817D2">
              <w:t>Показатели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2021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2022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8A2AE1">
            <w:pPr>
              <w:pStyle w:val="af1"/>
              <w:ind w:left="-115" w:right="-135"/>
              <w:jc w:val="center"/>
            </w:pPr>
            <w:r w:rsidRPr="000817D2">
              <w:t>Отклонение</w:t>
            </w:r>
            <w:r w:rsidR="00B632FA">
              <w:br/>
            </w:r>
            <w:r w:rsidRPr="000817D2">
              <w:t>(+,</w:t>
            </w:r>
            <w:r w:rsidR="00E572BF">
              <w:t xml:space="preserve"> </w:t>
            </w:r>
            <w:r w:rsidRPr="000817D2">
              <w:t>-)</w:t>
            </w:r>
          </w:p>
        </w:tc>
        <w:tc>
          <w:tcPr>
            <w:tcW w:w="7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20223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9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A3653F" w:rsidP="002C57A0">
            <w:pPr>
              <w:pStyle w:val="af1"/>
              <w:jc w:val="center"/>
            </w:pPr>
            <w:r>
              <w:t>Отклонение</w:t>
            </w:r>
            <w:r w:rsidR="000817D2" w:rsidRPr="000817D2">
              <w:t>(+,</w:t>
            </w:r>
            <w:r w:rsidR="00E572BF">
              <w:t xml:space="preserve"> </w:t>
            </w:r>
            <w:r w:rsidR="000817D2" w:rsidRPr="000817D2">
              <w:t>-)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7D2" w:rsidRPr="000817D2" w:rsidRDefault="000817D2" w:rsidP="000817D2">
            <w:pPr>
              <w:pStyle w:val="af1"/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CC35A8" w:rsidP="00266D8B">
            <w:pPr>
              <w:pStyle w:val="af1"/>
              <w:ind w:left="-170" w:right="-113" w:firstLine="6"/>
              <w:jc w:val="center"/>
            </w:pPr>
            <w:r>
              <w:t>тыс.</w:t>
            </w:r>
            <w:r>
              <w:br/>
            </w:r>
            <w:r w:rsidR="000817D2" w:rsidRPr="000817D2">
              <w:t>руб.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CC35A8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0817D2" w:rsidRPr="000817D2">
              <w:t>руб.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9"/>
              <w:jc w:val="center"/>
            </w:pPr>
            <w:r w:rsidRPr="000817D2">
              <w:t>абсолютное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относительное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тыс.</w:t>
            </w:r>
            <w:r w:rsidR="00CC35A8">
              <w:br/>
            </w:r>
            <w:r w:rsidRPr="000817D2">
              <w:t>руб.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абсолютное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относительное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Процентные</w:t>
            </w:r>
            <w:r w:rsidR="00E572BF">
              <w:t xml:space="preserve"> </w:t>
            </w:r>
            <w:r w:rsidRPr="000817D2">
              <w:t>доходы,</w:t>
            </w:r>
            <w:r w:rsidR="00E572BF">
              <w:t xml:space="preserve"> </w:t>
            </w:r>
            <w:r w:rsidRPr="000817D2">
              <w:t>всего,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447613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619823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172210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1125927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360063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506104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размещения</w:t>
            </w:r>
            <w:r w:rsidR="00E572BF">
              <w:t xml:space="preserve"> </w:t>
            </w:r>
            <w:r w:rsidRPr="000817D2">
              <w:t>средств</w:t>
            </w:r>
            <w:r w:rsidR="00E572BF">
              <w:t xml:space="preserve"> </w:t>
            </w:r>
            <w:r w:rsidRPr="000817D2">
              <w:t>в</w:t>
            </w:r>
            <w:r w:rsidR="00E572BF">
              <w:t xml:space="preserve"> </w:t>
            </w:r>
            <w:r w:rsidRPr="000817D2">
              <w:t>кредитных</w:t>
            </w:r>
            <w:r w:rsidR="00E572BF">
              <w:t xml:space="preserve"> </w:t>
            </w:r>
            <w:r w:rsidRPr="000817D2">
              <w:t>организациях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83296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18,61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197705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31,90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114409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13,29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770877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68,47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573172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36,57</w:t>
            </w:r>
          </w:p>
        </w:tc>
      </w:tr>
      <w:tr w:rsidR="00CC35A8" w:rsidRPr="000817D2" w:rsidTr="00B632FA">
        <w:trPr>
          <w:trHeight w:val="84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ссуд,</w:t>
            </w:r>
            <w:r w:rsidR="00E572BF">
              <w:t xml:space="preserve"> </w:t>
            </w:r>
            <w:r w:rsidRPr="000817D2">
              <w:t>предоставленных</w:t>
            </w:r>
            <w:r w:rsidR="00E572BF">
              <w:t xml:space="preserve"> </w:t>
            </w:r>
            <w:r w:rsidRPr="000817D2">
              <w:t>клиентам,</w:t>
            </w:r>
            <w:r w:rsidR="00E572BF">
              <w:t xml:space="preserve"> </w:t>
            </w:r>
            <w:r w:rsidRPr="000817D2">
              <w:t>не</w:t>
            </w:r>
            <w:r w:rsidR="00E572BF">
              <w:t xml:space="preserve"> </w:t>
            </w:r>
            <w:r w:rsidRPr="000817D2">
              <w:t>являющимся</w:t>
            </w:r>
            <w:r w:rsidR="00E572BF">
              <w:t xml:space="preserve"> </w:t>
            </w:r>
            <w:r w:rsidRPr="000817D2">
              <w:t>кредитными</w:t>
            </w:r>
            <w:r w:rsidR="00E572BF">
              <w:t xml:space="preserve"> </w:t>
            </w:r>
            <w:r w:rsidRPr="000817D2">
              <w:t>организациями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363921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81,30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421383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67,98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57462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-13,32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355050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31,53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-66333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-36,45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вложений</w:t>
            </w:r>
            <w:r w:rsidR="00E572BF">
              <w:t xml:space="preserve"> </w:t>
            </w:r>
            <w:r w:rsidRPr="000817D2">
              <w:t>в</w:t>
            </w:r>
            <w:r w:rsidR="00E572BF">
              <w:t xml:space="preserve"> </w:t>
            </w:r>
            <w:r w:rsidRPr="000817D2">
              <w:t>ценные</w:t>
            </w:r>
            <w:r w:rsidR="00E572BF">
              <w:t xml:space="preserve"> </w:t>
            </w:r>
            <w:r w:rsidRPr="000817D2">
              <w:t>бумаги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396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0,09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735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0,12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339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0,03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A3653F" w:rsidRDefault="000817D2" w:rsidP="002C57A0">
            <w:pPr>
              <w:pStyle w:val="af1"/>
              <w:ind w:left="-184" w:right="-112" w:firstLine="78"/>
              <w:jc w:val="center"/>
            </w:pPr>
            <w:r w:rsidRPr="00A3653F"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-735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-0,12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Процентные</w:t>
            </w:r>
            <w:r w:rsidR="00E572BF">
              <w:t xml:space="preserve"> </w:t>
            </w:r>
            <w:r w:rsidRPr="000817D2">
              <w:t>расходы,</w:t>
            </w:r>
            <w:r w:rsidR="00E572BF">
              <w:t xml:space="preserve"> </w:t>
            </w:r>
            <w:r w:rsidRPr="000817D2">
              <w:t>всего,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251576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397535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360063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145959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904147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F66697" w:rsidRDefault="00CC35A8" w:rsidP="002C57A0">
            <w:pPr>
              <w:pStyle w:val="af1"/>
              <w:ind w:left="-184" w:right="-112" w:firstLine="78"/>
              <w:jc w:val="center"/>
            </w:pPr>
            <w:r>
              <w:rPr>
                <w:lang w:val="en-US"/>
              </w:rPr>
              <w:t>100</w:t>
            </w:r>
            <w:r w:rsidR="00F66697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506612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CC35A8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35A8" w:rsidRPr="000817D2" w:rsidTr="00B632FA">
        <w:trPr>
          <w:trHeight w:val="84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по</w:t>
            </w:r>
            <w:r w:rsidR="00E572BF">
              <w:t xml:space="preserve"> </w:t>
            </w:r>
            <w:r w:rsidRPr="000817D2">
              <w:t>привлеченным</w:t>
            </w:r>
            <w:r w:rsidR="00E572BF">
              <w:t xml:space="preserve"> </w:t>
            </w:r>
            <w:r w:rsidRPr="000817D2">
              <w:t>средствам</w:t>
            </w:r>
            <w:r w:rsidR="00E572BF">
              <w:t xml:space="preserve"> </w:t>
            </w:r>
            <w:r w:rsidRPr="000817D2">
              <w:t>клиентов,</w:t>
            </w:r>
            <w:r w:rsidR="00E572BF">
              <w:t xml:space="preserve"> </w:t>
            </w:r>
            <w:r w:rsidRPr="000817D2">
              <w:t>не</w:t>
            </w:r>
            <w:r w:rsidR="00E572BF">
              <w:t xml:space="preserve"> </w:t>
            </w:r>
            <w:r w:rsidRPr="000817D2">
              <w:t>являющихся</w:t>
            </w:r>
            <w:r w:rsidR="00E572BF">
              <w:t xml:space="preserve"> </w:t>
            </w:r>
            <w:r w:rsidRPr="000817D2">
              <w:t>кредитными</w:t>
            </w:r>
            <w:r w:rsidR="00E572BF">
              <w:t xml:space="preserve"> </w:t>
            </w:r>
            <w:r w:rsidRPr="000817D2">
              <w:t>организациями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246593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98,02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397535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F66697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150942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1,98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904147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F66697" w:rsidRDefault="00CC35A8" w:rsidP="002C57A0">
            <w:pPr>
              <w:pStyle w:val="af1"/>
              <w:ind w:left="-184" w:right="-112" w:firstLine="78"/>
              <w:jc w:val="center"/>
            </w:pPr>
            <w:r>
              <w:rPr>
                <w:lang w:val="en-US"/>
              </w:rPr>
              <w:t>100</w:t>
            </w:r>
            <w:r w:rsidR="00F66697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506612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CC35A8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по</w:t>
            </w:r>
            <w:r w:rsidR="00E572BF">
              <w:t xml:space="preserve"> </w:t>
            </w:r>
            <w:r w:rsidRPr="000817D2">
              <w:t>выпущенным</w:t>
            </w:r>
            <w:r w:rsidR="00E572BF">
              <w:t xml:space="preserve"> </w:t>
            </w:r>
            <w:r w:rsidRPr="000817D2">
              <w:t>ценным</w:t>
            </w:r>
            <w:r w:rsidR="00E572BF">
              <w:t xml:space="preserve"> </w:t>
            </w:r>
            <w:r w:rsidRPr="000817D2">
              <w:t>бумагам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4983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1,98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-4983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-1,98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A3653F" w:rsidRDefault="000817D2" w:rsidP="002C57A0">
            <w:pPr>
              <w:pStyle w:val="af1"/>
              <w:ind w:left="-184" w:right="-112" w:firstLine="78"/>
              <w:jc w:val="center"/>
            </w:pPr>
            <w:r w:rsidRPr="00A3653F"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</w:tr>
    </w:tbl>
    <w:p w:rsidR="00723EB6" w:rsidRDefault="00723EB6" w:rsidP="00723EB6">
      <w:pPr>
        <w:rPr>
          <w:rFonts w:cs="Times New Roman"/>
          <w:szCs w:val="28"/>
        </w:rPr>
      </w:pPr>
    </w:p>
    <w:p w:rsidR="00723EB6" w:rsidRPr="00723EB6" w:rsidRDefault="00723EB6" w:rsidP="00723EB6">
      <w:pPr>
        <w:rPr>
          <w:rFonts w:cs="Times New Roman"/>
          <w:szCs w:val="28"/>
        </w:rPr>
      </w:pPr>
      <w:r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данной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выводы: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3EB6" w:rsidRPr="00723EB6">
        <w:rPr>
          <w:rFonts w:cs="Times New Roman"/>
          <w:szCs w:val="28"/>
        </w:rPr>
        <w:t>сего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619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823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172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13,29%,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8168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125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927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рублей,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104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рублей.</w:t>
      </w:r>
      <w:r w:rsidRPr="00B8168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705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114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409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31,90%,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</w:t>
      </w:r>
      <w:r w:rsidR="00723EB6" w:rsidRPr="00723EB6">
        <w:rPr>
          <w:rFonts w:cs="Times New Roman"/>
          <w:szCs w:val="28"/>
        </w:rPr>
        <w:lastRenderedPageBreak/>
        <w:t>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8168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940EDB">
        <w:rPr>
          <w:rFonts w:cs="Times New Roman"/>
          <w:szCs w:val="28"/>
        </w:rPr>
        <w:t>770</w:t>
      </w:r>
      <w:r w:rsidR="00E572BF">
        <w:rPr>
          <w:rFonts w:cs="Times New Roman"/>
          <w:szCs w:val="28"/>
        </w:rPr>
        <w:t xml:space="preserve"> </w:t>
      </w:r>
      <w:r w:rsidR="00940EDB">
        <w:rPr>
          <w:rFonts w:cs="Times New Roman"/>
          <w:szCs w:val="28"/>
        </w:rPr>
        <w:t>877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05582">
        <w:rPr>
          <w:rFonts w:cs="Times New Roman"/>
          <w:szCs w:val="28"/>
        </w:rPr>
        <w:t>рублей</w:t>
      </w:r>
      <w:r w:rsidRPr="00B8168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421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383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462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-13,32%,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отрицательным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A06B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B4FC1">
        <w:rPr>
          <w:rFonts w:cs="Times New Roman"/>
          <w:szCs w:val="28"/>
        </w:rPr>
        <w:t>66</w:t>
      </w:r>
      <w:r w:rsidR="00E572BF">
        <w:rPr>
          <w:rFonts w:cs="Times New Roman"/>
          <w:szCs w:val="28"/>
        </w:rPr>
        <w:t xml:space="preserve"> </w:t>
      </w:r>
      <w:r w:rsidR="00EB4FC1">
        <w:rPr>
          <w:rFonts w:cs="Times New Roman"/>
          <w:szCs w:val="28"/>
        </w:rPr>
        <w:t>333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рублей</w:t>
      </w:r>
      <w:r w:rsidRPr="00BA06B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735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339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0,03%,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174EE9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отсутствовали</w:t>
      </w:r>
      <w:r w:rsidRPr="00174EE9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3EB6" w:rsidRPr="00723EB6">
        <w:rPr>
          <w:rFonts w:cs="Times New Roman"/>
          <w:szCs w:val="28"/>
        </w:rPr>
        <w:t>сего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145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959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0%,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означает,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исчислении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же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уровне</w:t>
      </w:r>
      <w:r w:rsidR="00174EE9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904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рублей,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612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рублей</w:t>
      </w:r>
      <w:r w:rsidR="00174EE9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150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942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1,98%,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17480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отметки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904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рубле</w:t>
      </w:r>
      <w:r w:rsidR="00D43524">
        <w:rPr>
          <w:rFonts w:cs="Times New Roman"/>
          <w:szCs w:val="28"/>
        </w:rPr>
        <w:t>й</w:t>
      </w:r>
      <w:r w:rsidRPr="00174804">
        <w:rPr>
          <w:rFonts w:cs="Times New Roman"/>
          <w:szCs w:val="28"/>
        </w:rPr>
        <w:t>;</w:t>
      </w:r>
    </w:p>
    <w:p w:rsidR="00DC0770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выпущенным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ценным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бумагам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отсутствовали</w:t>
      </w:r>
      <w:r w:rsidR="00723EB6" w:rsidRPr="00723EB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-1,98%,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отрицательным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фактором.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данный показатель также отсутствовал</w:t>
      </w:r>
      <w:r w:rsidR="00D43524">
        <w:rPr>
          <w:rFonts w:cs="Times New Roman"/>
          <w:szCs w:val="28"/>
        </w:rPr>
        <w:t>.</w:t>
      </w:r>
    </w:p>
    <w:p w:rsidR="00723EB6" w:rsidRPr="00DC0770" w:rsidRDefault="00DC0770" w:rsidP="00DC077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70C3F" w:rsidRDefault="00C70C3F" w:rsidP="00C70C3F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18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«Хлынов».</w:t>
      </w:r>
    </w:p>
    <w:p w:rsidR="00CE2E45" w:rsidRDefault="00B02A6E" w:rsidP="009F5F1B">
      <w:pPr>
        <w:ind w:firstLine="0"/>
        <w:rPr>
          <w:rFonts w:cs="Times New Roman"/>
          <w:szCs w:val="28"/>
        </w:rPr>
      </w:pPr>
      <w:r w:rsidRPr="00A8312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8"/>
        <w:gridCol w:w="786"/>
        <w:gridCol w:w="603"/>
        <w:gridCol w:w="829"/>
        <w:gridCol w:w="696"/>
        <w:gridCol w:w="692"/>
        <w:gridCol w:w="831"/>
        <w:gridCol w:w="833"/>
        <w:gridCol w:w="621"/>
        <w:gridCol w:w="765"/>
        <w:gridCol w:w="792"/>
      </w:tblGrid>
      <w:tr w:rsidR="001C7DC4" w:rsidRPr="008844CC" w:rsidTr="00B6538B">
        <w:trPr>
          <w:trHeight w:val="290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  <w:jc w:val="center"/>
            </w:pPr>
            <w:r w:rsidRPr="008844CC">
              <w:t>Показатели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2021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2022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2022</w:t>
            </w:r>
            <w:r w:rsidR="00E572BF">
              <w:t xml:space="preserve"> </w:t>
            </w:r>
            <w:r>
              <w:t>к</w:t>
            </w:r>
            <w:r w:rsidR="00E572BF">
              <w:t xml:space="preserve"> </w:t>
            </w:r>
            <w:r>
              <w:t>2021</w:t>
            </w:r>
            <w:r>
              <w:br/>
            </w:r>
            <w:r w:rsidR="007012BE" w:rsidRPr="008844CC">
              <w:t>(+,</w:t>
            </w:r>
            <w:r w:rsidR="00E572BF">
              <w:t xml:space="preserve"> </w:t>
            </w:r>
            <w:r w:rsidR="007012BE" w:rsidRPr="008844CC">
              <w:t>-)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2023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2023</w:t>
            </w:r>
            <w:r w:rsidR="00E572BF">
              <w:t xml:space="preserve"> </w:t>
            </w:r>
            <w:r>
              <w:t>к</w:t>
            </w:r>
            <w:r w:rsidR="00E572BF">
              <w:t xml:space="preserve"> </w:t>
            </w:r>
            <w:r>
              <w:t>2022</w:t>
            </w:r>
            <w:r>
              <w:br/>
            </w:r>
            <w:r w:rsidR="007012BE" w:rsidRPr="008844CC">
              <w:t>(+,</w:t>
            </w:r>
            <w:r w:rsidR="00E572BF">
              <w:t xml:space="preserve"> </w:t>
            </w:r>
            <w:r w:rsidR="007012BE" w:rsidRPr="008844CC">
              <w:t>-)</w:t>
            </w:r>
          </w:p>
        </w:tc>
      </w:tr>
      <w:tr w:rsidR="001C7DC4" w:rsidRPr="008844CC" w:rsidTr="00B6538B">
        <w:trPr>
          <w:trHeight w:val="830"/>
        </w:trPr>
        <w:tc>
          <w:tcPr>
            <w:tcW w:w="10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  <w:jc w:val="center"/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абсолютное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относительное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254D1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11" w:right="-107"/>
              <w:jc w:val="center"/>
            </w:pPr>
            <w:r w:rsidRPr="008844CC">
              <w:t>абсолютное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относительное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Процентные</w:t>
            </w:r>
            <w:r w:rsidR="00E572BF">
              <w:t xml:space="preserve"> </w:t>
            </w:r>
            <w:r w:rsidRPr="008844CC">
              <w:t>доходы,</w:t>
            </w:r>
            <w:r w:rsidR="00E572BF">
              <w:t xml:space="preserve"> </w:t>
            </w:r>
            <w:r w:rsidRPr="008844CC">
              <w:t>всего,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том</w:t>
            </w:r>
            <w:r w:rsidR="00E572BF">
              <w:t xml:space="preserve"> </w:t>
            </w:r>
            <w:r w:rsidRPr="008844CC">
              <w:t>числе: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2253708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B6538B">
            <w:pPr>
              <w:pStyle w:val="af1"/>
              <w:ind w:left="-184" w:right="-128" w:firstLine="27"/>
              <w:jc w:val="center"/>
              <w:rPr>
                <w:lang w:val="en-US"/>
              </w:rPr>
            </w:pPr>
            <w:r w:rsidRPr="00B6538B">
              <w:t>100</w:t>
            </w:r>
            <w:r w:rsidR="00B6538B" w:rsidRPr="00B6538B">
              <w:rPr>
                <w:lang w:val="en-US"/>
              </w:rPr>
              <w:t>,00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2982594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 w:rsidRPr="008844CC">
              <w:t>100</w:t>
            </w:r>
            <w:r w:rsidR="00B6538B">
              <w:rPr>
                <w:lang w:val="en-US"/>
              </w:rPr>
              <w:t>,00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728886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3521281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 w:rsidRPr="008844CC">
              <w:t>100</w:t>
            </w:r>
            <w:r w:rsidR="00B6538B">
              <w:rPr>
                <w:lang w:val="en-US"/>
              </w:rPr>
              <w:t>,00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538687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размещения</w:t>
            </w:r>
            <w:r w:rsidR="00E572BF">
              <w:t xml:space="preserve"> </w:t>
            </w:r>
            <w:r w:rsidRPr="008844CC">
              <w:t>средств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кредитных</w:t>
            </w:r>
            <w:r w:rsidR="00E572BF">
              <w:t xml:space="preserve"> </w:t>
            </w:r>
            <w:r w:rsidRPr="008844CC">
              <w:t>организациях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17677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0,78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168530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5,65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150853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4,87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253778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7,21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85248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1,56</w:t>
            </w:r>
          </w:p>
        </w:tc>
      </w:tr>
      <w:tr w:rsidR="001C7DC4" w:rsidRPr="008844CC" w:rsidTr="00B6538B">
        <w:trPr>
          <w:trHeight w:val="58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ссуд,</w:t>
            </w:r>
            <w:r w:rsidR="00E572BF">
              <w:t xml:space="preserve"> </w:t>
            </w:r>
            <w:r w:rsidRPr="008844CC">
              <w:t>предоставленных</w:t>
            </w:r>
            <w:r w:rsidR="00E572BF">
              <w:t xml:space="preserve"> </w:t>
            </w:r>
            <w:r w:rsidRPr="008844CC">
              <w:t>клиентам,</w:t>
            </w:r>
            <w:r w:rsidR="00E572BF">
              <w:t xml:space="preserve"> </w:t>
            </w:r>
            <w:r w:rsidRPr="008844CC">
              <w:t>не</w:t>
            </w:r>
            <w:r w:rsidR="00E572BF">
              <w:t xml:space="preserve"> </w:t>
            </w:r>
            <w:r w:rsidRPr="008844CC">
              <w:t>являющимся</w:t>
            </w:r>
            <w:r w:rsidR="00E572BF">
              <w:t xml:space="preserve"> </w:t>
            </w:r>
            <w:r w:rsidRPr="008844CC">
              <w:t>кредитными</w:t>
            </w:r>
            <w:r w:rsidR="00E572BF">
              <w:t xml:space="preserve"> </w:t>
            </w:r>
            <w:r w:rsidRPr="008844CC">
              <w:t>организациями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1736113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77,03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2214323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74,24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478210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-2,79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2668396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75,78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454073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1,54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вложений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ценные</w:t>
            </w:r>
            <w:r w:rsidR="00E572BF">
              <w:t xml:space="preserve"> </w:t>
            </w:r>
            <w:r w:rsidRPr="008844CC">
              <w:t>бумаги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499918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22,18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599741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20,11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99823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-2,07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599107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17,01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-634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-3,10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Процентные</w:t>
            </w:r>
            <w:r w:rsidR="00E572BF">
              <w:t xml:space="preserve"> </w:t>
            </w:r>
            <w:r w:rsidRPr="008844CC">
              <w:t>расходы,</w:t>
            </w:r>
            <w:r w:rsidR="00E572BF">
              <w:t xml:space="preserve"> </w:t>
            </w:r>
            <w:r w:rsidRPr="008844CC">
              <w:t>всего,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том</w:t>
            </w:r>
            <w:r w:rsidR="00E572BF">
              <w:t xml:space="preserve"> </w:t>
            </w:r>
            <w:r w:rsidRPr="008844CC">
              <w:t>числе: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682256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30,27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1360414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45,61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678158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15,34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1280892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36,38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-79522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-9,23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привлеченным</w:t>
            </w:r>
            <w:r w:rsidR="00E572BF">
              <w:t xml:space="preserve"> </w:t>
            </w:r>
            <w:r w:rsidRPr="008844CC">
              <w:t>средствам</w:t>
            </w:r>
            <w:r w:rsidR="00E572BF">
              <w:t xml:space="preserve"> </w:t>
            </w:r>
            <w:r w:rsidRPr="008844CC">
              <w:t>кредитных</w:t>
            </w:r>
            <w:r w:rsidR="00E572BF">
              <w:t xml:space="preserve"> </w:t>
            </w:r>
            <w:r w:rsidRPr="008844CC">
              <w:t>организаций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13260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0,59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35297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22037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C82DC7" w:rsidRDefault="00C82DC7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50292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1,43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14995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0,25</w:t>
            </w:r>
          </w:p>
        </w:tc>
      </w:tr>
      <w:tr w:rsidR="001C7DC4" w:rsidRPr="008844CC" w:rsidTr="00B6538B">
        <w:trPr>
          <w:trHeight w:val="58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привлеченным</w:t>
            </w:r>
            <w:r w:rsidR="00E572BF">
              <w:t xml:space="preserve"> </w:t>
            </w:r>
            <w:r w:rsidRPr="008844CC">
              <w:t>средствам</w:t>
            </w:r>
            <w:r w:rsidR="00E572BF">
              <w:t xml:space="preserve"> </w:t>
            </w:r>
            <w:r w:rsidRPr="008844CC">
              <w:t>клиентов,</w:t>
            </w:r>
            <w:r w:rsidR="00E572BF">
              <w:t xml:space="preserve"> </w:t>
            </w:r>
            <w:r w:rsidRPr="008844CC">
              <w:t>не</w:t>
            </w:r>
            <w:r w:rsidR="00E572BF">
              <w:t xml:space="preserve"> </w:t>
            </w:r>
            <w:r w:rsidRPr="008844CC">
              <w:t>являющихся</w:t>
            </w:r>
            <w:r w:rsidR="00E572BF">
              <w:t xml:space="preserve"> </w:t>
            </w:r>
            <w:r w:rsidRPr="008844CC">
              <w:t>кредитными</w:t>
            </w:r>
            <w:r w:rsidR="00E572BF">
              <w:t xml:space="preserve"> </w:t>
            </w:r>
            <w:r w:rsidRPr="008844CC">
              <w:t>организациями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668248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29,65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1324340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44,40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656092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14,75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1229880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34,93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-94460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-9,47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выпущенным</w:t>
            </w:r>
            <w:r w:rsidR="00E572BF">
              <w:t xml:space="preserve"> </w:t>
            </w:r>
            <w:r w:rsidRPr="008844CC">
              <w:t>ценным</w:t>
            </w:r>
            <w:r w:rsidR="00E572BF">
              <w:t xml:space="preserve"> </w:t>
            </w:r>
            <w:r w:rsidRPr="008844CC">
              <w:t>бумагам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748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0,03</w:t>
            </w:r>
            <w:r w:rsidR="00BB5137"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777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BB5137" w:rsidP="002C57A0">
            <w:pPr>
              <w:pStyle w:val="af1"/>
              <w:ind w:left="-184" w:right="-112" w:firstLine="78"/>
              <w:jc w:val="center"/>
            </w:pPr>
            <w:r>
              <w:t>0,026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BB5137" w:rsidP="002C57A0">
            <w:pPr>
              <w:pStyle w:val="af1"/>
              <w:ind w:left="-184" w:right="-112" w:firstLine="78"/>
              <w:jc w:val="center"/>
            </w:pPr>
            <w:r>
              <w:t>-0,007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720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-57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AE19E8" w:rsidP="002C57A0">
            <w:pPr>
              <w:pStyle w:val="af1"/>
              <w:ind w:left="-184" w:right="-112" w:firstLine="78"/>
              <w:jc w:val="center"/>
            </w:pPr>
            <w:r>
              <w:t>-0,006</w:t>
            </w:r>
          </w:p>
        </w:tc>
      </w:tr>
    </w:tbl>
    <w:p w:rsidR="005E627C" w:rsidRDefault="005E627C" w:rsidP="009F5F1B">
      <w:pPr>
        <w:ind w:firstLine="0"/>
        <w:rPr>
          <w:rFonts w:cs="Times New Roman"/>
          <w:szCs w:val="28"/>
        </w:rPr>
      </w:pPr>
    </w:p>
    <w:p w:rsidR="00620289" w:rsidRPr="00620289" w:rsidRDefault="00620289" w:rsidP="00620289">
      <w:pPr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728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886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32,3%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538</w:t>
      </w:r>
      <w:r w:rsidR="00843C94">
        <w:rPr>
          <w:rFonts w:cs="Times New Roman"/>
          <w:szCs w:val="28"/>
        </w:rPr>
        <w:t>687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рублей.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Отдельно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выделяются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показатели:</w:t>
      </w:r>
    </w:p>
    <w:p w:rsidR="00620289" w:rsidRPr="00620289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lastRenderedPageBreak/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организациях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выросли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150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853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4,87%</w:t>
      </w:r>
      <w:r w:rsidR="00843C9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85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248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620289" w:rsidRPr="00620289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A5355A" w:rsidRPr="00620289">
        <w:rPr>
          <w:rFonts w:cs="Times New Roman"/>
          <w:szCs w:val="28"/>
        </w:rPr>
        <w:t>организациями,</w:t>
      </w:r>
      <w:r w:rsidR="00E572BF">
        <w:rPr>
          <w:rFonts w:cs="Times New Roman"/>
          <w:szCs w:val="28"/>
        </w:rPr>
        <w:t xml:space="preserve"> </w:t>
      </w:r>
      <w:r w:rsidR="00A5355A" w:rsidRPr="001C0F82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1C0F82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1C0F82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478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2,79%</w:t>
      </w:r>
      <w:r w:rsidR="00A5355A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рос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454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073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3D3E36" w:rsidRPr="00A60FEF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60FEF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99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823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2,07%.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634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рублей.</w:t>
      </w:r>
    </w:p>
    <w:p w:rsidR="00620289" w:rsidRPr="00620289" w:rsidRDefault="00620289" w:rsidP="00620289">
      <w:pPr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процентным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расходам: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678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15,34%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на</w:t>
      </w:r>
      <w:r w:rsidR="003F2920">
        <w:rPr>
          <w:rFonts w:cs="Times New Roman"/>
          <w:szCs w:val="28"/>
        </w:rPr>
        <w:br/>
      </w:r>
      <w:r w:rsidR="0079191F">
        <w:rPr>
          <w:rFonts w:cs="Times New Roman"/>
          <w:szCs w:val="28"/>
        </w:rPr>
        <w:t>79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522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рублей;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организаций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037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0,60%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14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995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являющихся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организациями,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656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092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14,75%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94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460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C901CF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выпущенным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ценным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бумагам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29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0,01%.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57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рублей.</w:t>
      </w:r>
    </w:p>
    <w:p w:rsidR="00697215" w:rsidRDefault="00C901CF" w:rsidP="00F77374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имеют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схожую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расходов.</w:t>
      </w:r>
      <w:r>
        <w:rPr>
          <w:rFonts w:cs="Times New Roman"/>
          <w:szCs w:val="28"/>
        </w:rPr>
        <w:br w:type="page"/>
      </w:r>
    </w:p>
    <w:p w:rsidR="00697215" w:rsidRDefault="00BD68C7" w:rsidP="00697215">
      <w:pPr>
        <w:pStyle w:val="1"/>
        <w:rPr>
          <w:caps w:val="0"/>
        </w:rPr>
      </w:pPr>
      <w:bookmarkStart w:id="10" w:name="_Toc168090073"/>
      <w:r>
        <w:lastRenderedPageBreak/>
        <w:t>Г</w:t>
      </w:r>
      <w:r>
        <w:rPr>
          <w:caps w:val="0"/>
        </w:rPr>
        <w:t>лава</w:t>
      </w:r>
      <w:r w:rsidR="00E572BF">
        <w:rPr>
          <w:caps w:val="0"/>
        </w:rPr>
        <w:t xml:space="preserve"> </w:t>
      </w:r>
      <w:r w:rsidR="00697215" w:rsidRPr="00697215">
        <w:t>3</w:t>
      </w:r>
      <w:r w:rsidR="00E572BF">
        <w:t xml:space="preserve"> </w:t>
      </w:r>
      <w:r w:rsidR="00E030F3" w:rsidRPr="00E030F3">
        <w:rPr>
          <w:caps w:val="0"/>
        </w:rPr>
        <w:t>Разработка модели оценки клиентов</w:t>
      </w:r>
      <w:bookmarkEnd w:id="10"/>
    </w:p>
    <w:p w:rsidR="00262881" w:rsidRDefault="00CD092F" w:rsidP="00CD092F">
      <w:pPr>
        <w:pStyle w:val="2"/>
      </w:pPr>
      <w:bookmarkStart w:id="11" w:name="_Toc168090074"/>
      <w:r w:rsidRPr="00CD092F">
        <w:t>3.1 Описание набора данных и целевой переменной</w:t>
      </w:r>
      <w:bookmarkEnd w:id="11"/>
    </w:p>
    <w:p w:rsidR="00B43CE2" w:rsidRDefault="00B43CE2" w:rsidP="006F008F">
      <w:r w:rsidRPr="00B43CE2">
        <w:t>Анализ пока</w:t>
      </w:r>
      <w:r>
        <w:t xml:space="preserve">зателей банковской деятельности неразрывно связан с таким понятием, как выборка данных. Выборка данных – это коллекция записей об анализируемых объектам с описанием значений их </w:t>
      </w:r>
      <w:r w:rsidR="00542C65">
        <w:t>характеристик (</w:t>
      </w:r>
      <w:r w:rsidR="000B4D8A">
        <w:t>сумма,</w:t>
      </w:r>
      <w:r w:rsidR="007046C9">
        <w:t xml:space="preserve"> время, баланс</w:t>
      </w:r>
      <w:r w:rsidR="000B4D8A">
        <w:t>)</w:t>
      </w:r>
      <w:r w:rsidR="007046C9">
        <w:t>. Ярким примером такой выборки является история платежей в любом банковском приложении. Характеристиками в этом случае являются сумма, получатель, дата, статус и т.д. Если выборка достаточно большая, то на её основе можно строить некоторые предсказания и прогнозировать</w:t>
      </w:r>
      <w:r w:rsidR="00C9521C">
        <w:t xml:space="preserve"> развитие событий. К примеру, приложение банка, видя, что </w:t>
      </w:r>
      <w:r w:rsidR="00C60FCD">
        <w:t>клиент заправляет автомобиль примерно в один и тот же день недели и на одинаковые суммы, может предоставлять ему максимально выгодные предложения в виде кешбэка.</w:t>
      </w:r>
    </w:p>
    <w:p w:rsidR="00C471C5" w:rsidRDefault="00C471C5" w:rsidP="00C471C5">
      <w:r>
        <w:t>Неотъемлемой частью функционирования банка являются его клиенты – будь то заемщики или клиенты с вкладами. Поэтому для банка важно отслеживать то,</w:t>
      </w:r>
      <w:r w:rsidR="00E8644A">
        <w:t xml:space="preserve"> с какой вероятностью тот или иной клиент принесет больше прибыли. Если в какой-то момент в банке окажутся лишь «проблемные» клиенты – заемщики с просрочками, либо клиенты начнут массово отказываться от услуг банка, то успешная деятельность такого банка стоит под бо</w:t>
      </w:r>
      <w:r w:rsidR="006F4AE8">
        <w:t xml:space="preserve">льшим вопросом. В этом случае важным показателем деятельности банка является </w:t>
      </w:r>
      <w:r w:rsidR="008E3CA1">
        <w:t xml:space="preserve">определение </w:t>
      </w:r>
      <w:r w:rsidR="006F4AE8">
        <w:t>вероятност</w:t>
      </w:r>
      <w:r w:rsidR="008E3CA1">
        <w:t>и</w:t>
      </w:r>
      <w:r w:rsidR="006F4AE8">
        <w:t xml:space="preserve"> отказа того или иного клиента от услуг банка.</w:t>
      </w:r>
    </w:p>
    <w:p w:rsidR="008C3514" w:rsidRPr="008C3514" w:rsidRDefault="006F4AE8" w:rsidP="00CD092F">
      <w:r>
        <w:t>В данной главе будет проанализирован датасет, содержащий в себе записи с характеристиками клиентов, а также</w:t>
      </w:r>
      <w:r w:rsidR="001F58EE">
        <w:t xml:space="preserve"> статическое значение – статус того, отказался клиент от услуг банка или нет. </w:t>
      </w:r>
      <w:r w:rsidR="00845134">
        <w:t>Обученная на такой выборке модель</w:t>
      </w:r>
      <w:r w:rsidR="001F58EE">
        <w:t xml:space="preserve"> позволит банку заранее прогнозировать уход клиентов, чтобы предложить им наиболее выгодные для них условия обслуживания</w:t>
      </w:r>
      <w:r w:rsidR="00845134">
        <w:t>. Таким образом банк сможет сохранить клиентскую базу и минимизировать убытки, связанные с</w:t>
      </w:r>
      <w:r w:rsidR="00D21CB8">
        <w:t xml:space="preserve"> непредвиденным</w:t>
      </w:r>
      <w:r w:rsidR="00845134">
        <w:t xml:space="preserve"> отказом клиентов от его услуг.</w:t>
      </w:r>
    </w:p>
    <w:p w:rsidR="00424C4F" w:rsidRDefault="00424C4F" w:rsidP="00424C4F">
      <w:r>
        <w:t>Датасет содержит следующие характеристики клиентов:</w:t>
      </w:r>
    </w:p>
    <w:p w:rsidR="00424C4F" w:rsidRDefault="00424C4F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CustomerId</w:t>
      </w:r>
      <w:r w:rsidRPr="003B17F2">
        <w:t xml:space="preserve"> – </w:t>
      </w:r>
      <w:r>
        <w:t>идентификационный номер клиента</w:t>
      </w:r>
      <w:r w:rsidR="003B17F2">
        <w:t xml:space="preserve"> (числовой тип)</w:t>
      </w:r>
      <w:r>
        <w:t>;</w:t>
      </w:r>
    </w:p>
    <w:p w:rsidR="00424C4F" w:rsidRDefault="00424C4F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CreditScore</w:t>
      </w:r>
      <w:r w:rsidRPr="003B17F2">
        <w:t xml:space="preserve"> – </w:t>
      </w:r>
      <w:r>
        <w:t>кредитный рейтинг клиента</w:t>
      </w:r>
      <w:r w:rsidR="003B17F2">
        <w:t xml:space="preserve"> (числовой тип)</w:t>
      </w:r>
      <w:r>
        <w:t>;</w:t>
      </w:r>
    </w:p>
    <w:p w:rsidR="00424C4F" w:rsidRPr="003B17F2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Gender – </w:t>
      </w:r>
      <w:r>
        <w:t>пол</w:t>
      </w:r>
      <w:r w:rsidRPr="003B17F2">
        <w:rPr>
          <w:lang w:val="en-US"/>
        </w:rPr>
        <w:t xml:space="preserve"> </w:t>
      </w:r>
      <w:r>
        <w:t>клиента</w:t>
      </w:r>
      <w:r w:rsidR="003B17F2" w:rsidRPr="003B17F2">
        <w:rPr>
          <w:lang w:val="en-US"/>
        </w:rPr>
        <w:t xml:space="preserve"> (male,female)</w:t>
      </w:r>
      <w:r>
        <w:rPr>
          <w:lang w:val="en-US"/>
        </w:rPr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Age</w:t>
      </w:r>
      <w:r w:rsidRPr="003B17F2">
        <w:t xml:space="preserve"> – </w:t>
      </w:r>
      <w:r>
        <w:t>возраст клиента</w:t>
      </w:r>
      <w:r w:rsidR="003B17F2" w:rsidRPr="003B17F2">
        <w:t>(</w:t>
      </w:r>
      <w:r w:rsidR="003B17F2">
        <w:t>числовой тип</w:t>
      </w:r>
      <w:r w:rsidR="003B17F2" w:rsidRPr="003B17F2">
        <w:t>)</w:t>
      </w:r>
      <w:r w:rsidRPr="003B17F2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Tenure</w:t>
      </w:r>
      <w:r w:rsidRPr="00EB1B8E">
        <w:t xml:space="preserve"> – </w:t>
      </w:r>
      <w:r>
        <w:t>количество лет, сколько клиент пользуется услугами банка</w:t>
      </w:r>
      <w:r w:rsidR="003B17F2">
        <w:t xml:space="preserve"> (числовой тип)</w:t>
      </w:r>
      <w:r w:rsidRPr="00EB1B8E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Balance</w:t>
      </w:r>
      <w:r w:rsidRPr="003B17F2">
        <w:t xml:space="preserve"> – </w:t>
      </w:r>
      <w:r>
        <w:t>баланс счета клиента</w:t>
      </w:r>
      <w:r w:rsidR="003B17F2">
        <w:t xml:space="preserve"> (числовой тип)</w:t>
      </w:r>
      <w:r w:rsidRPr="003B17F2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NumOfProduct</w:t>
      </w:r>
      <w:r w:rsidRPr="00EB1B8E">
        <w:t xml:space="preserve"> – </w:t>
      </w:r>
      <w:r>
        <w:t>количество продуктов, которыми воспользовался клиент</w:t>
      </w:r>
      <w:r w:rsidR="003B17F2">
        <w:t xml:space="preserve"> (числовой тип)</w:t>
      </w:r>
      <w:r w:rsidRPr="00EB1B8E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HasCrCard</w:t>
      </w:r>
      <w:r w:rsidRPr="00EB1B8E">
        <w:t xml:space="preserve"> – </w:t>
      </w:r>
      <w:r>
        <w:t>статус наличия кредитной карты у клиента</w:t>
      </w:r>
      <w:r w:rsidR="003B17F2">
        <w:t xml:space="preserve"> (0,1)</w:t>
      </w:r>
      <w:r w:rsidRPr="00EB1B8E">
        <w:t>;</w:t>
      </w:r>
    </w:p>
    <w:p w:rsidR="00EB1B8E" w:rsidRDefault="00C414CA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EstimatedSalary</w:t>
      </w:r>
      <w:r w:rsidRPr="00C414CA">
        <w:t xml:space="preserve"> – </w:t>
      </w:r>
      <w:r>
        <w:t>величина предполагаемой зарплаты клиента</w:t>
      </w:r>
      <w:r w:rsidR="003B17F2">
        <w:t xml:space="preserve"> (числовой тип);</w:t>
      </w:r>
    </w:p>
    <w:p w:rsidR="00C414CA" w:rsidRDefault="00C414CA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Exited</w:t>
      </w:r>
      <w:r w:rsidRPr="00392786">
        <w:t xml:space="preserve"> </w:t>
      </w:r>
      <w:r w:rsidR="00392786" w:rsidRPr="00392786">
        <w:t>–</w:t>
      </w:r>
      <w:r w:rsidRPr="00392786">
        <w:t xml:space="preserve"> </w:t>
      </w:r>
      <w:r w:rsidR="00392786">
        <w:t>статус того, отказался ли клиент от услуг банка</w:t>
      </w:r>
      <w:r w:rsidR="003B17F2">
        <w:t xml:space="preserve"> (0</w:t>
      </w:r>
      <w:r w:rsidR="00BF5845">
        <w:t>,</w:t>
      </w:r>
      <w:r w:rsidR="003F2920">
        <w:t>1</w:t>
      </w:r>
      <w:r w:rsidR="003B17F2">
        <w:t>).</w:t>
      </w:r>
    </w:p>
    <w:p w:rsidR="00C414CA" w:rsidRDefault="00C414CA" w:rsidP="00C414CA">
      <w:r>
        <w:t xml:space="preserve">Данные параметры выбраны неслучайно. К </w:t>
      </w:r>
      <w:r w:rsidR="00392786">
        <w:t>примеру, клиенты с большим кредитным рейтингом или большим балансом счета с меньшей вероятностью уйдут из банка.</w:t>
      </w:r>
    </w:p>
    <w:p w:rsidR="00572E17" w:rsidRDefault="00572E17" w:rsidP="00C414CA">
      <w:r>
        <w:t xml:space="preserve">Целевая переменная будет классифицировать заёмщиков по </w:t>
      </w:r>
      <w:r w:rsidR="00174726">
        <w:t>предполагаемому решению на отказ от услуг банка в данный момент, где 0 – клиент не отказывается от услуг банка, 1 – клиент отказывается от услуг банка. Обученная модель позволит достаточно точно прогнозировать статус клиента в текущий момент</w:t>
      </w:r>
      <w:r w:rsidR="00D57AF6">
        <w:t xml:space="preserve"> и вероятность отказала от услуг банка</w:t>
      </w:r>
      <w:r w:rsidR="00174726">
        <w:t xml:space="preserve"> по указанным ей характеристикам.</w:t>
      </w:r>
      <w:r w:rsidR="00DD196A">
        <w:t xml:space="preserve"> Качество обучения зависит от размера выборки и количества заданных характеристик.</w:t>
      </w:r>
    </w:p>
    <w:p w:rsidR="0031786E" w:rsidRDefault="00DD196A" w:rsidP="0031786E">
      <w:r>
        <w:t xml:space="preserve">Для анализа подобных датасетов удобно использовать метод </w:t>
      </w:r>
      <w:r w:rsidR="00631562">
        <w:t>бинарной</w:t>
      </w:r>
      <w:r>
        <w:t xml:space="preserve"> классификации. </w:t>
      </w:r>
      <w:r w:rsidR="0031786E">
        <w:t xml:space="preserve">Метод </w:t>
      </w:r>
      <w:r w:rsidR="00631562" w:rsidRPr="00631562">
        <w:t xml:space="preserve">бинарной </w:t>
      </w:r>
      <w:r w:rsidR="0031786E">
        <w:t>классификации - это задача машинного обучения, в которой для каждого объекта из входного набора данных необходимо предсказать одну из нескольких возможных категорий или классов.</w:t>
      </w:r>
    </w:p>
    <w:p w:rsidR="0031786E" w:rsidRDefault="00A8111E" w:rsidP="0031786E">
      <w:r>
        <w:t>В</w:t>
      </w:r>
      <w:r w:rsidR="0031786E">
        <w:t xml:space="preserve"> </w:t>
      </w:r>
      <w:r w:rsidR="00631562">
        <w:t>бинарной</w:t>
      </w:r>
      <w:r w:rsidR="0031786E">
        <w:t xml:space="preserve"> классификации присутствует </w:t>
      </w:r>
      <w:r w:rsidRPr="00A8111E">
        <w:t>только два возможных класса (например</w:t>
      </w:r>
      <w:r w:rsidR="00CB10EF">
        <w:t>, яблоко или нет</w:t>
      </w:r>
      <w:r w:rsidRPr="00A8111E">
        <w:t>)</w:t>
      </w:r>
      <w:r w:rsidR="0031786E">
        <w:t>.</w:t>
      </w:r>
    </w:p>
    <w:p w:rsidR="00D36909" w:rsidRDefault="00D36909" w:rsidP="00311CD7">
      <w:pPr>
        <w:pStyle w:val="2"/>
      </w:pPr>
      <w:bookmarkStart w:id="12" w:name="_Toc167295916"/>
      <w:bookmarkStart w:id="13" w:name="_Toc168090075"/>
      <w:r>
        <w:lastRenderedPageBreak/>
        <w:t>3.</w:t>
      </w:r>
      <w:r w:rsidR="007E4CB4">
        <w:t>2</w:t>
      </w:r>
      <w:r>
        <w:t xml:space="preserve"> Обучение </w:t>
      </w:r>
      <w:bookmarkEnd w:id="12"/>
      <w:r w:rsidR="007E4CB4">
        <w:t>модели</w:t>
      </w:r>
      <w:bookmarkEnd w:id="13"/>
    </w:p>
    <w:p w:rsidR="006B1C42" w:rsidRPr="006B1C42" w:rsidRDefault="006B1C42" w:rsidP="006B1C42"/>
    <w:p w:rsidR="00D36909" w:rsidRDefault="007E5932" w:rsidP="0031786E">
      <w:r>
        <w:t>Для обучения модели все категориальные и числовые признаки были стандартизированы для удобной обработки.</w:t>
      </w:r>
      <w:r w:rsidR="005A178E">
        <w:t xml:space="preserve"> Перед обучением модели выборка была поделена на тестовую выборку (30% данных), и обучающую выборку (</w:t>
      </w:r>
      <w:r w:rsidR="00C5053A">
        <w:t>7</w:t>
      </w:r>
      <w:r w:rsidR="005A178E">
        <w:t xml:space="preserve">0% данных). </w:t>
      </w:r>
      <w:r w:rsidR="005A178E" w:rsidRPr="005A178E">
        <w:t>Обучающая выборка используется для трен</w:t>
      </w:r>
      <w:r w:rsidR="005A178E">
        <w:t>ировки модели, а тестовая выбор</w:t>
      </w:r>
      <w:r w:rsidR="005A178E" w:rsidRPr="005A178E">
        <w:t>ка – для оценки ее производительности</w:t>
      </w:r>
      <w:r w:rsidR="005A178E">
        <w:t xml:space="preserve"> и точности</w:t>
      </w:r>
      <w:r w:rsidR="005A178E" w:rsidRPr="005A178E">
        <w:t>.</w:t>
      </w:r>
    </w:p>
    <w:p w:rsidR="00475110" w:rsidRDefault="00475110" w:rsidP="00475110">
      <w:r>
        <w:t xml:space="preserve">На рисунке 1 приведена статистика </w:t>
      </w:r>
      <w:r w:rsidR="00771FBE">
        <w:t>количества клиентов по кредитному рейтингу для каждого из двух классов</w:t>
      </w:r>
      <w:r>
        <w:t>.</w:t>
      </w:r>
    </w:p>
    <w:p w:rsidR="00475110" w:rsidRDefault="00771FBE" w:rsidP="00475110">
      <w:pPr>
        <w:ind w:firstLine="0"/>
      </w:pPr>
      <w:r w:rsidRPr="00771FBE">
        <w:rPr>
          <w:noProof/>
          <w:lang w:eastAsia="ru-RU"/>
        </w:rPr>
        <w:drawing>
          <wp:inline distT="0" distB="0" distL="0" distR="0" wp14:anchorId="01FA33F0" wp14:editId="6CCC57C6">
            <wp:extent cx="5940425" cy="29070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8E" w:rsidRDefault="00475110" w:rsidP="00475110">
      <w:pPr>
        <w:jc w:val="center"/>
      </w:pPr>
      <w:r>
        <w:t xml:space="preserve">Рисунок 1. </w:t>
      </w:r>
      <w:r w:rsidR="00771FBE">
        <w:t>С</w:t>
      </w:r>
      <w:r w:rsidR="00771FBE" w:rsidRPr="00771FBE">
        <w:t>татистика количества клиентов по кредитному рейтингу для каждого из двух классов</w:t>
      </w:r>
    </w:p>
    <w:p w:rsidR="00771FBE" w:rsidRDefault="00771FBE" w:rsidP="00771FBE">
      <w:r>
        <w:t>Очевидна некоторая разница между графиками. В левом графике больше людей с кредитным рейтингом</w:t>
      </w:r>
      <w:r w:rsidR="00883394">
        <w:t xml:space="preserve"> ниже среднего. В правом графике, который описывает людей, которые отказались от услуг банка, больше людей с рейтингом выше среднего.</w:t>
      </w:r>
    </w:p>
    <w:p w:rsidR="0016094A" w:rsidRDefault="0016094A" w:rsidP="00771FBE">
      <w:r>
        <w:t>На рисунке 2 представлена статистика клиентов по возрастам для каждого из двух классов.</w:t>
      </w:r>
    </w:p>
    <w:p w:rsidR="00946D79" w:rsidRDefault="00946D79" w:rsidP="00771FBE">
      <w:r>
        <w:t>Даже без предварительного анализа видно различия двух групп. В группе клиентов, которые отказались от услуг банка, преобладает возраст 40-</w:t>
      </w:r>
      <w:r>
        <w:lastRenderedPageBreak/>
        <w:t>45 лет. В группе клиентов, не отказывающихся от услуг банка, преобладающий возраст находится в диапазоне</w:t>
      </w:r>
      <w:r w:rsidR="006E5D7F">
        <w:t xml:space="preserve"> 30-35 лет.</w:t>
      </w:r>
    </w:p>
    <w:p w:rsidR="0016094A" w:rsidRDefault="006E5D7F" w:rsidP="006E5D7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8626" cy="2817341"/>
            <wp:effectExtent l="0" t="0" r="0" b="0"/>
            <wp:docPr id="19" name="Рисунок 19" descr="C:\Users\SSHevaldov\AppData\Local\Microsoft\Windows\INetCache\Content.MSO\A6D1AC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Hevaldov\AppData\Local\Microsoft\Windows\INetCache\Content.MSO\A6D1AC4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8"/>
                    <a:stretch/>
                  </pic:blipFill>
                  <pic:spPr bwMode="auto">
                    <a:xfrm>
                      <a:off x="0" y="0"/>
                      <a:ext cx="5940425" cy="28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D79" w:rsidRDefault="00946D79" w:rsidP="006E5D7F">
      <w:pPr>
        <w:jc w:val="center"/>
      </w:pPr>
      <w:r w:rsidRPr="00946D79">
        <w:t xml:space="preserve">Рисунок </w:t>
      </w:r>
      <w:r>
        <w:t>2</w:t>
      </w:r>
      <w:r w:rsidRPr="00946D79">
        <w:t xml:space="preserve">. </w:t>
      </w:r>
      <w:r>
        <w:t>С</w:t>
      </w:r>
      <w:r w:rsidRPr="00946D79">
        <w:t>татистика клиентов по возрастам для каждого из двух классов</w:t>
      </w:r>
    </w:p>
    <w:p w:rsidR="00EC505C" w:rsidRDefault="006E5D7F" w:rsidP="00EC505C">
      <w:r>
        <w:t>Проведем анализ статистики клиентов по</w:t>
      </w:r>
      <w:r w:rsidR="00EC505C">
        <w:t xml:space="preserve"> </w:t>
      </w:r>
      <w:r w:rsidR="00037C41">
        <w:t>значению баланса</w:t>
      </w:r>
      <w:r w:rsidR="00EC505C">
        <w:t xml:space="preserve">. На рисунке 3 представлена статистика клиентов </w:t>
      </w:r>
      <w:r w:rsidR="00037C41" w:rsidRPr="00037C41">
        <w:t>по значению баланса</w:t>
      </w:r>
      <w:r w:rsidR="00EC505C">
        <w:t>.</w:t>
      </w:r>
    </w:p>
    <w:p w:rsidR="00037C41" w:rsidRDefault="00CF3531" w:rsidP="006C0458">
      <w:pPr>
        <w:ind w:firstLine="0"/>
        <w:jc w:val="center"/>
      </w:pPr>
      <w:bookmarkStart w:id="14" w:name="_GoBack"/>
      <w:r>
        <w:rPr>
          <w:noProof/>
          <w:lang w:eastAsia="ru-RU"/>
        </w:rPr>
        <w:drawing>
          <wp:inline distT="0" distB="0" distL="0" distR="0">
            <wp:extent cx="5940425" cy="2946451"/>
            <wp:effectExtent l="0" t="0" r="0" b="0"/>
            <wp:docPr id="21" name="Рисунок 21" descr="C:\Users\SSHevaldov\AppData\Local\Microsoft\Windows\INetCache\Content.MSO\6BDA5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Hevaldov\AppData\Local\Microsoft\Windows\INetCache\Content.MSO\6BDA5A1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037C41" w:rsidRDefault="00037C41" w:rsidP="00037C41">
      <w:pPr>
        <w:jc w:val="center"/>
      </w:pPr>
      <w:r w:rsidRPr="00037C41">
        <w:t xml:space="preserve">Рисунок </w:t>
      </w:r>
      <w:r>
        <w:t>3</w:t>
      </w:r>
      <w:r w:rsidRPr="00037C41">
        <w:t xml:space="preserve">. </w:t>
      </w:r>
      <w:r>
        <w:t>С</w:t>
      </w:r>
      <w:r w:rsidRPr="00037C41">
        <w:t>татистика клиентов по значению баланса</w:t>
      </w:r>
    </w:p>
    <w:p w:rsidR="00C25925" w:rsidRDefault="00C25925" w:rsidP="00C25925">
      <w:r>
        <w:t xml:space="preserve">Статистика по классам в целом одинаковая, за исключением того, что </w:t>
      </w:r>
      <w:r w:rsidR="00CF3ED1">
        <w:t xml:space="preserve">клиенты с самым популярным балансом, отказавшиеся от услуг банка, имеют большую массу в общем количестве клиентов, по сравнению с теми, кто </w:t>
      </w:r>
      <w:r w:rsidR="00CF3ED1">
        <w:lastRenderedPageBreak/>
        <w:t>остался. Также можно заметить, что отказаться от обслуживания банка наиболее склонны клиенты с меньшим значением баланса, нежели те, кто остался.</w:t>
      </w:r>
    </w:p>
    <w:p w:rsidR="00F75CB4" w:rsidRDefault="009529D6" w:rsidP="00F75CB4">
      <w:r>
        <w:t xml:space="preserve">Таким образом, основываясь лишь на эмпирическом </w:t>
      </w:r>
      <w:r w:rsidR="00DA372D">
        <w:t xml:space="preserve">анализе всего трех </w:t>
      </w:r>
      <w:r>
        <w:t>предоставленных графиков можно сделать вывод, что наиболее склонны к отказу от обслуживания клиенты, обладающими следующими характеристиками.</w:t>
      </w:r>
    </w:p>
    <w:p w:rsidR="009529D6" w:rsidRP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>Кредитный рейтинг 650</w:t>
      </w:r>
      <w:r>
        <w:rPr>
          <w:lang w:val="en-US"/>
        </w:rPr>
        <w:t>;</w:t>
      </w:r>
    </w:p>
    <w:p w:rsid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>Возраст 40-45 лет;</w:t>
      </w:r>
    </w:p>
    <w:p w:rsid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 xml:space="preserve">Баланс счета 10 тыс. </w:t>
      </w:r>
      <w:r w:rsidR="00A97A3A">
        <w:t>долл.</w:t>
      </w:r>
      <w:r>
        <w:t xml:space="preserve"> – 12 тыс. долл.</w:t>
      </w:r>
    </w:p>
    <w:p w:rsidR="00CF3531" w:rsidRDefault="00DA372D" w:rsidP="00DA372D">
      <w:pPr>
        <w:tabs>
          <w:tab w:val="left" w:pos="1134"/>
        </w:tabs>
      </w:pPr>
      <w:r>
        <w:t xml:space="preserve">Обучение модели позволяет более точно определить характеристики клиентов за счет увеличенного датасета и более </w:t>
      </w:r>
      <w:r w:rsidR="00A97A3A">
        <w:t>обширного</w:t>
      </w:r>
      <w:r>
        <w:t xml:space="preserve"> его изучения. Больше характеристик также дадут б</w:t>
      </w:r>
      <w:r w:rsidR="00A97A3A" w:rsidRPr="00A97A3A">
        <w:t>ó</w:t>
      </w:r>
      <w:r>
        <w:t>льшую точность</w:t>
      </w:r>
      <w:r w:rsidR="00A97A3A">
        <w:t>.</w:t>
      </w:r>
      <w:r w:rsidR="00837651">
        <w:t xml:space="preserve"> Обученной моделью можно пользоваться, чтобы при обнаружении признаков, наиболее присущих клиентам, которые отказались от обслуживания, превентивно предложить </w:t>
      </w:r>
      <w:r w:rsidR="006A4F1E">
        <w:t>ему</w:t>
      </w:r>
      <w:r w:rsidR="00837651">
        <w:t xml:space="preserve"> более выгодные условия, скидки, кешбэк и другие преференции</w:t>
      </w:r>
      <w:r w:rsidR="006A4F1E">
        <w:t>, чтобы максимально снизить вероятность отказа. Это позволит уменьшить издержки и сохранить прибыль за счет сдерживания части клиентов.</w:t>
      </w:r>
    </w:p>
    <w:p w:rsidR="007E4CB4" w:rsidRDefault="007E4CB4" w:rsidP="007E4CB4">
      <w:pPr>
        <w:pStyle w:val="2"/>
      </w:pPr>
      <w:bookmarkStart w:id="15" w:name="_Toc168090076"/>
      <w:r>
        <w:t>3.3 Оценка модели</w:t>
      </w:r>
      <w:bookmarkEnd w:id="15"/>
    </w:p>
    <w:p w:rsidR="00A97A3A" w:rsidRDefault="00A97A3A" w:rsidP="00A97A3A">
      <w:pPr>
        <w:tabs>
          <w:tab w:val="left" w:pos="1134"/>
        </w:tabs>
      </w:pPr>
      <w:r>
        <w:t>Рассмотрим результаты проведенного обучения и тестирования модели. Как описывалось ранее, выборка была разделена на две части – тренировочная и тестовая.</w:t>
      </w:r>
      <w:r w:rsidR="006A4F1E">
        <w:t xml:space="preserve"> На рисунке</w:t>
      </w:r>
      <w:r w:rsidR="00C235CA">
        <w:t xml:space="preserve"> 4 представлены результаты обучения и тестирования модели.</w:t>
      </w:r>
    </w:p>
    <w:p w:rsidR="00C235CA" w:rsidRDefault="009470C5" w:rsidP="00BA3102">
      <w:pPr>
        <w:tabs>
          <w:tab w:val="left" w:pos="1134"/>
        </w:tabs>
        <w:jc w:val="center"/>
      </w:pPr>
      <w:r w:rsidRPr="009470C5">
        <w:lastRenderedPageBreak/>
        <w:drawing>
          <wp:inline distT="0" distB="0" distL="0" distR="0" wp14:anchorId="59358363" wp14:editId="5C1145EF">
            <wp:extent cx="4172532" cy="316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97" w:rsidRDefault="00CD3997" w:rsidP="00BA3102">
      <w:pPr>
        <w:tabs>
          <w:tab w:val="left" w:pos="1134"/>
        </w:tabs>
        <w:jc w:val="center"/>
      </w:pPr>
      <w:r>
        <w:t>Рисунок 4. Результаты обучения и тестирования модели.</w:t>
      </w:r>
    </w:p>
    <w:p w:rsidR="00CD3997" w:rsidRDefault="00B343FC" w:rsidP="00A97A3A">
      <w:pPr>
        <w:tabs>
          <w:tab w:val="left" w:pos="1134"/>
        </w:tabs>
      </w:pPr>
      <w:r>
        <w:t>Данное изображение содержит метрики прогона модели на тестовых данных. Обобщенным параметром, определяющим качество обучение модели, является</w:t>
      </w:r>
      <w:r w:rsidRPr="00B343FC">
        <w:t xml:space="preserve"> </w:t>
      </w:r>
      <w:r>
        <w:rPr>
          <w:lang w:val="en-US"/>
        </w:rPr>
        <w:t>ROC</w:t>
      </w:r>
      <w:r w:rsidRPr="00B343FC">
        <w:t>-</w:t>
      </w:r>
      <w:r>
        <w:rPr>
          <w:lang w:val="en-US"/>
        </w:rPr>
        <w:t>AUC</w:t>
      </w:r>
      <w:r w:rsidRPr="00B343FC">
        <w:t xml:space="preserve"> </w:t>
      </w:r>
      <w:r>
        <w:rPr>
          <w:lang w:val="en-US"/>
        </w:rPr>
        <w:t>score</w:t>
      </w:r>
      <w:r w:rsidRPr="00B343FC">
        <w:t xml:space="preserve">. </w:t>
      </w:r>
      <w:r>
        <w:t>Данных показатель измеряется в пределах от 0</w:t>
      </w:r>
      <w:r w:rsidR="008A6A7B">
        <w:t xml:space="preserve"> до 1 включительно, где 0</w:t>
      </w:r>
      <w:r w:rsidR="00311CD7">
        <w:t>,5</w:t>
      </w:r>
      <w:r w:rsidR="008A6A7B">
        <w:t xml:space="preserve"> – </w:t>
      </w:r>
      <w:r w:rsidR="00311CD7">
        <w:t>случайное угадывание</w:t>
      </w:r>
      <w:r w:rsidR="008A6A7B">
        <w:t xml:space="preserve">, и 1 – полное соответствие тестовым данным. Значение 0,82 считается хорошим. Можно сделал вывод о том, что с вероятностью 82% модель верно определит </w:t>
      </w:r>
      <w:r w:rsidR="009470C5">
        <w:t>вероятность того, кто клиент может покинуть банк</w:t>
      </w:r>
      <w:r w:rsidR="008A6A7B">
        <w:t>.</w:t>
      </w:r>
    </w:p>
    <w:p w:rsidR="000E614B" w:rsidRDefault="000E614B" w:rsidP="00A97A3A">
      <w:pPr>
        <w:tabs>
          <w:tab w:val="left" w:pos="1134"/>
        </w:tabs>
      </w:pPr>
      <w:r>
        <w:t>Кроме этого на рисунке 4 присутствуют другие показатели:</w:t>
      </w:r>
    </w:p>
    <w:p w:rsidR="005363D2" w:rsidRDefault="005363D2" w:rsidP="005363D2">
      <w:pPr>
        <w:tabs>
          <w:tab w:val="left" w:pos="1134"/>
        </w:tabs>
      </w:pPr>
      <w:r>
        <w:t>1.</w:t>
      </w:r>
      <w:r>
        <w:tab/>
        <w:t xml:space="preserve">precision (точность): доля правильно предсказанных положительных результатов к общему числу предсказанных положительных результатов. Для класса </w:t>
      </w:r>
      <w:r w:rsidR="0082171B">
        <w:t>1</w:t>
      </w:r>
      <w:r>
        <w:t xml:space="preserve"> (</w:t>
      </w:r>
      <w:r w:rsidR="0082171B" w:rsidRPr="0082171B">
        <w:t>отказ от услуг</w:t>
      </w:r>
      <w:r>
        <w:t>) точность 0,</w:t>
      </w:r>
      <w:r w:rsidR="0082171B">
        <w:t>72</w:t>
      </w:r>
      <w:r>
        <w:t xml:space="preserve"> означает, что </w:t>
      </w:r>
      <w:r w:rsidR="0082171B">
        <w:t>72</w:t>
      </w:r>
      <w:r>
        <w:t>% предсказанных моделью случаев как «</w:t>
      </w:r>
      <w:r w:rsidR="0082171B">
        <w:t>отказ от услуг</w:t>
      </w:r>
      <w:r>
        <w:t>» действительно принадлежат этому классу.</w:t>
      </w:r>
    </w:p>
    <w:p w:rsidR="005363D2" w:rsidRDefault="005363D2" w:rsidP="005363D2">
      <w:pPr>
        <w:tabs>
          <w:tab w:val="left" w:pos="1134"/>
        </w:tabs>
      </w:pPr>
      <w:r>
        <w:t>2.</w:t>
      </w:r>
      <w:r>
        <w:tab/>
        <w:t>recall (полнота): доля правильно предсказанных положительных результатов к общему числу реальных положительных результатов. Для класса 1 (</w:t>
      </w:r>
      <w:r w:rsidR="0082171B" w:rsidRPr="0082171B">
        <w:t>отказ от услуг</w:t>
      </w:r>
      <w:r>
        <w:t>) полнота 0,</w:t>
      </w:r>
      <w:r w:rsidR="0082171B">
        <w:t>37</w:t>
      </w:r>
      <w:r>
        <w:t xml:space="preserve"> означает, что из всех реальных случаев «</w:t>
      </w:r>
      <w:r w:rsidR="0082171B" w:rsidRPr="0082171B">
        <w:t>отказ от услуг</w:t>
      </w:r>
      <w:r>
        <w:t xml:space="preserve">» модель правильно предсказала </w:t>
      </w:r>
      <w:r w:rsidR="0082171B">
        <w:t>37</w:t>
      </w:r>
      <w:r>
        <w:t>%.</w:t>
      </w:r>
    </w:p>
    <w:p w:rsidR="005363D2" w:rsidRDefault="005363D2" w:rsidP="005363D2">
      <w:pPr>
        <w:tabs>
          <w:tab w:val="left" w:pos="1134"/>
        </w:tabs>
      </w:pPr>
      <w:r>
        <w:lastRenderedPageBreak/>
        <w:t>3.</w:t>
      </w:r>
      <w:r>
        <w:tab/>
        <w:t xml:space="preserve">f1-score (F1-мера): гармоническое среднее между точностью и полнотой. Эта метрика полезна, когда важен баланс между точностью и полнотой. Для класса </w:t>
      </w:r>
      <w:r w:rsidR="0082171B">
        <w:t>0</w:t>
      </w:r>
      <w:r>
        <w:t xml:space="preserve"> (</w:t>
      </w:r>
      <w:r w:rsidR="0082171B">
        <w:t>не отказ от услуг</w:t>
      </w:r>
      <w:r>
        <w:t>) F1-мера 0,</w:t>
      </w:r>
      <w:r w:rsidR="0082171B">
        <w:t>90</w:t>
      </w:r>
      <w:r>
        <w:t xml:space="preserve"> указывает на среднюю производительность модели по этому классу.</w:t>
      </w:r>
    </w:p>
    <w:p w:rsidR="005363D2" w:rsidRDefault="005363D2" w:rsidP="005363D2">
      <w:pPr>
        <w:tabs>
          <w:tab w:val="left" w:pos="1134"/>
        </w:tabs>
      </w:pPr>
      <w:r>
        <w:t>4.</w:t>
      </w:r>
      <w:r>
        <w:tab/>
        <w:t xml:space="preserve">support (поддержка): число реальных наблюдений каждого класса в тестовом наборе данных. для класса </w:t>
      </w:r>
      <w:r w:rsidR="0082171B">
        <w:t>1</w:t>
      </w:r>
      <w:r>
        <w:t xml:space="preserve"> (</w:t>
      </w:r>
      <w:r w:rsidR="0082171B">
        <w:t>отказ от услуг</w:t>
      </w:r>
      <w:r>
        <w:t>) поддержка равна 4</w:t>
      </w:r>
      <w:r w:rsidR="0082171B">
        <w:t>16</w:t>
      </w:r>
      <w:r>
        <w:t>, что означает, что в тестовом наборе данных 4</w:t>
      </w:r>
      <w:r w:rsidR="0082171B">
        <w:t>16</w:t>
      </w:r>
      <w:r>
        <w:t xml:space="preserve"> наблюдений относятся к этому классу.</w:t>
      </w:r>
    </w:p>
    <w:p w:rsidR="005363D2" w:rsidRDefault="005363D2" w:rsidP="005363D2">
      <w:pPr>
        <w:tabs>
          <w:tab w:val="left" w:pos="1134"/>
        </w:tabs>
      </w:pPr>
      <w:r>
        <w:t>Средние метрики:</w:t>
      </w:r>
    </w:p>
    <w:p w:rsidR="005363D2" w:rsidRDefault="005363D2" w:rsidP="005363D2">
      <w:pPr>
        <w:tabs>
          <w:tab w:val="left" w:pos="1134"/>
        </w:tabs>
      </w:pPr>
      <w:r>
        <w:t>1.</w:t>
      </w:r>
      <w:r>
        <w:tab/>
        <w:t>accuracy (точность): доля правильно предсказанных наблюдений ко всем наблюдениям. В данном случае точность составляет 0,8</w:t>
      </w:r>
      <w:r w:rsidR="006D76F0">
        <w:t>4</w:t>
      </w:r>
      <w:r>
        <w:t>, что означает, что 8</w:t>
      </w:r>
      <w:r w:rsidR="006D76F0">
        <w:t>4</w:t>
      </w:r>
      <w:r>
        <w:t>% всех предсказаний были правильными.</w:t>
      </w:r>
    </w:p>
    <w:p w:rsidR="005363D2" w:rsidRDefault="005363D2" w:rsidP="005363D2">
      <w:pPr>
        <w:tabs>
          <w:tab w:val="left" w:pos="1134"/>
        </w:tabs>
      </w:pPr>
      <w:r>
        <w:t>2.</w:t>
      </w:r>
      <w:r>
        <w:tab/>
        <w:t xml:space="preserve">macro avg (макросреднее): средние значения метрик (точности, </w:t>
      </w:r>
      <w:r w:rsidR="009115E9">
        <w:t>полноты</w:t>
      </w:r>
      <w:r>
        <w:t xml:space="preserve"> и F1-меры) по всем классам, где каждому классу присваивается </w:t>
      </w:r>
      <w:r w:rsidR="009115E9">
        <w:t>одинаковый</w:t>
      </w:r>
      <w:r>
        <w:t xml:space="preserve"> вес.</w:t>
      </w:r>
    </w:p>
    <w:p w:rsidR="000E614B" w:rsidRDefault="005363D2" w:rsidP="005363D2">
      <w:pPr>
        <w:tabs>
          <w:tab w:val="left" w:pos="1134"/>
        </w:tabs>
      </w:pPr>
      <w:r>
        <w:t>3.</w:t>
      </w:r>
      <w:r>
        <w:tab/>
        <w:t>weighted avg (взвешенное среднее): средние значения метрик (</w:t>
      </w:r>
      <w:r w:rsidR="006D76F0">
        <w:t>точности</w:t>
      </w:r>
      <w:r>
        <w:t xml:space="preserve">, полноты и F1-меры) по всем классам, где вес каждого класса </w:t>
      </w:r>
      <w:r w:rsidR="006D76F0">
        <w:t>пропорционален</w:t>
      </w:r>
      <w:r>
        <w:t xml:space="preserve"> его поддержке.</w:t>
      </w:r>
    </w:p>
    <w:p w:rsidR="006D76F0" w:rsidRDefault="006D76F0" w:rsidP="005363D2">
      <w:pPr>
        <w:tabs>
          <w:tab w:val="left" w:pos="1134"/>
        </w:tabs>
      </w:pPr>
      <w:r>
        <w:t xml:space="preserve">Таким образом обученная модель может быть использована в банках, в которых преобладает работа с физическими лицами, так как от них зависит значительная часть прибыли таких организаций. Увеличить </w:t>
      </w:r>
      <w:r w:rsidR="009115E9">
        <w:t>точность предсказаний можно за счет изменения двух характеристик датасета:</w:t>
      </w:r>
    </w:p>
    <w:p w:rsidR="009115E9" w:rsidRDefault="009115E9" w:rsidP="009115E9">
      <w:pPr>
        <w:pStyle w:val="a3"/>
        <w:numPr>
          <w:ilvl w:val="0"/>
          <w:numId w:val="42"/>
        </w:numPr>
        <w:tabs>
          <w:tab w:val="left" w:pos="1134"/>
        </w:tabs>
      </w:pPr>
      <w:r>
        <w:t>Увеличение размера записей в датасете;</w:t>
      </w:r>
    </w:p>
    <w:p w:rsidR="009115E9" w:rsidRPr="00B343FC" w:rsidRDefault="009115E9" w:rsidP="00533DB5">
      <w:pPr>
        <w:pStyle w:val="a3"/>
        <w:numPr>
          <w:ilvl w:val="0"/>
          <w:numId w:val="42"/>
        </w:numPr>
        <w:tabs>
          <w:tab w:val="left" w:pos="1134"/>
        </w:tabs>
      </w:pPr>
      <w:r>
        <w:t>Увеличение характеристик каждого клиента.</w:t>
      </w:r>
    </w:p>
    <w:p w:rsidR="00C901CF" w:rsidRPr="00697215" w:rsidRDefault="00697215" w:rsidP="00697215">
      <w:pPr>
        <w:ind w:firstLine="0"/>
      </w:pPr>
      <w:r w:rsidRPr="00697215">
        <w:br w:type="page"/>
      </w:r>
    </w:p>
    <w:p w:rsidR="00CD2D48" w:rsidRPr="000919CB" w:rsidRDefault="000919CB" w:rsidP="00E877C9">
      <w:pPr>
        <w:pStyle w:val="1"/>
        <w:jc w:val="center"/>
        <w:rPr>
          <w:rFonts w:cs="Times New Roman"/>
        </w:rPr>
      </w:pPr>
      <w:bookmarkStart w:id="16" w:name="_Toc168090077"/>
      <w:r>
        <w:rPr>
          <w:rFonts w:cs="Times New Roman"/>
        </w:rPr>
        <w:lastRenderedPageBreak/>
        <w:t>З</w:t>
      </w:r>
      <w:r>
        <w:rPr>
          <w:rFonts w:cs="Times New Roman"/>
          <w:caps w:val="0"/>
        </w:rPr>
        <w:t>аключение</w:t>
      </w:r>
      <w:bookmarkEnd w:id="16"/>
    </w:p>
    <w:p w:rsidR="00390F0A" w:rsidRPr="001B301B" w:rsidRDefault="00390F0A" w:rsidP="00390F0A"/>
    <w:p w:rsidR="00AE5D6A" w:rsidRPr="001B301B" w:rsidRDefault="00E23BCB" w:rsidP="00E23BCB">
      <w:r w:rsidRPr="001B301B">
        <w:t>В</w:t>
      </w:r>
      <w:r w:rsidR="00E572BF">
        <w:t xml:space="preserve"> </w:t>
      </w:r>
      <w:r w:rsidRPr="001B301B">
        <w:t>результате</w:t>
      </w:r>
      <w:r w:rsidR="00E572BF">
        <w:t xml:space="preserve"> </w:t>
      </w:r>
      <w:r w:rsidRPr="001B301B">
        <w:t>проведенного</w:t>
      </w:r>
      <w:r w:rsidR="00E572BF">
        <w:t xml:space="preserve"> </w:t>
      </w:r>
      <w:r w:rsidRPr="001B301B">
        <w:t>анализа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коммерческого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="0015612D">
        <w:t>АО</w:t>
      </w:r>
      <w:r w:rsidR="00E572BF">
        <w:t xml:space="preserve"> </w:t>
      </w:r>
      <w:r w:rsidR="0015612D">
        <w:t>Банк</w:t>
      </w:r>
      <w:r w:rsidR="00E572BF">
        <w:t xml:space="preserve"> </w:t>
      </w:r>
      <w:r w:rsidR="0015612D">
        <w:t>«Венец»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заключить,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успешно</w:t>
      </w:r>
      <w:r w:rsidR="00E572BF">
        <w:t xml:space="preserve"> </w:t>
      </w:r>
      <w:r w:rsidRPr="001B301B">
        <w:t>развивается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увеличивает</w:t>
      </w:r>
      <w:r w:rsidR="00E572BF">
        <w:t xml:space="preserve"> </w:t>
      </w:r>
      <w:r w:rsidRPr="001B301B">
        <w:t>свои</w:t>
      </w:r>
      <w:r w:rsidR="00E572BF">
        <w:t xml:space="preserve"> </w:t>
      </w:r>
      <w:r w:rsidRPr="001B301B">
        <w:t>показатели.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продолжает</w:t>
      </w:r>
      <w:r w:rsidR="00E572BF">
        <w:t xml:space="preserve"> </w:t>
      </w:r>
      <w:r w:rsidRPr="001B301B">
        <w:t>укреплять</w:t>
      </w:r>
      <w:r w:rsidR="00E572BF">
        <w:t xml:space="preserve"> </w:t>
      </w:r>
      <w:r w:rsidRPr="001B301B">
        <w:t>свои</w:t>
      </w:r>
      <w:r w:rsidR="00E572BF">
        <w:t xml:space="preserve"> </w:t>
      </w:r>
      <w:r w:rsidRPr="001B301B">
        <w:t>позиции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демонстрир</w:t>
      </w:r>
      <w:r w:rsidR="00AE5D6A" w:rsidRPr="001B301B">
        <w:t>ует</w:t>
      </w:r>
      <w:r w:rsidR="00E572BF">
        <w:t xml:space="preserve"> </w:t>
      </w:r>
      <w:r w:rsidR="00AE5D6A" w:rsidRPr="001B301B">
        <w:t>стабильный</w:t>
      </w:r>
      <w:r w:rsidR="00E572BF">
        <w:t xml:space="preserve"> </w:t>
      </w:r>
      <w:r w:rsidR="00AE5D6A" w:rsidRPr="001B301B">
        <w:t>финансовый</w:t>
      </w:r>
      <w:r w:rsidR="00E572BF">
        <w:t xml:space="preserve"> </w:t>
      </w:r>
      <w:r w:rsidR="00AE5D6A" w:rsidRPr="001B301B">
        <w:t>рост.</w:t>
      </w:r>
    </w:p>
    <w:p w:rsidR="00595A5F" w:rsidRPr="001B301B" w:rsidRDefault="00595A5F" w:rsidP="00E23BCB">
      <w:r w:rsidRPr="001B301B">
        <w:t>За</w:t>
      </w:r>
      <w:r w:rsidR="00E572BF">
        <w:t xml:space="preserve"> </w:t>
      </w:r>
      <w:r w:rsidRPr="001B301B">
        <w:t>исследуемый</w:t>
      </w:r>
      <w:r w:rsidR="00E572BF">
        <w:t xml:space="preserve"> </w:t>
      </w:r>
      <w:r w:rsidRPr="001B301B">
        <w:t>период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увеличил</w:t>
      </w:r>
      <w:r w:rsidR="00E572BF">
        <w:t xml:space="preserve"> </w:t>
      </w:r>
      <w:r w:rsidRPr="001B301B">
        <w:t>долю</w:t>
      </w:r>
      <w:r w:rsidR="00E572BF">
        <w:t xml:space="preserve"> </w:t>
      </w:r>
      <w:r w:rsidRPr="001B301B">
        <w:t>ссудной</w:t>
      </w:r>
      <w:r w:rsidR="00E572BF">
        <w:t xml:space="preserve"> </w:t>
      </w:r>
      <w:r w:rsidRPr="001B301B">
        <w:t>задолженности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общем</w:t>
      </w:r>
      <w:r w:rsidR="00E572BF">
        <w:t xml:space="preserve"> </w:t>
      </w:r>
      <w:r w:rsidRPr="001B301B">
        <w:t>объеме</w:t>
      </w:r>
      <w:r w:rsidR="00E572BF">
        <w:t xml:space="preserve"> </w:t>
      </w:r>
      <w:r w:rsidRPr="001B301B">
        <w:t>собственных</w:t>
      </w:r>
      <w:r w:rsidR="00E572BF">
        <w:t xml:space="preserve"> </w:t>
      </w:r>
      <w:r w:rsidRPr="001B301B">
        <w:t>активов.</w:t>
      </w:r>
      <w:r w:rsidR="00E572BF">
        <w:t xml:space="preserve"> </w:t>
      </w:r>
      <w:r w:rsidRPr="001B301B">
        <w:t>Снизились</w:t>
      </w:r>
      <w:r w:rsidR="00E572BF">
        <w:t xml:space="preserve"> </w:t>
      </w:r>
      <w:r w:rsidRPr="001B301B">
        <w:t>объемы</w:t>
      </w:r>
      <w:r w:rsidR="00E572BF">
        <w:t xml:space="preserve"> </w:t>
      </w:r>
      <w:r w:rsidRPr="001B301B">
        <w:t>инвестиций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ценные</w:t>
      </w:r>
      <w:r w:rsidR="00E572BF">
        <w:t xml:space="preserve"> </w:t>
      </w:r>
      <w:r w:rsidRPr="001B301B">
        <w:t>бумаги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иные</w:t>
      </w:r>
      <w:r w:rsidR="00E572BF">
        <w:t xml:space="preserve"> </w:t>
      </w:r>
      <w:r w:rsidRPr="001B301B">
        <w:t>финансовые</w:t>
      </w:r>
      <w:r w:rsidR="00E572BF">
        <w:t xml:space="preserve"> </w:t>
      </w:r>
      <w:r w:rsidRPr="001B301B">
        <w:t>активы.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заметно</w:t>
      </w:r>
      <w:r w:rsidR="00E572BF">
        <w:t xml:space="preserve"> </w:t>
      </w:r>
      <w:r w:rsidRPr="001B301B">
        <w:t>уменьшение</w:t>
      </w:r>
      <w:r w:rsidR="00E572BF">
        <w:t xml:space="preserve"> </w:t>
      </w:r>
      <w:r w:rsidRPr="001B301B">
        <w:t>доходов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увеличение</w:t>
      </w:r>
      <w:r w:rsidR="00E572BF">
        <w:t xml:space="preserve"> </w:t>
      </w:r>
      <w:r w:rsidRPr="001B301B">
        <w:t>расходов</w:t>
      </w:r>
      <w:r w:rsidR="00E572BF">
        <w:t xml:space="preserve"> </w:t>
      </w:r>
      <w:r w:rsidRPr="001B301B">
        <w:t>компании.</w:t>
      </w:r>
    </w:p>
    <w:p w:rsidR="00CF3EB4" w:rsidRPr="001B301B" w:rsidRDefault="00B23A7C" w:rsidP="00CF3EB4">
      <w:pPr>
        <w:rPr>
          <w:rFonts w:cs="Times New Roman"/>
          <w:szCs w:val="28"/>
        </w:rPr>
      </w:pPr>
      <w:r w:rsidRPr="001B301B">
        <w:t>За</w:t>
      </w:r>
      <w:r w:rsidR="00E572BF">
        <w:t xml:space="preserve"> </w:t>
      </w:r>
      <w:r w:rsidRPr="001B301B">
        <w:t>исследуемый</w:t>
      </w:r>
      <w:r w:rsidR="00E572BF">
        <w:t xml:space="preserve"> </w:t>
      </w:r>
      <w:r w:rsidRPr="001B301B">
        <w:t>период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так</w:t>
      </w:r>
      <w:r w:rsidR="00E572BF">
        <w:t xml:space="preserve"> </w:t>
      </w:r>
      <w:r w:rsidRPr="001B301B">
        <w:t>же</w:t>
      </w:r>
      <w:r w:rsidR="00E572BF">
        <w:t xml:space="preserve"> </w:t>
      </w:r>
      <w:r w:rsidRPr="001B301B">
        <w:t>увеличил</w:t>
      </w:r>
      <w:r w:rsidR="00E572BF">
        <w:t xml:space="preserve"> </w:t>
      </w:r>
      <w:r w:rsidRPr="001B301B">
        <w:t>объем</w:t>
      </w:r>
      <w:r w:rsidR="00E572BF">
        <w:t xml:space="preserve"> </w:t>
      </w:r>
      <w:r w:rsidRPr="001B301B">
        <w:t>своих</w:t>
      </w:r>
      <w:r w:rsidR="00E572BF">
        <w:t xml:space="preserve"> </w:t>
      </w:r>
      <w:r w:rsidRPr="001B301B">
        <w:t>обязательств.</w:t>
      </w:r>
      <w:r w:rsidR="00E572BF">
        <w:t xml:space="preserve"> </w:t>
      </w:r>
      <w:r w:rsidR="00CF3EB4"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прежними,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состоянии,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будущем.</w:t>
      </w:r>
      <w:r w:rsidR="00365079">
        <w:rPr>
          <w:rFonts w:cs="Times New Roman"/>
          <w:szCs w:val="28"/>
        </w:rPr>
        <w:t xml:space="preserve"> 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t>В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году</w:t>
      </w:r>
      <w:r w:rsidR="00E572BF">
        <w:t xml:space="preserve"> </w:t>
      </w:r>
      <w:r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негативных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тенденциях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принятия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улучшения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результатов.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менее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С</w:t>
      </w:r>
      <w:r w:rsidRPr="001B301B">
        <w:rPr>
          <w:rFonts w:cs="Times New Roman"/>
          <w:szCs w:val="28"/>
        </w:rPr>
        <w:t>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испытывать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владельцев.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затрат.</w:t>
      </w:r>
      <w:r w:rsidR="00E572BF">
        <w:rPr>
          <w:rFonts w:cs="Times New Roman"/>
          <w:szCs w:val="28"/>
        </w:rPr>
        <w:t xml:space="preserve"> </w:t>
      </w:r>
    </w:p>
    <w:p w:rsidR="00365079" w:rsidRDefault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исследования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укладывается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заданные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рамки.</w:t>
      </w:r>
    </w:p>
    <w:p w:rsidR="009223DA" w:rsidRDefault="00E624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Использование искусственного интеллекта может существенно ускорить анализ деятельности банка в различных аспектах его деятельности. В рамках ВКР был рассмотрен формат применения искусственного интеллекта для прогнозирования</w:t>
      </w:r>
      <w:r w:rsidR="009223DA">
        <w:rPr>
          <w:rFonts w:cs="Times New Roman"/>
          <w:szCs w:val="28"/>
        </w:rPr>
        <w:t xml:space="preserve"> отказа клиентов от услуг банка на основе истории предыдущих таких случаев.</w:t>
      </w:r>
    </w:p>
    <w:p w:rsidR="004E20E4" w:rsidRDefault="009223D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Создание, обучение и тестирование модели достаточно мощный инструмент, имеющий применение в многих сферах. </w:t>
      </w:r>
      <w:r w:rsidR="00142990">
        <w:rPr>
          <w:rFonts w:cs="Times New Roman"/>
          <w:szCs w:val="28"/>
        </w:rPr>
        <w:t>Её точность ограничена лишь характеристиками серверов, на которых она обучается, и свойствами датасетов, на которых она обучается.</w:t>
      </w:r>
    </w:p>
    <w:p w:rsidR="00DA6BC1" w:rsidRDefault="004E20E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Обученная модель показала хорошие результаты прогнозирования на тестовой выборке, что делает возможным её применение в реальных условиях.</w:t>
      </w:r>
      <w:r w:rsidR="004A2F8E" w:rsidRPr="004A2F8E">
        <w:rPr>
          <w:rFonts w:cs="Times New Roman"/>
          <w:szCs w:val="28"/>
        </w:rPr>
        <w:t xml:space="preserve"> </w:t>
      </w:r>
      <w:r w:rsidR="004A2F8E">
        <w:rPr>
          <w:rFonts w:cs="Times New Roman"/>
          <w:szCs w:val="28"/>
        </w:rPr>
        <w:t>Каждый банк должен сам установить индивидуальные минимальные значения качества обучения модели, выше которых он может доверить модели</w:t>
      </w:r>
    </w:p>
    <w:p w:rsidR="003A0140" w:rsidRPr="001B301B" w:rsidRDefault="003A0140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3A0140" w:rsidRPr="001B301B" w:rsidRDefault="00226828" w:rsidP="00E02F91">
      <w:pPr>
        <w:pStyle w:val="1"/>
        <w:jc w:val="center"/>
      </w:pPr>
      <w:bookmarkStart w:id="17" w:name="_Toc168090078"/>
      <w:r w:rsidRPr="001B301B">
        <w:rPr>
          <w:caps w:val="0"/>
        </w:rPr>
        <w:lastRenderedPageBreak/>
        <w:t>Список</w:t>
      </w:r>
      <w:r w:rsidR="00E572BF">
        <w:t xml:space="preserve"> </w:t>
      </w:r>
      <w:r w:rsidRPr="001B301B">
        <w:rPr>
          <w:caps w:val="0"/>
        </w:rPr>
        <w:t>использованных</w:t>
      </w:r>
      <w:r w:rsidR="00E572BF">
        <w:t xml:space="preserve"> </w:t>
      </w:r>
      <w:r w:rsidRPr="001B301B">
        <w:rPr>
          <w:caps w:val="0"/>
        </w:rPr>
        <w:t>источников</w:t>
      </w:r>
      <w:bookmarkEnd w:id="17"/>
    </w:p>
    <w:p w:rsidR="003A0140" w:rsidRPr="001B301B" w:rsidRDefault="003A0140" w:rsidP="00B41F92">
      <w:pPr>
        <w:rPr>
          <w:rFonts w:cs="Times New Roman"/>
          <w:szCs w:val="28"/>
        </w:rPr>
      </w:pP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Справочник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https://spravochnick.ru/bankovskoe_delo/analiz_deyatelnosti_kommercheskogo_banka/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отчётности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Открытый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журнал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https://journal.open-broker.ru/investments/na-chto-obrashat-vnimanie-v-otchetnosti-bankov/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Корпоративный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менеджмент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https://otherreferats.allbest.ru/bank/00235127_0.html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15612D" w:rsidRPr="0015612D" w:rsidRDefault="0015612D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5612D">
        <w:rPr>
          <w:rFonts w:cs="Times New Roman"/>
          <w:szCs w:val="28"/>
        </w:rPr>
        <w:t>Главная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65450">
        <w:rPr>
          <w:rFonts w:cs="Times New Roman"/>
          <w:szCs w:val="28"/>
        </w:rPr>
        <w:t>«</w:t>
      </w:r>
      <w:r w:rsidRPr="0015612D">
        <w:rPr>
          <w:rFonts w:cs="Times New Roman"/>
          <w:szCs w:val="28"/>
        </w:rPr>
        <w:t>Венец</w:t>
      </w:r>
      <w:r w:rsidR="00765450"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https://www.venets-bank.ru/index.php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12.07.2023).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Комплексный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CyberLeninka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https://cyberleninka.ru/article/n/kompleksnyy-ekonomicheskiy-analiz-deyatelnosti-kommercheskogo-banka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методике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https://cbr.ru/Content/Document/Page/105779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Организация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Сибирская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школа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https://journal.safbd.ru/ru/content/organizaciya-i-osnovnye-napravleniya-analiza-deyatelnosti-kommercheskogo-banka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Банки.Ру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https://www.banki.ru/wikibank/finansovyie_pokazateli_banka/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D72AE5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Экономический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allbest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https://otherreferats.allbest.ru/bank/00235127_0.html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C333F1" w:rsidRPr="00D72AE5" w:rsidRDefault="00D72AE5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72AE5">
        <w:rPr>
          <w:rFonts w:cs="Times New Roman"/>
          <w:szCs w:val="28"/>
        </w:rPr>
        <w:t>Акционерное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общество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65450">
        <w:rPr>
          <w:rFonts w:cs="Times New Roman"/>
          <w:szCs w:val="28"/>
        </w:rPr>
        <w:t>«</w:t>
      </w:r>
      <w:r w:rsidRPr="00D72AE5">
        <w:rPr>
          <w:rFonts w:cs="Times New Roman"/>
          <w:szCs w:val="28"/>
        </w:rPr>
        <w:t>Венец</w:t>
      </w:r>
      <w:r w:rsidR="00765450"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https://cbr.ru/banking_sector/credit/coinfo/?id=730000006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12.07.2023).</w:t>
      </w:r>
      <w:r w:rsidR="00C333F1" w:rsidRPr="00D72AE5">
        <w:rPr>
          <w:rFonts w:cs="Times New Roman"/>
          <w:szCs w:val="28"/>
        </w:rPr>
        <w:br w:type="page"/>
      </w:r>
    </w:p>
    <w:p w:rsidR="00587EC7" w:rsidRDefault="006A392F" w:rsidP="00C56240">
      <w:pPr>
        <w:pStyle w:val="1"/>
        <w:jc w:val="center"/>
        <w:rPr>
          <w:rFonts w:cs="Times New Roman"/>
          <w:szCs w:val="28"/>
        </w:rPr>
      </w:pPr>
      <w:bookmarkStart w:id="18" w:name="_Toc168090079"/>
      <w:r w:rsidRPr="001B301B">
        <w:rPr>
          <w:caps w:val="0"/>
          <w:sz w:val="28"/>
        </w:rPr>
        <w:lastRenderedPageBreak/>
        <w:t>Приложения</w:t>
      </w:r>
      <w:bookmarkEnd w:id="18"/>
    </w:p>
    <w:sectPr w:rsidR="00587EC7" w:rsidSect="00E364A0">
      <w:footerReference w:type="default" r:id="rId37"/>
      <w:footerReference w:type="first" r:id="rId38"/>
      <w:pgSz w:w="11906" w:h="16838"/>
      <w:pgMar w:top="1134" w:right="850" w:bottom="1418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43" w:rsidRDefault="00BF2643" w:rsidP="009D3E91">
      <w:pPr>
        <w:spacing w:line="240" w:lineRule="auto"/>
      </w:pPr>
      <w:r>
        <w:separator/>
      </w:r>
    </w:p>
  </w:endnote>
  <w:endnote w:type="continuationSeparator" w:id="0">
    <w:p w:rsidR="00BF2643" w:rsidRDefault="00BF2643" w:rsidP="009D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69615"/>
      <w:docPartObj>
        <w:docPartGallery w:val="Page Numbers (Bottom of Page)"/>
        <w:docPartUnique/>
      </w:docPartObj>
    </w:sdtPr>
    <w:sdtContent>
      <w:p w:rsidR="009470C5" w:rsidRDefault="009470C5">
        <w:pPr>
          <w:pStyle w:val="a6"/>
          <w:jc w:val="center"/>
        </w:pPr>
        <w:r w:rsidRPr="006C06DB">
          <w:rPr>
            <w:sz w:val="24"/>
          </w:rPr>
          <w:fldChar w:fldCharType="begin"/>
        </w:r>
        <w:r w:rsidRPr="006C06DB">
          <w:rPr>
            <w:sz w:val="24"/>
          </w:rPr>
          <w:instrText>PAGE   \* MERGEFORMAT</w:instrText>
        </w:r>
        <w:r w:rsidRPr="006C06DB">
          <w:rPr>
            <w:sz w:val="24"/>
          </w:rPr>
          <w:fldChar w:fldCharType="separate"/>
        </w:r>
        <w:r w:rsidR="006C0458">
          <w:rPr>
            <w:noProof/>
            <w:sz w:val="24"/>
          </w:rPr>
          <w:t>27</w:t>
        </w:r>
        <w:r w:rsidRPr="006C06DB">
          <w:rPr>
            <w:sz w:val="24"/>
          </w:rPr>
          <w:fldChar w:fldCharType="end"/>
        </w:r>
      </w:p>
    </w:sdtContent>
  </w:sdt>
  <w:p w:rsidR="009470C5" w:rsidRDefault="009470C5">
    <w:pPr>
      <w:pStyle w:val="a6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>
      <w:pict>
        <v:rect id="_x0000_s2073" style="position:absolute;left:0;text-align:left;margin-left:0;margin-top:0;width:57.3pt;height:134.7pt;z-index:251669504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9470C5" w:rsidRPr="00213F2D" w:rsidRDefault="009470C5" w:rsidP="00213F2D">
                <w:pPr>
                  <w:jc w:val="left"/>
                  <w:rPr>
                    <w:sz w:val="24"/>
                  </w:rPr>
                </w:pPr>
                <w:r w:rsidRPr="00213F2D">
                  <w:rPr>
                    <w:sz w:val="24"/>
                  </w:rPr>
                  <w:fldChar w:fldCharType="begin"/>
                </w:r>
                <w:r w:rsidRPr="00213F2D">
                  <w:rPr>
                    <w:sz w:val="24"/>
                  </w:rPr>
                  <w:instrText>PAGE   \* MERGEFORMAT</w:instrText>
                </w:r>
                <w:r w:rsidRPr="00213F2D">
                  <w:rPr>
                    <w:sz w:val="24"/>
                  </w:rPr>
                  <w:fldChar w:fldCharType="separate"/>
                </w:r>
                <w:r w:rsidR="006C0458">
                  <w:rPr>
                    <w:noProof/>
                    <w:sz w:val="24"/>
                  </w:rPr>
                  <w:t>48</w:t>
                </w:r>
                <w:r w:rsidRPr="00213F2D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 w:rsidRPr="00213F2D">
      <w:rPr>
        <w:sz w:val="24"/>
      </w:rPr>
      <w:fldChar w:fldCharType="begin"/>
    </w:r>
    <w:r w:rsidRPr="00213F2D">
      <w:rPr>
        <w:sz w:val="24"/>
      </w:rPr>
      <w:instrText>PAGE   \* MERGEFORMAT</w:instrText>
    </w:r>
    <w:r w:rsidRPr="00213F2D">
      <w:rPr>
        <w:sz w:val="24"/>
      </w:rPr>
      <w:fldChar w:fldCharType="separate"/>
    </w:r>
    <w:r w:rsidR="006C0458">
      <w:rPr>
        <w:noProof/>
        <w:sz w:val="24"/>
      </w:rPr>
      <w:t>49</w:t>
    </w:r>
    <w:r w:rsidRPr="00213F2D"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>
      <w:pict>
        <v:rect id="_x0000_s2074" style="position:absolute;left:0;text-align:left;margin-left:0;margin-top:0;width:57.3pt;height:116.8pt;z-index:251671552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9470C5" w:rsidRDefault="009470C5" w:rsidP="003B1D4F">
                <w:pPr>
                  <w:jc w:val="left"/>
                </w:pPr>
                <w:r w:rsidRPr="003B1D4F">
                  <w:rPr>
                    <w:sz w:val="24"/>
                  </w:rPr>
                  <w:fldChar w:fldCharType="begin"/>
                </w:r>
                <w:r w:rsidRPr="003B1D4F">
                  <w:rPr>
                    <w:sz w:val="24"/>
                  </w:rPr>
                  <w:instrText>PAGE   \* MERGEFORMAT</w:instrText>
                </w:r>
                <w:r w:rsidRPr="003B1D4F">
                  <w:rPr>
                    <w:sz w:val="24"/>
                  </w:rPr>
                  <w:fldChar w:fldCharType="separate"/>
                </w:r>
                <w:r w:rsidR="006C0458">
                  <w:rPr>
                    <w:noProof/>
                    <w:sz w:val="24"/>
                  </w:rPr>
                  <w:t>50</w:t>
                </w:r>
                <w:r w:rsidRPr="003B1D4F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 w:rsidRPr="00550CCB">
      <w:rPr>
        <w:sz w:val="24"/>
      </w:rPr>
      <w:fldChar w:fldCharType="begin"/>
    </w:r>
    <w:r w:rsidRPr="00550CCB">
      <w:rPr>
        <w:sz w:val="24"/>
      </w:rPr>
      <w:instrText>PAGE   \* MERGEFORMAT</w:instrText>
    </w:r>
    <w:r w:rsidRPr="00550CCB">
      <w:rPr>
        <w:sz w:val="24"/>
      </w:rPr>
      <w:fldChar w:fldCharType="separate"/>
    </w:r>
    <w:r w:rsidR="006C0458">
      <w:rPr>
        <w:noProof/>
        <w:sz w:val="24"/>
      </w:rPr>
      <w:t>64</w:t>
    </w:r>
    <w:r w:rsidRPr="00550CCB"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E07838" w:rsidRDefault="009470C5" w:rsidP="00E07838">
    <w:pPr>
      <w:pStyle w:val="a6"/>
      <w:jc w:val="center"/>
      <w:rPr>
        <w:sz w:val="24"/>
      </w:rPr>
    </w:pPr>
    <w:r w:rsidRPr="00E07838">
      <w:rPr>
        <w:sz w:val="24"/>
      </w:rPr>
      <w:fldChar w:fldCharType="begin"/>
    </w:r>
    <w:r w:rsidRPr="00E07838">
      <w:rPr>
        <w:sz w:val="24"/>
      </w:rPr>
      <w:instrText>PAGE   \* MERGEFORMAT</w:instrText>
    </w:r>
    <w:r w:rsidRPr="00E07838">
      <w:rPr>
        <w:sz w:val="24"/>
      </w:rPr>
      <w:fldChar w:fldCharType="separate"/>
    </w:r>
    <w:r w:rsidR="006C0458">
      <w:rPr>
        <w:noProof/>
        <w:sz w:val="24"/>
      </w:rPr>
      <w:t>51</w:t>
    </w:r>
    <w:r w:rsidRPr="00E07838"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 w:rsidP="000678C2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0678C2" w:rsidRDefault="009470C5" w:rsidP="000678C2">
    <w:pPr>
      <w:pStyle w:val="a6"/>
      <w:jc w:val="center"/>
      <w:rPr>
        <w:sz w:val="24"/>
        <w:lang w:val="en-US"/>
      </w:rPr>
    </w:pPr>
    <w:r w:rsidRPr="000678C2">
      <w:rPr>
        <w:sz w:val="24"/>
        <w:lang w:val="en-US"/>
      </w:rPr>
      <w:fldChar w:fldCharType="begin"/>
    </w:r>
    <w:r w:rsidRPr="000678C2">
      <w:rPr>
        <w:sz w:val="24"/>
        <w:lang w:val="en-US"/>
      </w:rPr>
      <w:instrText>PAGE   \* MERGEFORMAT</w:instrText>
    </w:r>
    <w:r w:rsidRPr="000678C2">
      <w:rPr>
        <w:sz w:val="24"/>
        <w:lang w:val="en-US"/>
      </w:rPr>
      <w:fldChar w:fldCharType="separate"/>
    </w:r>
    <w:r w:rsidR="006C0458">
      <w:rPr>
        <w:noProof/>
        <w:sz w:val="24"/>
        <w:lang w:val="en-US"/>
      </w:rPr>
      <w:t>29</w:t>
    </w:r>
    <w:r w:rsidRPr="000678C2">
      <w:rPr>
        <w:sz w:val="24"/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0678C2" w:rsidRDefault="009470C5" w:rsidP="000678C2">
    <w:pPr>
      <w:pStyle w:val="a6"/>
      <w:jc w:val="center"/>
      <w:rPr>
        <w:sz w:val="24"/>
        <w:lang w:val="en-US"/>
      </w:rPr>
    </w:pPr>
    <w:r>
      <w:pict>
        <v:rect id="_x0000_s2061" style="position:absolute;left:0;text-align:left;margin-left:0;margin-top:0;width:57.3pt;height:43.15pt;z-index:251663360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_x0000_s2061">
            <w:txbxContent>
              <w:p w:rsidR="009470C5" w:rsidRPr="008C2F55" w:rsidRDefault="009470C5" w:rsidP="008C2F55">
                <w:pPr>
                  <w:ind w:firstLine="284"/>
                  <w:jc w:val="right"/>
                  <w:rPr>
                    <w:sz w:val="24"/>
                  </w:rPr>
                </w:pPr>
                <w:r w:rsidRPr="008C2F55">
                  <w:rPr>
                    <w:sz w:val="24"/>
                  </w:rPr>
                  <w:fldChar w:fldCharType="begin"/>
                </w:r>
                <w:r w:rsidRPr="008C2F55">
                  <w:rPr>
                    <w:sz w:val="24"/>
                  </w:rPr>
                  <w:instrText>PAGE   \* MERGEFORMAT</w:instrText>
                </w:r>
                <w:r w:rsidRPr="008C2F55">
                  <w:rPr>
                    <w:sz w:val="24"/>
                  </w:rPr>
                  <w:fldChar w:fldCharType="separate"/>
                </w:r>
                <w:r w:rsidR="006C0458">
                  <w:rPr>
                    <w:noProof/>
                    <w:sz w:val="24"/>
                  </w:rPr>
                  <w:t>30</w:t>
                </w:r>
                <w:r w:rsidRPr="008C2F55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 w:rsidRPr="008C2F55">
      <w:rPr>
        <w:sz w:val="24"/>
      </w:rPr>
      <w:fldChar w:fldCharType="begin"/>
    </w:r>
    <w:r w:rsidRPr="008C2F55">
      <w:rPr>
        <w:sz w:val="24"/>
      </w:rPr>
      <w:instrText>PAGE   \* MERGEFORMAT</w:instrText>
    </w:r>
    <w:r w:rsidRPr="008C2F55">
      <w:rPr>
        <w:sz w:val="24"/>
      </w:rPr>
      <w:fldChar w:fldCharType="separate"/>
    </w:r>
    <w:r w:rsidR="006C0458">
      <w:rPr>
        <w:noProof/>
        <w:sz w:val="24"/>
      </w:rPr>
      <w:t>38</w:t>
    </w:r>
    <w:r w:rsidRPr="008C2F55"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 w:rsidRPr="00A47D7B">
      <w:rPr>
        <w:sz w:val="24"/>
      </w:rPr>
      <w:fldChar w:fldCharType="begin"/>
    </w:r>
    <w:r w:rsidRPr="00A47D7B">
      <w:rPr>
        <w:sz w:val="24"/>
      </w:rPr>
      <w:instrText>PAGE   \* MERGEFORMAT</w:instrText>
    </w:r>
    <w:r w:rsidRPr="00A47D7B">
      <w:rPr>
        <w:sz w:val="24"/>
      </w:rPr>
      <w:fldChar w:fldCharType="separate"/>
    </w:r>
    <w:r w:rsidR="006C0458">
      <w:rPr>
        <w:noProof/>
        <w:sz w:val="24"/>
      </w:rPr>
      <w:t>41</w:t>
    </w:r>
    <w:r w:rsidRPr="00A47D7B"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>
      <w:pict>
        <v:rect id="_x0000_s2080" style="position:absolute;left:0;text-align:left;margin-left:0;margin-top:0;width:57.3pt;height:66.15pt;z-index:251673600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9470C5" w:rsidRPr="00C0021B" w:rsidRDefault="009470C5" w:rsidP="00C0021B">
                <w:pPr>
                  <w:jc w:val="right"/>
                  <w:rPr>
                    <w:sz w:val="24"/>
                  </w:rPr>
                </w:pPr>
                <w:r w:rsidRPr="00C0021B">
                  <w:rPr>
                    <w:sz w:val="24"/>
                  </w:rPr>
                  <w:fldChar w:fldCharType="begin"/>
                </w:r>
                <w:r w:rsidRPr="00C0021B">
                  <w:rPr>
                    <w:sz w:val="24"/>
                  </w:rPr>
                  <w:instrText>PAGE   \* MERGEFORMAT</w:instrText>
                </w:r>
                <w:r w:rsidRPr="00C0021B">
                  <w:rPr>
                    <w:sz w:val="24"/>
                  </w:rPr>
                  <w:fldChar w:fldCharType="separate"/>
                </w:r>
                <w:r w:rsidR="006C0458">
                  <w:rPr>
                    <w:noProof/>
                    <w:sz w:val="24"/>
                  </w:rPr>
                  <w:t>43</w:t>
                </w:r>
                <w:r w:rsidRPr="00C0021B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Pr="008C2F55" w:rsidRDefault="009470C5" w:rsidP="008C2F55">
    <w:pPr>
      <w:pStyle w:val="a6"/>
      <w:jc w:val="center"/>
      <w:rPr>
        <w:sz w:val="24"/>
      </w:rPr>
    </w:pPr>
    <w:r w:rsidRPr="006C0462">
      <w:rPr>
        <w:sz w:val="24"/>
      </w:rPr>
      <w:fldChar w:fldCharType="begin"/>
    </w:r>
    <w:r w:rsidRPr="006C0462">
      <w:rPr>
        <w:sz w:val="24"/>
      </w:rPr>
      <w:instrText>PAGE   \* MERGEFORMAT</w:instrText>
    </w:r>
    <w:r w:rsidRPr="006C0462">
      <w:rPr>
        <w:sz w:val="24"/>
      </w:rPr>
      <w:fldChar w:fldCharType="separate"/>
    </w:r>
    <w:r w:rsidR="006C0458">
      <w:rPr>
        <w:noProof/>
        <w:sz w:val="24"/>
      </w:rPr>
      <w:t>47</w:t>
    </w:r>
    <w:r w:rsidRPr="006C0462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43" w:rsidRDefault="00BF2643" w:rsidP="009D3E91">
      <w:pPr>
        <w:spacing w:line="240" w:lineRule="auto"/>
      </w:pPr>
      <w:r>
        <w:separator/>
      </w:r>
    </w:p>
  </w:footnote>
  <w:footnote w:type="continuationSeparator" w:id="0">
    <w:p w:rsidR="00BF2643" w:rsidRDefault="00BF2643" w:rsidP="009D3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>
    <w:pPr>
      <w:pStyle w:val="a4"/>
    </w:pPr>
    <w:r>
      <w:pict>
        <v:rect id="_x0000_s2060" style="position:absolute;left:0;text-align:left;margin-left:0;margin-top:0;width:50.05pt;height:46.75pt;z-index:251661312;visibility:visible;mso-wrap-distance-left:9pt;mso-wrap-distance-top:0;mso-wrap-distance-right:9pt;mso-wrap-distance-bottom:0;mso-position-horizontal:left;mso-position-horizontal-relative:left-margin-area;mso-position-vertical:center;mso-position-vertical-relative:margin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_x0000_s2060">
            <w:txbxContent>
              <w:p w:rsidR="009470C5" w:rsidRDefault="009470C5" w:rsidP="00D1071A">
                <w:pPr>
                  <w:ind w:firstLine="142"/>
                  <w:jc w:val="center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6C0458" w:rsidRPr="006C0458">
                  <w:rPr>
                    <w:noProof/>
                    <w:sz w:val="24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>
    <w:pPr>
      <w:pStyle w:val="a4"/>
    </w:pPr>
    <w:r>
      <w:pict>
        <v:rect id="Rectangle 4" o:spid="_x0000_s2067" style="position:absolute;left:0;text-align:left;margin-left:0;margin-top:178.2pt;width:57.3pt;height:58.15pt;z-index:251667456;visibility:visible;mso-width-percent:800;mso-wrap-distance-left:9pt;mso-wrap-distance-top:0;mso-wrap-distance-right:9pt;mso-wrap-distance-bottom:0;mso-position-horizontal-relative:left-margin-area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Rectangle 4">
            <w:txbxContent>
              <w:p w:rsidR="009470C5" w:rsidRPr="00C0021B" w:rsidRDefault="009470C5" w:rsidP="004B77B2">
                <w:pPr>
                  <w:jc w:val="right"/>
                  <w:rPr>
                    <w:sz w:val="24"/>
                  </w:rPr>
                </w:pPr>
                <w:r w:rsidRPr="00C0021B">
                  <w:rPr>
                    <w:sz w:val="24"/>
                  </w:rPr>
                  <w:fldChar w:fldCharType="begin"/>
                </w:r>
                <w:r w:rsidRPr="00C0021B">
                  <w:rPr>
                    <w:sz w:val="24"/>
                  </w:rPr>
                  <w:instrText>PAGE   \* MERGEFORMAT</w:instrText>
                </w:r>
                <w:r w:rsidRPr="00C0021B">
                  <w:rPr>
                    <w:sz w:val="24"/>
                  </w:rPr>
                  <w:fldChar w:fldCharType="separate"/>
                </w:r>
                <w:r w:rsidR="006C0458">
                  <w:rPr>
                    <w:noProof/>
                    <w:sz w:val="24"/>
                  </w:rPr>
                  <w:t>39</w:t>
                </w:r>
                <w:r w:rsidRPr="00C0021B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C5" w:rsidRDefault="009470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C72"/>
    <w:multiLevelType w:val="hybridMultilevel"/>
    <w:tmpl w:val="6BBCAB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CE3"/>
    <w:multiLevelType w:val="hybridMultilevel"/>
    <w:tmpl w:val="20FCC908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25440"/>
    <w:multiLevelType w:val="hybridMultilevel"/>
    <w:tmpl w:val="C60A0430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D79"/>
    <w:multiLevelType w:val="hybridMultilevel"/>
    <w:tmpl w:val="6F1C0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03CD"/>
    <w:multiLevelType w:val="hybridMultilevel"/>
    <w:tmpl w:val="4D2A9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2B1EDB"/>
    <w:multiLevelType w:val="hybridMultilevel"/>
    <w:tmpl w:val="E79038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00EB3"/>
    <w:multiLevelType w:val="hybridMultilevel"/>
    <w:tmpl w:val="52168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2C506C"/>
    <w:multiLevelType w:val="hybridMultilevel"/>
    <w:tmpl w:val="19928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5E27F2"/>
    <w:multiLevelType w:val="hybridMultilevel"/>
    <w:tmpl w:val="30243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D5619"/>
    <w:multiLevelType w:val="multilevel"/>
    <w:tmpl w:val="E8720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13BD3"/>
    <w:multiLevelType w:val="hybridMultilevel"/>
    <w:tmpl w:val="A3FCA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FD34FF"/>
    <w:multiLevelType w:val="hybridMultilevel"/>
    <w:tmpl w:val="D0A4A42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33733F"/>
    <w:multiLevelType w:val="hybridMultilevel"/>
    <w:tmpl w:val="03C04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72B6E"/>
    <w:multiLevelType w:val="hybridMultilevel"/>
    <w:tmpl w:val="C1FA45BC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995004"/>
    <w:multiLevelType w:val="hybridMultilevel"/>
    <w:tmpl w:val="C2C49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B86B95"/>
    <w:multiLevelType w:val="hybridMultilevel"/>
    <w:tmpl w:val="E84AFDF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FC37C1"/>
    <w:multiLevelType w:val="hybridMultilevel"/>
    <w:tmpl w:val="8CF622E4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A8AD7C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6C5F6B"/>
    <w:multiLevelType w:val="hybridMultilevel"/>
    <w:tmpl w:val="9C26EE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913E9A"/>
    <w:multiLevelType w:val="hybridMultilevel"/>
    <w:tmpl w:val="766EC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226149"/>
    <w:multiLevelType w:val="hybridMultilevel"/>
    <w:tmpl w:val="4012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72ED1"/>
    <w:multiLevelType w:val="hybridMultilevel"/>
    <w:tmpl w:val="7B4A2D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FD4304"/>
    <w:multiLevelType w:val="hybridMultilevel"/>
    <w:tmpl w:val="6D12C54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3E3F82"/>
    <w:multiLevelType w:val="hybridMultilevel"/>
    <w:tmpl w:val="4012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B594D"/>
    <w:multiLevelType w:val="hybridMultilevel"/>
    <w:tmpl w:val="414E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B30734"/>
    <w:multiLevelType w:val="hybridMultilevel"/>
    <w:tmpl w:val="8DF0A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F56DD2"/>
    <w:multiLevelType w:val="hybridMultilevel"/>
    <w:tmpl w:val="C76C03F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2911FE"/>
    <w:multiLevelType w:val="hybridMultilevel"/>
    <w:tmpl w:val="EA344AA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524043"/>
    <w:multiLevelType w:val="hybridMultilevel"/>
    <w:tmpl w:val="1398F3D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2830E5"/>
    <w:multiLevelType w:val="hybridMultilevel"/>
    <w:tmpl w:val="F9920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13E2750"/>
    <w:multiLevelType w:val="hybridMultilevel"/>
    <w:tmpl w:val="7CD4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93852"/>
    <w:multiLevelType w:val="hybridMultilevel"/>
    <w:tmpl w:val="CFB26F9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D5566B"/>
    <w:multiLevelType w:val="hybridMultilevel"/>
    <w:tmpl w:val="0EC4E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D63399"/>
    <w:multiLevelType w:val="hybridMultilevel"/>
    <w:tmpl w:val="766EC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B84B21"/>
    <w:multiLevelType w:val="hybridMultilevel"/>
    <w:tmpl w:val="6838B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87CDB"/>
    <w:multiLevelType w:val="hybridMultilevel"/>
    <w:tmpl w:val="580C2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043CF"/>
    <w:multiLevelType w:val="hybridMultilevel"/>
    <w:tmpl w:val="52C49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8F277B"/>
    <w:multiLevelType w:val="multilevel"/>
    <w:tmpl w:val="1DACC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F1AC5"/>
    <w:multiLevelType w:val="multilevel"/>
    <w:tmpl w:val="1AAE07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2740DFC"/>
    <w:multiLevelType w:val="hybridMultilevel"/>
    <w:tmpl w:val="644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2811477"/>
    <w:multiLevelType w:val="hybridMultilevel"/>
    <w:tmpl w:val="94C6F6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970C5"/>
    <w:multiLevelType w:val="hybridMultilevel"/>
    <w:tmpl w:val="1F66D3E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2B198D"/>
    <w:multiLevelType w:val="hybridMultilevel"/>
    <w:tmpl w:val="C4E4151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957A1E"/>
    <w:multiLevelType w:val="hybridMultilevel"/>
    <w:tmpl w:val="61C8A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7164E7"/>
    <w:multiLevelType w:val="hybridMultilevel"/>
    <w:tmpl w:val="68608CC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17"/>
  </w:num>
  <w:num w:numId="4">
    <w:abstractNumId w:val="1"/>
  </w:num>
  <w:num w:numId="5">
    <w:abstractNumId w:val="10"/>
  </w:num>
  <w:num w:numId="6">
    <w:abstractNumId w:val="33"/>
  </w:num>
  <w:num w:numId="7">
    <w:abstractNumId w:val="29"/>
  </w:num>
  <w:num w:numId="8">
    <w:abstractNumId w:val="35"/>
  </w:num>
  <w:num w:numId="9">
    <w:abstractNumId w:val="7"/>
  </w:num>
  <w:num w:numId="10">
    <w:abstractNumId w:val="15"/>
  </w:num>
  <w:num w:numId="11">
    <w:abstractNumId w:val="28"/>
  </w:num>
  <w:num w:numId="12">
    <w:abstractNumId w:val="25"/>
  </w:num>
  <w:num w:numId="13">
    <w:abstractNumId w:val="38"/>
  </w:num>
  <w:num w:numId="14">
    <w:abstractNumId w:val="27"/>
  </w:num>
  <w:num w:numId="15">
    <w:abstractNumId w:val="6"/>
  </w:num>
  <w:num w:numId="16">
    <w:abstractNumId w:val="20"/>
  </w:num>
  <w:num w:numId="17">
    <w:abstractNumId w:val="14"/>
  </w:num>
  <w:num w:numId="18">
    <w:abstractNumId w:val="40"/>
  </w:num>
  <w:num w:numId="19">
    <w:abstractNumId w:val="16"/>
  </w:num>
  <w:num w:numId="20">
    <w:abstractNumId w:val="8"/>
  </w:num>
  <w:num w:numId="21">
    <w:abstractNumId w:val="30"/>
  </w:num>
  <w:num w:numId="22">
    <w:abstractNumId w:val="23"/>
  </w:num>
  <w:num w:numId="23">
    <w:abstractNumId w:val="21"/>
  </w:num>
  <w:num w:numId="24">
    <w:abstractNumId w:val="5"/>
  </w:num>
  <w:num w:numId="25">
    <w:abstractNumId w:val="9"/>
  </w:num>
  <w:num w:numId="26">
    <w:abstractNumId w:val="36"/>
  </w:num>
  <w:num w:numId="27">
    <w:abstractNumId w:val="0"/>
  </w:num>
  <w:num w:numId="28">
    <w:abstractNumId w:val="2"/>
  </w:num>
  <w:num w:numId="29">
    <w:abstractNumId w:val="41"/>
  </w:num>
  <w:num w:numId="30">
    <w:abstractNumId w:val="13"/>
  </w:num>
  <w:num w:numId="31">
    <w:abstractNumId w:val="11"/>
  </w:num>
  <w:num w:numId="32">
    <w:abstractNumId w:val="34"/>
  </w:num>
  <w:num w:numId="33">
    <w:abstractNumId w:val="26"/>
  </w:num>
  <w:num w:numId="34">
    <w:abstractNumId w:val="12"/>
  </w:num>
  <w:num w:numId="35">
    <w:abstractNumId w:val="39"/>
  </w:num>
  <w:num w:numId="36">
    <w:abstractNumId w:val="42"/>
  </w:num>
  <w:num w:numId="37">
    <w:abstractNumId w:val="3"/>
  </w:num>
  <w:num w:numId="38">
    <w:abstractNumId w:val="22"/>
  </w:num>
  <w:num w:numId="39">
    <w:abstractNumId w:val="19"/>
  </w:num>
  <w:num w:numId="40">
    <w:abstractNumId w:val="37"/>
  </w:num>
  <w:num w:numId="41">
    <w:abstractNumId w:val="18"/>
  </w:num>
  <w:num w:numId="42">
    <w:abstractNumId w:val="32"/>
  </w:num>
  <w:num w:numId="43">
    <w:abstractNumId w:val="4"/>
  </w:num>
  <w:num w:numId="44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9"/>
  <w:autoHyphenation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380"/>
    <w:rsid w:val="00000817"/>
    <w:rsid w:val="0000140F"/>
    <w:rsid w:val="00004179"/>
    <w:rsid w:val="00011A7D"/>
    <w:rsid w:val="00013E65"/>
    <w:rsid w:val="00014363"/>
    <w:rsid w:val="000241B1"/>
    <w:rsid w:val="000306BC"/>
    <w:rsid w:val="00033762"/>
    <w:rsid w:val="00037AEB"/>
    <w:rsid w:val="00037C41"/>
    <w:rsid w:val="00042317"/>
    <w:rsid w:val="00050998"/>
    <w:rsid w:val="000539BC"/>
    <w:rsid w:val="00061DB7"/>
    <w:rsid w:val="00064FAF"/>
    <w:rsid w:val="0006702F"/>
    <w:rsid w:val="000678C2"/>
    <w:rsid w:val="00070B47"/>
    <w:rsid w:val="000724F5"/>
    <w:rsid w:val="0007592C"/>
    <w:rsid w:val="00075B56"/>
    <w:rsid w:val="00075C00"/>
    <w:rsid w:val="00075E42"/>
    <w:rsid w:val="0007661D"/>
    <w:rsid w:val="00077900"/>
    <w:rsid w:val="00077FE7"/>
    <w:rsid w:val="000817D2"/>
    <w:rsid w:val="00081968"/>
    <w:rsid w:val="00084A64"/>
    <w:rsid w:val="000862F0"/>
    <w:rsid w:val="000919CB"/>
    <w:rsid w:val="00094CDE"/>
    <w:rsid w:val="00095DCB"/>
    <w:rsid w:val="00096465"/>
    <w:rsid w:val="000965B9"/>
    <w:rsid w:val="00097FD1"/>
    <w:rsid w:val="000B114C"/>
    <w:rsid w:val="000B4A72"/>
    <w:rsid w:val="000B4D8A"/>
    <w:rsid w:val="000B703F"/>
    <w:rsid w:val="000C0019"/>
    <w:rsid w:val="000C0A70"/>
    <w:rsid w:val="000C1073"/>
    <w:rsid w:val="000C6292"/>
    <w:rsid w:val="000D13B3"/>
    <w:rsid w:val="000D2A56"/>
    <w:rsid w:val="000D7222"/>
    <w:rsid w:val="000E15D5"/>
    <w:rsid w:val="000E614B"/>
    <w:rsid w:val="000F2A31"/>
    <w:rsid w:val="000F7E9E"/>
    <w:rsid w:val="00101F9F"/>
    <w:rsid w:val="0010353F"/>
    <w:rsid w:val="00105582"/>
    <w:rsid w:val="00105BAE"/>
    <w:rsid w:val="0011043C"/>
    <w:rsid w:val="0011095E"/>
    <w:rsid w:val="00116263"/>
    <w:rsid w:val="00116639"/>
    <w:rsid w:val="00121C82"/>
    <w:rsid w:val="00123164"/>
    <w:rsid w:val="00123A5B"/>
    <w:rsid w:val="001244AE"/>
    <w:rsid w:val="001254D1"/>
    <w:rsid w:val="00130B9B"/>
    <w:rsid w:val="00133520"/>
    <w:rsid w:val="001339B3"/>
    <w:rsid w:val="001369E8"/>
    <w:rsid w:val="00137BC9"/>
    <w:rsid w:val="00137C84"/>
    <w:rsid w:val="00142990"/>
    <w:rsid w:val="0014379F"/>
    <w:rsid w:val="00144D16"/>
    <w:rsid w:val="00144F20"/>
    <w:rsid w:val="00146BCF"/>
    <w:rsid w:val="00147DF9"/>
    <w:rsid w:val="00150F93"/>
    <w:rsid w:val="0015612D"/>
    <w:rsid w:val="0016094A"/>
    <w:rsid w:val="00161B49"/>
    <w:rsid w:val="00163AC3"/>
    <w:rsid w:val="00167DFB"/>
    <w:rsid w:val="00167E89"/>
    <w:rsid w:val="00171E4A"/>
    <w:rsid w:val="00173425"/>
    <w:rsid w:val="00174616"/>
    <w:rsid w:val="00174726"/>
    <w:rsid w:val="00174804"/>
    <w:rsid w:val="00174EE9"/>
    <w:rsid w:val="00175F6E"/>
    <w:rsid w:val="00176C98"/>
    <w:rsid w:val="001778FF"/>
    <w:rsid w:val="00181153"/>
    <w:rsid w:val="00182001"/>
    <w:rsid w:val="00184B4D"/>
    <w:rsid w:val="00191B06"/>
    <w:rsid w:val="00191B43"/>
    <w:rsid w:val="00197151"/>
    <w:rsid w:val="001A1483"/>
    <w:rsid w:val="001A1F3C"/>
    <w:rsid w:val="001A4923"/>
    <w:rsid w:val="001A4E78"/>
    <w:rsid w:val="001A5D88"/>
    <w:rsid w:val="001A79E4"/>
    <w:rsid w:val="001B29E1"/>
    <w:rsid w:val="001B2DA4"/>
    <w:rsid w:val="001B301B"/>
    <w:rsid w:val="001B310B"/>
    <w:rsid w:val="001C035E"/>
    <w:rsid w:val="001C0F82"/>
    <w:rsid w:val="001C17B0"/>
    <w:rsid w:val="001C59EC"/>
    <w:rsid w:val="001C5E41"/>
    <w:rsid w:val="001C7DC4"/>
    <w:rsid w:val="001D0D11"/>
    <w:rsid w:val="001D243E"/>
    <w:rsid w:val="001D4B9C"/>
    <w:rsid w:val="001D66D0"/>
    <w:rsid w:val="001F26F7"/>
    <w:rsid w:val="001F2F39"/>
    <w:rsid w:val="001F58EE"/>
    <w:rsid w:val="001F5D8D"/>
    <w:rsid w:val="00201281"/>
    <w:rsid w:val="00201946"/>
    <w:rsid w:val="00203A87"/>
    <w:rsid w:val="00204164"/>
    <w:rsid w:val="002047E2"/>
    <w:rsid w:val="00207142"/>
    <w:rsid w:val="002119D5"/>
    <w:rsid w:val="00211E73"/>
    <w:rsid w:val="0021225E"/>
    <w:rsid w:val="00213678"/>
    <w:rsid w:val="00213F2D"/>
    <w:rsid w:val="00214F7F"/>
    <w:rsid w:val="00216209"/>
    <w:rsid w:val="00217C5B"/>
    <w:rsid w:val="00223F93"/>
    <w:rsid w:val="00224AF6"/>
    <w:rsid w:val="00225368"/>
    <w:rsid w:val="00226828"/>
    <w:rsid w:val="00226F4C"/>
    <w:rsid w:val="00232E76"/>
    <w:rsid w:val="00233C19"/>
    <w:rsid w:val="00234669"/>
    <w:rsid w:val="00235BC9"/>
    <w:rsid w:val="002374FD"/>
    <w:rsid w:val="00244680"/>
    <w:rsid w:val="00244E14"/>
    <w:rsid w:val="00244FF9"/>
    <w:rsid w:val="00245926"/>
    <w:rsid w:val="00247085"/>
    <w:rsid w:val="002555D6"/>
    <w:rsid w:val="002560CD"/>
    <w:rsid w:val="0025743C"/>
    <w:rsid w:val="00260808"/>
    <w:rsid w:val="00262881"/>
    <w:rsid w:val="00266D8B"/>
    <w:rsid w:val="00267858"/>
    <w:rsid w:val="0027033D"/>
    <w:rsid w:val="00270466"/>
    <w:rsid w:val="00271373"/>
    <w:rsid w:val="002722A5"/>
    <w:rsid w:val="00273CA5"/>
    <w:rsid w:val="00277AD5"/>
    <w:rsid w:val="002800F9"/>
    <w:rsid w:val="00280B0E"/>
    <w:rsid w:val="00280EC6"/>
    <w:rsid w:val="00280FB4"/>
    <w:rsid w:val="00283A13"/>
    <w:rsid w:val="00284A28"/>
    <w:rsid w:val="00290AAE"/>
    <w:rsid w:val="002932A4"/>
    <w:rsid w:val="002940E9"/>
    <w:rsid w:val="002B19D5"/>
    <w:rsid w:val="002B54FA"/>
    <w:rsid w:val="002B5762"/>
    <w:rsid w:val="002B5B7D"/>
    <w:rsid w:val="002B6468"/>
    <w:rsid w:val="002B7B00"/>
    <w:rsid w:val="002C19A1"/>
    <w:rsid w:val="002C20B3"/>
    <w:rsid w:val="002C4B81"/>
    <w:rsid w:val="002C552D"/>
    <w:rsid w:val="002C57A0"/>
    <w:rsid w:val="002C6E15"/>
    <w:rsid w:val="002D1222"/>
    <w:rsid w:val="002D3A03"/>
    <w:rsid w:val="002D6CD7"/>
    <w:rsid w:val="002E163A"/>
    <w:rsid w:val="002E1838"/>
    <w:rsid w:val="002E676A"/>
    <w:rsid w:val="002F04F3"/>
    <w:rsid w:val="002F3536"/>
    <w:rsid w:val="002F5DBF"/>
    <w:rsid w:val="0030238F"/>
    <w:rsid w:val="00302FE3"/>
    <w:rsid w:val="00305678"/>
    <w:rsid w:val="00305C8A"/>
    <w:rsid w:val="00306182"/>
    <w:rsid w:val="0030624F"/>
    <w:rsid w:val="00306484"/>
    <w:rsid w:val="00311A90"/>
    <w:rsid w:val="00311CD7"/>
    <w:rsid w:val="003127AE"/>
    <w:rsid w:val="00312F1E"/>
    <w:rsid w:val="00313371"/>
    <w:rsid w:val="0031386E"/>
    <w:rsid w:val="0031786E"/>
    <w:rsid w:val="00321F0A"/>
    <w:rsid w:val="003236DD"/>
    <w:rsid w:val="00325107"/>
    <w:rsid w:val="0032537C"/>
    <w:rsid w:val="0032540D"/>
    <w:rsid w:val="00325C9B"/>
    <w:rsid w:val="003274AD"/>
    <w:rsid w:val="00327C3E"/>
    <w:rsid w:val="0034281D"/>
    <w:rsid w:val="00343748"/>
    <w:rsid w:val="0034641B"/>
    <w:rsid w:val="00347CC0"/>
    <w:rsid w:val="00351F97"/>
    <w:rsid w:val="00355F6D"/>
    <w:rsid w:val="003577FC"/>
    <w:rsid w:val="00357C8B"/>
    <w:rsid w:val="00360063"/>
    <w:rsid w:val="003626BC"/>
    <w:rsid w:val="0036475A"/>
    <w:rsid w:val="00365079"/>
    <w:rsid w:val="00367CE9"/>
    <w:rsid w:val="00371D10"/>
    <w:rsid w:val="00372671"/>
    <w:rsid w:val="00372C80"/>
    <w:rsid w:val="00380561"/>
    <w:rsid w:val="00383A4D"/>
    <w:rsid w:val="00384CF9"/>
    <w:rsid w:val="00386A45"/>
    <w:rsid w:val="003871FC"/>
    <w:rsid w:val="00390AD5"/>
    <w:rsid w:val="00390F0A"/>
    <w:rsid w:val="00391C46"/>
    <w:rsid w:val="00392786"/>
    <w:rsid w:val="00396503"/>
    <w:rsid w:val="00396F8F"/>
    <w:rsid w:val="00397F5C"/>
    <w:rsid w:val="003A0140"/>
    <w:rsid w:val="003A1473"/>
    <w:rsid w:val="003A16D6"/>
    <w:rsid w:val="003A1DCA"/>
    <w:rsid w:val="003A3666"/>
    <w:rsid w:val="003B043A"/>
    <w:rsid w:val="003B17F2"/>
    <w:rsid w:val="003B1D4F"/>
    <w:rsid w:val="003C1FEB"/>
    <w:rsid w:val="003C278E"/>
    <w:rsid w:val="003D2890"/>
    <w:rsid w:val="003D3E36"/>
    <w:rsid w:val="003D4050"/>
    <w:rsid w:val="003D4A72"/>
    <w:rsid w:val="003D5353"/>
    <w:rsid w:val="003D7F0C"/>
    <w:rsid w:val="003E0FDF"/>
    <w:rsid w:val="003E1D07"/>
    <w:rsid w:val="003E2A80"/>
    <w:rsid w:val="003E6C0A"/>
    <w:rsid w:val="003E7850"/>
    <w:rsid w:val="003F2920"/>
    <w:rsid w:val="003F5E83"/>
    <w:rsid w:val="003F78B8"/>
    <w:rsid w:val="00400121"/>
    <w:rsid w:val="00400AC0"/>
    <w:rsid w:val="00401C67"/>
    <w:rsid w:val="00402472"/>
    <w:rsid w:val="00404B55"/>
    <w:rsid w:val="004052B7"/>
    <w:rsid w:val="004101A4"/>
    <w:rsid w:val="004101E9"/>
    <w:rsid w:val="00411189"/>
    <w:rsid w:val="004122CE"/>
    <w:rsid w:val="004143E1"/>
    <w:rsid w:val="00416DC0"/>
    <w:rsid w:val="00421E7A"/>
    <w:rsid w:val="0042250E"/>
    <w:rsid w:val="00423043"/>
    <w:rsid w:val="0042384A"/>
    <w:rsid w:val="00424C4F"/>
    <w:rsid w:val="00431584"/>
    <w:rsid w:val="0043363E"/>
    <w:rsid w:val="00435A26"/>
    <w:rsid w:val="00436539"/>
    <w:rsid w:val="0043766B"/>
    <w:rsid w:val="0044744D"/>
    <w:rsid w:val="00452272"/>
    <w:rsid w:val="00452BA1"/>
    <w:rsid w:val="00452E26"/>
    <w:rsid w:val="00453191"/>
    <w:rsid w:val="00453A4C"/>
    <w:rsid w:val="004630E8"/>
    <w:rsid w:val="00464C74"/>
    <w:rsid w:val="0046509F"/>
    <w:rsid w:val="00466BA7"/>
    <w:rsid w:val="00466C2B"/>
    <w:rsid w:val="00470CC2"/>
    <w:rsid w:val="00470E71"/>
    <w:rsid w:val="00471006"/>
    <w:rsid w:val="00473EE1"/>
    <w:rsid w:val="00475110"/>
    <w:rsid w:val="00476346"/>
    <w:rsid w:val="00480067"/>
    <w:rsid w:val="00482510"/>
    <w:rsid w:val="00482BA5"/>
    <w:rsid w:val="00483DE8"/>
    <w:rsid w:val="00485B9D"/>
    <w:rsid w:val="00486500"/>
    <w:rsid w:val="0049182D"/>
    <w:rsid w:val="00491C72"/>
    <w:rsid w:val="00492DD4"/>
    <w:rsid w:val="004952F9"/>
    <w:rsid w:val="00495FB9"/>
    <w:rsid w:val="00496E78"/>
    <w:rsid w:val="00497392"/>
    <w:rsid w:val="004A034C"/>
    <w:rsid w:val="004A2434"/>
    <w:rsid w:val="004A2F8E"/>
    <w:rsid w:val="004A370C"/>
    <w:rsid w:val="004A3A09"/>
    <w:rsid w:val="004A49B5"/>
    <w:rsid w:val="004A5D71"/>
    <w:rsid w:val="004B0A0A"/>
    <w:rsid w:val="004B0B56"/>
    <w:rsid w:val="004B0B5A"/>
    <w:rsid w:val="004B63CB"/>
    <w:rsid w:val="004B77B2"/>
    <w:rsid w:val="004C01F2"/>
    <w:rsid w:val="004C0900"/>
    <w:rsid w:val="004C1A4D"/>
    <w:rsid w:val="004C1CDE"/>
    <w:rsid w:val="004D3796"/>
    <w:rsid w:val="004D466B"/>
    <w:rsid w:val="004D4A18"/>
    <w:rsid w:val="004D6A90"/>
    <w:rsid w:val="004D718B"/>
    <w:rsid w:val="004E1C43"/>
    <w:rsid w:val="004E20E4"/>
    <w:rsid w:val="004E550D"/>
    <w:rsid w:val="004E5616"/>
    <w:rsid w:val="004E6BA6"/>
    <w:rsid w:val="004F34C9"/>
    <w:rsid w:val="00500F2D"/>
    <w:rsid w:val="00502501"/>
    <w:rsid w:val="0050620F"/>
    <w:rsid w:val="005076BC"/>
    <w:rsid w:val="00510CD5"/>
    <w:rsid w:val="00513F9D"/>
    <w:rsid w:val="00514D83"/>
    <w:rsid w:val="00516DE6"/>
    <w:rsid w:val="0052302A"/>
    <w:rsid w:val="00530D21"/>
    <w:rsid w:val="00530E2F"/>
    <w:rsid w:val="00531044"/>
    <w:rsid w:val="00531DFC"/>
    <w:rsid w:val="00532884"/>
    <w:rsid w:val="00532FDD"/>
    <w:rsid w:val="005337D2"/>
    <w:rsid w:val="00533DB5"/>
    <w:rsid w:val="00535FC8"/>
    <w:rsid w:val="005362F4"/>
    <w:rsid w:val="005363D2"/>
    <w:rsid w:val="00542C65"/>
    <w:rsid w:val="00542C9F"/>
    <w:rsid w:val="005442D0"/>
    <w:rsid w:val="00544EDB"/>
    <w:rsid w:val="0054643B"/>
    <w:rsid w:val="00546CF1"/>
    <w:rsid w:val="00550664"/>
    <w:rsid w:val="00550CCB"/>
    <w:rsid w:val="00551FC5"/>
    <w:rsid w:val="00561FEC"/>
    <w:rsid w:val="00572B09"/>
    <w:rsid w:val="00572E17"/>
    <w:rsid w:val="00573899"/>
    <w:rsid w:val="0057491A"/>
    <w:rsid w:val="00577308"/>
    <w:rsid w:val="00580ED2"/>
    <w:rsid w:val="00582B61"/>
    <w:rsid w:val="005833B9"/>
    <w:rsid w:val="00586101"/>
    <w:rsid w:val="00587E9A"/>
    <w:rsid w:val="00587EC7"/>
    <w:rsid w:val="00591227"/>
    <w:rsid w:val="00591321"/>
    <w:rsid w:val="0059168F"/>
    <w:rsid w:val="00595A5F"/>
    <w:rsid w:val="00595AE1"/>
    <w:rsid w:val="005970C3"/>
    <w:rsid w:val="00597B2D"/>
    <w:rsid w:val="005A0ECC"/>
    <w:rsid w:val="005A178E"/>
    <w:rsid w:val="005A17E5"/>
    <w:rsid w:val="005A2CD2"/>
    <w:rsid w:val="005A3F8B"/>
    <w:rsid w:val="005A4756"/>
    <w:rsid w:val="005B0A44"/>
    <w:rsid w:val="005B148F"/>
    <w:rsid w:val="005B36BB"/>
    <w:rsid w:val="005B4C0B"/>
    <w:rsid w:val="005B6408"/>
    <w:rsid w:val="005C37BE"/>
    <w:rsid w:val="005C384C"/>
    <w:rsid w:val="005C56EC"/>
    <w:rsid w:val="005D2F49"/>
    <w:rsid w:val="005D7A7B"/>
    <w:rsid w:val="005E2850"/>
    <w:rsid w:val="005E627C"/>
    <w:rsid w:val="005E6610"/>
    <w:rsid w:val="005F17B1"/>
    <w:rsid w:val="005F4B66"/>
    <w:rsid w:val="005F53C6"/>
    <w:rsid w:val="005F7681"/>
    <w:rsid w:val="00600BCC"/>
    <w:rsid w:val="00603721"/>
    <w:rsid w:val="00605079"/>
    <w:rsid w:val="006077CB"/>
    <w:rsid w:val="00610893"/>
    <w:rsid w:val="00613817"/>
    <w:rsid w:val="00614085"/>
    <w:rsid w:val="00614141"/>
    <w:rsid w:val="00614BE0"/>
    <w:rsid w:val="00614E5C"/>
    <w:rsid w:val="00620289"/>
    <w:rsid w:val="00626639"/>
    <w:rsid w:val="00626B45"/>
    <w:rsid w:val="00630C2F"/>
    <w:rsid w:val="00631562"/>
    <w:rsid w:val="00632EB4"/>
    <w:rsid w:val="006336BC"/>
    <w:rsid w:val="00635FCB"/>
    <w:rsid w:val="0063672F"/>
    <w:rsid w:val="006501AC"/>
    <w:rsid w:val="00651900"/>
    <w:rsid w:val="00652430"/>
    <w:rsid w:val="00652ED2"/>
    <w:rsid w:val="00654BCA"/>
    <w:rsid w:val="0066154A"/>
    <w:rsid w:val="00662880"/>
    <w:rsid w:val="006633A8"/>
    <w:rsid w:val="00663768"/>
    <w:rsid w:val="00663ED4"/>
    <w:rsid w:val="00665549"/>
    <w:rsid w:val="00666C48"/>
    <w:rsid w:val="00670470"/>
    <w:rsid w:val="00671501"/>
    <w:rsid w:val="00671A88"/>
    <w:rsid w:val="00673840"/>
    <w:rsid w:val="00677BD0"/>
    <w:rsid w:val="00681018"/>
    <w:rsid w:val="0068133B"/>
    <w:rsid w:val="006828E3"/>
    <w:rsid w:val="00682FE8"/>
    <w:rsid w:val="0068482E"/>
    <w:rsid w:val="00684B81"/>
    <w:rsid w:val="00685EEE"/>
    <w:rsid w:val="0068625B"/>
    <w:rsid w:val="0068772B"/>
    <w:rsid w:val="00687AB2"/>
    <w:rsid w:val="0069044B"/>
    <w:rsid w:val="00692FD8"/>
    <w:rsid w:val="0069348C"/>
    <w:rsid w:val="00693697"/>
    <w:rsid w:val="00694D60"/>
    <w:rsid w:val="00697215"/>
    <w:rsid w:val="006A01DE"/>
    <w:rsid w:val="006A2EA9"/>
    <w:rsid w:val="006A392F"/>
    <w:rsid w:val="006A4F1E"/>
    <w:rsid w:val="006A588A"/>
    <w:rsid w:val="006B04F3"/>
    <w:rsid w:val="006B1C42"/>
    <w:rsid w:val="006B1D8E"/>
    <w:rsid w:val="006B4340"/>
    <w:rsid w:val="006B5380"/>
    <w:rsid w:val="006B5EB1"/>
    <w:rsid w:val="006B7BF3"/>
    <w:rsid w:val="006C0458"/>
    <w:rsid w:val="006C0462"/>
    <w:rsid w:val="006C06DB"/>
    <w:rsid w:val="006C1AD0"/>
    <w:rsid w:val="006C20C8"/>
    <w:rsid w:val="006C4BF0"/>
    <w:rsid w:val="006C673E"/>
    <w:rsid w:val="006C728D"/>
    <w:rsid w:val="006D1607"/>
    <w:rsid w:val="006D270F"/>
    <w:rsid w:val="006D4240"/>
    <w:rsid w:val="006D76F0"/>
    <w:rsid w:val="006E0035"/>
    <w:rsid w:val="006E1766"/>
    <w:rsid w:val="006E5B09"/>
    <w:rsid w:val="006E5D7F"/>
    <w:rsid w:val="006E7EE4"/>
    <w:rsid w:val="006F008F"/>
    <w:rsid w:val="006F00DF"/>
    <w:rsid w:val="006F3407"/>
    <w:rsid w:val="006F4AE8"/>
    <w:rsid w:val="006F73F1"/>
    <w:rsid w:val="00700C6F"/>
    <w:rsid w:val="007012BE"/>
    <w:rsid w:val="007013ED"/>
    <w:rsid w:val="00703B6B"/>
    <w:rsid w:val="007046C9"/>
    <w:rsid w:val="00710970"/>
    <w:rsid w:val="007120B4"/>
    <w:rsid w:val="00713945"/>
    <w:rsid w:val="00714749"/>
    <w:rsid w:val="00714BF2"/>
    <w:rsid w:val="0071633A"/>
    <w:rsid w:val="007167E5"/>
    <w:rsid w:val="007171C4"/>
    <w:rsid w:val="00717FB2"/>
    <w:rsid w:val="00720E6E"/>
    <w:rsid w:val="007217E8"/>
    <w:rsid w:val="007225CC"/>
    <w:rsid w:val="007231ED"/>
    <w:rsid w:val="00723EB6"/>
    <w:rsid w:val="00724018"/>
    <w:rsid w:val="007242C9"/>
    <w:rsid w:val="00724E50"/>
    <w:rsid w:val="007260E7"/>
    <w:rsid w:val="00726A0D"/>
    <w:rsid w:val="007304C9"/>
    <w:rsid w:val="0073098D"/>
    <w:rsid w:val="00730B48"/>
    <w:rsid w:val="00733391"/>
    <w:rsid w:val="007357C8"/>
    <w:rsid w:val="0073603E"/>
    <w:rsid w:val="007370AB"/>
    <w:rsid w:val="007378A6"/>
    <w:rsid w:val="00737B34"/>
    <w:rsid w:val="0074302D"/>
    <w:rsid w:val="007478AA"/>
    <w:rsid w:val="0075287A"/>
    <w:rsid w:val="007536F6"/>
    <w:rsid w:val="00753B82"/>
    <w:rsid w:val="0075474E"/>
    <w:rsid w:val="00754926"/>
    <w:rsid w:val="00754ABC"/>
    <w:rsid w:val="00757276"/>
    <w:rsid w:val="00760922"/>
    <w:rsid w:val="00761EC9"/>
    <w:rsid w:val="007626A6"/>
    <w:rsid w:val="00763E08"/>
    <w:rsid w:val="007640D8"/>
    <w:rsid w:val="00764858"/>
    <w:rsid w:val="00765450"/>
    <w:rsid w:val="00766551"/>
    <w:rsid w:val="00766C80"/>
    <w:rsid w:val="00767630"/>
    <w:rsid w:val="00767BB7"/>
    <w:rsid w:val="007706A9"/>
    <w:rsid w:val="00770E52"/>
    <w:rsid w:val="0077163E"/>
    <w:rsid w:val="00771FBE"/>
    <w:rsid w:val="007722BA"/>
    <w:rsid w:val="007755E4"/>
    <w:rsid w:val="00775CCB"/>
    <w:rsid w:val="00775F50"/>
    <w:rsid w:val="007771C6"/>
    <w:rsid w:val="00777F2A"/>
    <w:rsid w:val="0078156D"/>
    <w:rsid w:val="00781D3B"/>
    <w:rsid w:val="00782BB2"/>
    <w:rsid w:val="00783CA4"/>
    <w:rsid w:val="00790456"/>
    <w:rsid w:val="00790BFD"/>
    <w:rsid w:val="0079191F"/>
    <w:rsid w:val="00791D16"/>
    <w:rsid w:val="00792598"/>
    <w:rsid w:val="00797839"/>
    <w:rsid w:val="00797EE6"/>
    <w:rsid w:val="007A0DF7"/>
    <w:rsid w:val="007A0F8B"/>
    <w:rsid w:val="007A16E2"/>
    <w:rsid w:val="007A3523"/>
    <w:rsid w:val="007A5F51"/>
    <w:rsid w:val="007B4171"/>
    <w:rsid w:val="007B4378"/>
    <w:rsid w:val="007C0C98"/>
    <w:rsid w:val="007C0E33"/>
    <w:rsid w:val="007C2CD4"/>
    <w:rsid w:val="007C342F"/>
    <w:rsid w:val="007C3655"/>
    <w:rsid w:val="007C6880"/>
    <w:rsid w:val="007D1AC2"/>
    <w:rsid w:val="007D2F8B"/>
    <w:rsid w:val="007D4FF2"/>
    <w:rsid w:val="007E0A36"/>
    <w:rsid w:val="007E0C51"/>
    <w:rsid w:val="007E2390"/>
    <w:rsid w:val="007E4CB4"/>
    <w:rsid w:val="007E5932"/>
    <w:rsid w:val="007E5D45"/>
    <w:rsid w:val="007E7119"/>
    <w:rsid w:val="007F058A"/>
    <w:rsid w:val="007F120E"/>
    <w:rsid w:val="007F2B6B"/>
    <w:rsid w:val="007F3130"/>
    <w:rsid w:val="007F3AC9"/>
    <w:rsid w:val="007F6780"/>
    <w:rsid w:val="00801DAC"/>
    <w:rsid w:val="00805B95"/>
    <w:rsid w:val="00810530"/>
    <w:rsid w:val="00810F44"/>
    <w:rsid w:val="0081176A"/>
    <w:rsid w:val="00811A1F"/>
    <w:rsid w:val="008127CC"/>
    <w:rsid w:val="008141D6"/>
    <w:rsid w:val="008156E7"/>
    <w:rsid w:val="00815C69"/>
    <w:rsid w:val="00816241"/>
    <w:rsid w:val="0082171B"/>
    <w:rsid w:val="00824757"/>
    <w:rsid w:val="00833F43"/>
    <w:rsid w:val="008364DB"/>
    <w:rsid w:val="00837651"/>
    <w:rsid w:val="0084313C"/>
    <w:rsid w:val="00843A79"/>
    <w:rsid w:val="00843C94"/>
    <w:rsid w:val="00844DF4"/>
    <w:rsid w:val="00845134"/>
    <w:rsid w:val="0085125B"/>
    <w:rsid w:val="00852457"/>
    <w:rsid w:val="0085291F"/>
    <w:rsid w:val="0085306C"/>
    <w:rsid w:val="00857EFB"/>
    <w:rsid w:val="0086005F"/>
    <w:rsid w:val="00861137"/>
    <w:rsid w:val="00863308"/>
    <w:rsid w:val="00866B43"/>
    <w:rsid w:val="00867875"/>
    <w:rsid w:val="00872D96"/>
    <w:rsid w:val="00873BEC"/>
    <w:rsid w:val="00873D8F"/>
    <w:rsid w:val="00877731"/>
    <w:rsid w:val="00880108"/>
    <w:rsid w:val="00883394"/>
    <w:rsid w:val="008844CC"/>
    <w:rsid w:val="00886DCE"/>
    <w:rsid w:val="00887993"/>
    <w:rsid w:val="00890508"/>
    <w:rsid w:val="0089164E"/>
    <w:rsid w:val="008918FD"/>
    <w:rsid w:val="0089267C"/>
    <w:rsid w:val="00892ACB"/>
    <w:rsid w:val="008946A1"/>
    <w:rsid w:val="0089490B"/>
    <w:rsid w:val="00896702"/>
    <w:rsid w:val="008A2AE1"/>
    <w:rsid w:val="008A6A7B"/>
    <w:rsid w:val="008B2CBD"/>
    <w:rsid w:val="008B439F"/>
    <w:rsid w:val="008B4D1F"/>
    <w:rsid w:val="008C0204"/>
    <w:rsid w:val="008C1799"/>
    <w:rsid w:val="008C277F"/>
    <w:rsid w:val="008C2F55"/>
    <w:rsid w:val="008C3514"/>
    <w:rsid w:val="008D1994"/>
    <w:rsid w:val="008D1D5F"/>
    <w:rsid w:val="008D28B4"/>
    <w:rsid w:val="008D6F1F"/>
    <w:rsid w:val="008E03F2"/>
    <w:rsid w:val="008E1B76"/>
    <w:rsid w:val="008E3B56"/>
    <w:rsid w:val="008E3CA1"/>
    <w:rsid w:val="008E61A0"/>
    <w:rsid w:val="008F1154"/>
    <w:rsid w:val="008F27A1"/>
    <w:rsid w:val="008F57CB"/>
    <w:rsid w:val="008F76DD"/>
    <w:rsid w:val="009020C8"/>
    <w:rsid w:val="00902650"/>
    <w:rsid w:val="00904874"/>
    <w:rsid w:val="009078D2"/>
    <w:rsid w:val="009115E9"/>
    <w:rsid w:val="00911781"/>
    <w:rsid w:val="009127A9"/>
    <w:rsid w:val="0091320B"/>
    <w:rsid w:val="00913727"/>
    <w:rsid w:val="00915413"/>
    <w:rsid w:val="00916C59"/>
    <w:rsid w:val="00917460"/>
    <w:rsid w:val="009223DA"/>
    <w:rsid w:val="009225E2"/>
    <w:rsid w:val="00923C4E"/>
    <w:rsid w:val="0093054C"/>
    <w:rsid w:val="0093391A"/>
    <w:rsid w:val="00940EDB"/>
    <w:rsid w:val="00940EE0"/>
    <w:rsid w:val="0094134C"/>
    <w:rsid w:val="009426FC"/>
    <w:rsid w:val="0094381F"/>
    <w:rsid w:val="00946A93"/>
    <w:rsid w:val="00946D79"/>
    <w:rsid w:val="009470C5"/>
    <w:rsid w:val="00950E4B"/>
    <w:rsid w:val="00951C8B"/>
    <w:rsid w:val="009529D6"/>
    <w:rsid w:val="00953009"/>
    <w:rsid w:val="00955027"/>
    <w:rsid w:val="00955549"/>
    <w:rsid w:val="00955E2C"/>
    <w:rsid w:val="00956B5C"/>
    <w:rsid w:val="0095719E"/>
    <w:rsid w:val="00962E4A"/>
    <w:rsid w:val="009639C0"/>
    <w:rsid w:val="0097049B"/>
    <w:rsid w:val="00973B6F"/>
    <w:rsid w:val="00980D64"/>
    <w:rsid w:val="0098354A"/>
    <w:rsid w:val="00985CF3"/>
    <w:rsid w:val="00994AE0"/>
    <w:rsid w:val="009976FD"/>
    <w:rsid w:val="009A1F03"/>
    <w:rsid w:val="009A2207"/>
    <w:rsid w:val="009A5604"/>
    <w:rsid w:val="009B08E1"/>
    <w:rsid w:val="009B0D18"/>
    <w:rsid w:val="009B127E"/>
    <w:rsid w:val="009B1DDF"/>
    <w:rsid w:val="009B413E"/>
    <w:rsid w:val="009B4791"/>
    <w:rsid w:val="009B47BE"/>
    <w:rsid w:val="009C0615"/>
    <w:rsid w:val="009C1D72"/>
    <w:rsid w:val="009C402E"/>
    <w:rsid w:val="009C5B50"/>
    <w:rsid w:val="009C6A3B"/>
    <w:rsid w:val="009C7594"/>
    <w:rsid w:val="009D20B3"/>
    <w:rsid w:val="009D351E"/>
    <w:rsid w:val="009D3E91"/>
    <w:rsid w:val="009D6BFD"/>
    <w:rsid w:val="009D7CE3"/>
    <w:rsid w:val="009E22FB"/>
    <w:rsid w:val="009E33AC"/>
    <w:rsid w:val="009E38F3"/>
    <w:rsid w:val="009E4AE0"/>
    <w:rsid w:val="009E53D6"/>
    <w:rsid w:val="009E7946"/>
    <w:rsid w:val="009F0623"/>
    <w:rsid w:val="009F5F1B"/>
    <w:rsid w:val="009F69D9"/>
    <w:rsid w:val="009F6E7B"/>
    <w:rsid w:val="009F7BD7"/>
    <w:rsid w:val="00A00765"/>
    <w:rsid w:val="00A013C1"/>
    <w:rsid w:val="00A056FC"/>
    <w:rsid w:val="00A07A76"/>
    <w:rsid w:val="00A13742"/>
    <w:rsid w:val="00A13A58"/>
    <w:rsid w:val="00A14AD2"/>
    <w:rsid w:val="00A151CA"/>
    <w:rsid w:val="00A20D6A"/>
    <w:rsid w:val="00A22DA7"/>
    <w:rsid w:val="00A23CE9"/>
    <w:rsid w:val="00A249EC"/>
    <w:rsid w:val="00A24B45"/>
    <w:rsid w:val="00A252E1"/>
    <w:rsid w:val="00A25F02"/>
    <w:rsid w:val="00A27A04"/>
    <w:rsid w:val="00A30B95"/>
    <w:rsid w:val="00A3202D"/>
    <w:rsid w:val="00A32A8F"/>
    <w:rsid w:val="00A334A6"/>
    <w:rsid w:val="00A35085"/>
    <w:rsid w:val="00A3653F"/>
    <w:rsid w:val="00A37756"/>
    <w:rsid w:val="00A37C12"/>
    <w:rsid w:val="00A4304D"/>
    <w:rsid w:val="00A45B30"/>
    <w:rsid w:val="00A461C6"/>
    <w:rsid w:val="00A46BD4"/>
    <w:rsid w:val="00A46D09"/>
    <w:rsid w:val="00A47D7B"/>
    <w:rsid w:val="00A47E6B"/>
    <w:rsid w:val="00A516F5"/>
    <w:rsid w:val="00A53203"/>
    <w:rsid w:val="00A5355A"/>
    <w:rsid w:val="00A60FEF"/>
    <w:rsid w:val="00A6101E"/>
    <w:rsid w:val="00A61CF6"/>
    <w:rsid w:val="00A61F0B"/>
    <w:rsid w:val="00A638EC"/>
    <w:rsid w:val="00A64E7A"/>
    <w:rsid w:val="00A65D64"/>
    <w:rsid w:val="00A663B6"/>
    <w:rsid w:val="00A76B04"/>
    <w:rsid w:val="00A775DB"/>
    <w:rsid w:val="00A80CE2"/>
    <w:rsid w:val="00A8111E"/>
    <w:rsid w:val="00A8312B"/>
    <w:rsid w:val="00A83B40"/>
    <w:rsid w:val="00A92EF6"/>
    <w:rsid w:val="00A97119"/>
    <w:rsid w:val="00A97A3A"/>
    <w:rsid w:val="00A97FD4"/>
    <w:rsid w:val="00AA17E7"/>
    <w:rsid w:val="00AA1B0E"/>
    <w:rsid w:val="00AA749C"/>
    <w:rsid w:val="00AB0B59"/>
    <w:rsid w:val="00AB2115"/>
    <w:rsid w:val="00AC0956"/>
    <w:rsid w:val="00AD184A"/>
    <w:rsid w:val="00AD1A36"/>
    <w:rsid w:val="00AD5EFA"/>
    <w:rsid w:val="00AD60DC"/>
    <w:rsid w:val="00AD65A8"/>
    <w:rsid w:val="00AE00AF"/>
    <w:rsid w:val="00AE19E8"/>
    <w:rsid w:val="00AE23B8"/>
    <w:rsid w:val="00AE2B30"/>
    <w:rsid w:val="00AE574C"/>
    <w:rsid w:val="00AE5D6A"/>
    <w:rsid w:val="00AE6484"/>
    <w:rsid w:val="00AF07F6"/>
    <w:rsid w:val="00AF1DCD"/>
    <w:rsid w:val="00AF2534"/>
    <w:rsid w:val="00AF7692"/>
    <w:rsid w:val="00B01E23"/>
    <w:rsid w:val="00B02A6E"/>
    <w:rsid w:val="00B038AC"/>
    <w:rsid w:val="00B03DA0"/>
    <w:rsid w:val="00B04F3C"/>
    <w:rsid w:val="00B118F5"/>
    <w:rsid w:val="00B11B18"/>
    <w:rsid w:val="00B12735"/>
    <w:rsid w:val="00B12828"/>
    <w:rsid w:val="00B165CC"/>
    <w:rsid w:val="00B23A7C"/>
    <w:rsid w:val="00B24277"/>
    <w:rsid w:val="00B2452F"/>
    <w:rsid w:val="00B24902"/>
    <w:rsid w:val="00B27991"/>
    <w:rsid w:val="00B30205"/>
    <w:rsid w:val="00B30257"/>
    <w:rsid w:val="00B317F7"/>
    <w:rsid w:val="00B343FC"/>
    <w:rsid w:val="00B40397"/>
    <w:rsid w:val="00B41F92"/>
    <w:rsid w:val="00B43C41"/>
    <w:rsid w:val="00B43CE2"/>
    <w:rsid w:val="00B4607E"/>
    <w:rsid w:val="00B463BD"/>
    <w:rsid w:val="00B46C81"/>
    <w:rsid w:val="00B535CE"/>
    <w:rsid w:val="00B55584"/>
    <w:rsid w:val="00B632FA"/>
    <w:rsid w:val="00B6538B"/>
    <w:rsid w:val="00B67EFA"/>
    <w:rsid w:val="00B70207"/>
    <w:rsid w:val="00B71FAD"/>
    <w:rsid w:val="00B76449"/>
    <w:rsid w:val="00B81649"/>
    <w:rsid w:val="00B81680"/>
    <w:rsid w:val="00B81E6F"/>
    <w:rsid w:val="00B8291D"/>
    <w:rsid w:val="00B85D73"/>
    <w:rsid w:val="00B86EC0"/>
    <w:rsid w:val="00B87C4A"/>
    <w:rsid w:val="00B913FB"/>
    <w:rsid w:val="00B91E37"/>
    <w:rsid w:val="00B9560F"/>
    <w:rsid w:val="00B95DEE"/>
    <w:rsid w:val="00BA06B0"/>
    <w:rsid w:val="00BA1BA5"/>
    <w:rsid w:val="00BA2471"/>
    <w:rsid w:val="00BA2D97"/>
    <w:rsid w:val="00BA3102"/>
    <w:rsid w:val="00BA3319"/>
    <w:rsid w:val="00BA3C70"/>
    <w:rsid w:val="00BA7837"/>
    <w:rsid w:val="00BA7A16"/>
    <w:rsid w:val="00BB1F0D"/>
    <w:rsid w:val="00BB5137"/>
    <w:rsid w:val="00BB7537"/>
    <w:rsid w:val="00BB7D6C"/>
    <w:rsid w:val="00BC0C1F"/>
    <w:rsid w:val="00BC1B56"/>
    <w:rsid w:val="00BC2475"/>
    <w:rsid w:val="00BC2758"/>
    <w:rsid w:val="00BC377D"/>
    <w:rsid w:val="00BC4F8F"/>
    <w:rsid w:val="00BD04BB"/>
    <w:rsid w:val="00BD0E6C"/>
    <w:rsid w:val="00BD1C5B"/>
    <w:rsid w:val="00BD35D2"/>
    <w:rsid w:val="00BD68C7"/>
    <w:rsid w:val="00BE166A"/>
    <w:rsid w:val="00BE37FB"/>
    <w:rsid w:val="00BE4BD4"/>
    <w:rsid w:val="00BF2643"/>
    <w:rsid w:val="00BF326A"/>
    <w:rsid w:val="00BF50BB"/>
    <w:rsid w:val="00BF5845"/>
    <w:rsid w:val="00BF62A5"/>
    <w:rsid w:val="00C0021B"/>
    <w:rsid w:val="00C014E7"/>
    <w:rsid w:val="00C05163"/>
    <w:rsid w:val="00C06016"/>
    <w:rsid w:val="00C06B76"/>
    <w:rsid w:val="00C077C7"/>
    <w:rsid w:val="00C10B29"/>
    <w:rsid w:val="00C13F88"/>
    <w:rsid w:val="00C16C87"/>
    <w:rsid w:val="00C17780"/>
    <w:rsid w:val="00C21497"/>
    <w:rsid w:val="00C235CA"/>
    <w:rsid w:val="00C23D0D"/>
    <w:rsid w:val="00C25925"/>
    <w:rsid w:val="00C27BCA"/>
    <w:rsid w:val="00C30C01"/>
    <w:rsid w:val="00C30EF9"/>
    <w:rsid w:val="00C32E67"/>
    <w:rsid w:val="00C333F1"/>
    <w:rsid w:val="00C35A3E"/>
    <w:rsid w:val="00C367EB"/>
    <w:rsid w:val="00C369F3"/>
    <w:rsid w:val="00C37982"/>
    <w:rsid w:val="00C412C0"/>
    <w:rsid w:val="00C414CA"/>
    <w:rsid w:val="00C42786"/>
    <w:rsid w:val="00C44940"/>
    <w:rsid w:val="00C471C5"/>
    <w:rsid w:val="00C5053A"/>
    <w:rsid w:val="00C50DED"/>
    <w:rsid w:val="00C51652"/>
    <w:rsid w:val="00C554B6"/>
    <w:rsid w:val="00C559D7"/>
    <w:rsid w:val="00C56240"/>
    <w:rsid w:val="00C56347"/>
    <w:rsid w:val="00C5647E"/>
    <w:rsid w:val="00C60FCD"/>
    <w:rsid w:val="00C6167D"/>
    <w:rsid w:val="00C61E35"/>
    <w:rsid w:val="00C6394F"/>
    <w:rsid w:val="00C67A9F"/>
    <w:rsid w:val="00C67CB0"/>
    <w:rsid w:val="00C70C3F"/>
    <w:rsid w:val="00C70D5D"/>
    <w:rsid w:val="00C70EC2"/>
    <w:rsid w:val="00C71320"/>
    <w:rsid w:val="00C71653"/>
    <w:rsid w:val="00C71986"/>
    <w:rsid w:val="00C72ED2"/>
    <w:rsid w:val="00C7355D"/>
    <w:rsid w:val="00C73C78"/>
    <w:rsid w:val="00C76029"/>
    <w:rsid w:val="00C80A66"/>
    <w:rsid w:val="00C81273"/>
    <w:rsid w:val="00C82742"/>
    <w:rsid w:val="00C82DC7"/>
    <w:rsid w:val="00C84C88"/>
    <w:rsid w:val="00C871C6"/>
    <w:rsid w:val="00C901CF"/>
    <w:rsid w:val="00C90E03"/>
    <w:rsid w:val="00C93577"/>
    <w:rsid w:val="00C950BB"/>
    <w:rsid w:val="00C9521C"/>
    <w:rsid w:val="00CA0559"/>
    <w:rsid w:val="00CA7161"/>
    <w:rsid w:val="00CA7391"/>
    <w:rsid w:val="00CA7BE1"/>
    <w:rsid w:val="00CB10EF"/>
    <w:rsid w:val="00CB60C8"/>
    <w:rsid w:val="00CB7575"/>
    <w:rsid w:val="00CB7945"/>
    <w:rsid w:val="00CB7D3B"/>
    <w:rsid w:val="00CC1701"/>
    <w:rsid w:val="00CC29A3"/>
    <w:rsid w:val="00CC2B96"/>
    <w:rsid w:val="00CC2E67"/>
    <w:rsid w:val="00CC35A8"/>
    <w:rsid w:val="00CC38E0"/>
    <w:rsid w:val="00CC4DC7"/>
    <w:rsid w:val="00CD092F"/>
    <w:rsid w:val="00CD1476"/>
    <w:rsid w:val="00CD2D48"/>
    <w:rsid w:val="00CD3952"/>
    <w:rsid w:val="00CD3997"/>
    <w:rsid w:val="00CD5C6B"/>
    <w:rsid w:val="00CD5FFE"/>
    <w:rsid w:val="00CD73B5"/>
    <w:rsid w:val="00CE2E45"/>
    <w:rsid w:val="00CE3022"/>
    <w:rsid w:val="00CF3531"/>
    <w:rsid w:val="00CF3EB4"/>
    <w:rsid w:val="00CF3ED1"/>
    <w:rsid w:val="00CF4F91"/>
    <w:rsid w:val="00CF6E09"/>
    <w:rsid w:val="00CF7EF7"/>
    <w:rsid w:val="00D0043C"/>
    <w:rsid w:val="00D00668"/>
    <w:rsid w:val="00D033CD"/>
    <w:rsid w:val="00D03F0F"/>
    <w:rsid w:val="00D0474F"/>
    <w:rsid w:val="00D06DC6"/>
    <w:rsid w:val="00D102CD"/>
    <w:rsid w:val="00D1071A"/>
    <w:rsid w:val="00D13216"/>
    <w:rsid w:val="00D13B79"/>
    <w:rsid w:val="00D17A86"/>
    <w:rsid w:val="00D21CB8"/>
    <w:rsid w:val="00D22A36"/>
    <w:rsid w:val="00D24784"/>
    <w:rsid w:val="00D318F3"/>
    <w:rsid w:val="00D334A1"/>
    <w:rsid w:val="00D36909"/>
    <w:rsid w:val="00D37609"/>
    <w:rsid w:val="00D43524"/>
    <w:rsid w:val="00D46BBA"/>
    <w:rsid w:val="00D527A1"/>
    <w:rsid w:val="00D564CC"/>
    <w:rsid w:val="00D56EE7"/>
    <w:rsid w:val="00D57AF6"/>
    <w:rsid w:val="00D63871"/>
    <w:rsid w:val="00D65FFF"/>
    <w:rsid w:val="00D70B3D"/>
    <w:rsid w:val="00D711C9"/>
    <w:rsid w:val="00D72AE5"/>
    <w:rsid w:val="00D77074"/>
    <w:rsid w:val="00D80D98"/>
    <w:rsid w:val="00D832AE"/>
    <w:rsid w:val="00D83AA9"/>
    <w:rsid w:val="00D85D3C"/>
    <w:rsid w:val="00D907A0"/>
    <w:rsid w:val="00D911C5"/>
    <w:rsid w:val="00D9501A"/>
    <w:rsid w:val="00D95ADB"/>
    <w:rsid w:val="00D974A0"/>
    <w:rsid w:val="00DA372D"/>
    <w:rsid w:val="00DA592C"/>
    <w:rsid w:val="00DA5B69"/>
    <w:rsid w:val="00DA5F90"/>
    <w:rsid w:val="00DA6BC1"/>
    <w:rsid w:val="00DA7A49"/>
    <w:rsid w:val="00DB1048"/>
    <w:rsid w:val="00DB1B44"/>
    <w:rsid w:val="00DB21AB"/>
    <w:rsid w:val="00DB2E78"/>
    <w:rsid w:val="00DB3101"/>
    <w:rsid w:val="00DB36D4"/>
    <w:rsid w:val="00DB3D1B"/>
    <w:rsid w:val="00DB5048"/>
    <w:rsid w:val="00DB61D5"/>
    <w:rsid w:val="00DC0049"/>
    <w:rsid w:val="00DC0770"/>
    <w:rsid w:val="00DC3A68"/>
    <w:rsid w:val="00DC7E9E"/>
    <w:rsid w:val="00DD06E0"/>
    <w:rsid w:val="00DD196A"/>
    <w:rsid w:val="00DD28EF"/>
    <w:rsid w:val="00DD3EA6"/>
    <w:rsid w:val="00DD459C"/>
    <w:rsid w:val="00DE0E1A"/>
    <w:rsid w:val="00DE0F4A"/>
    <w:rsid w:val="00DE404D"/>
    <w:rsid w:val="00DE52D6"/>
    <w:rsid w:val="00DE663C"/>
    <w:rsid w:val="00DE72DC"/>
    <w:rsid w:val="00DF1DE7"/>
    <w:rsid w:val="00DF355E"/>
    <w:rsid w:val="00DF5F63"/>
    <w:rsid w:val="00DF65D4"/>
    <w:rsid w:val="00DF6EE7"/>
    <w:rsid w:val="00E003B0"/>
    <w:rsid w:val="00E02AA1"/>
    <w:rsid w:val="00E02F91"/>
    <w:rsid w:val="00E030F3"/>
    <w:rsid w:val="00E03FA6"/>
    <w:rsid w:val="00E0441C"/>
    <w:rsid w:val="00E05085"/>
    <w:rsid w:val="00E06620"/>
    <w:rsid w:val="00E07838"/>
    <w:rsid w:val="00E13FA4"/>
    <w:rsid w:val="00E14490"/>
    <w:rsid w:val="00E16152"/>
    <w:rsid w:val="00E163C3"/>
    <w:rsid w:val="00E16848"/>
    <w:rsid w:val="00E16F90"/>
    <w:rsid w:val="00E201CB"/>
    <w:rsid w:val="00E215F8"/>
    <w:rsid w:val="00E22769"/>
    <w:rsid w:val="00E23309"/>
    <w:rsid w:val="00E23BCB"/>
    <w:rsid w:val="00E243B4"/>
    <w:rsid w:val="00E246C6"/>
    <w:rsid w:val="00E25303"/>
    <w:rsid w:val="00E2619B"/>
    <w:rsid w:val="00E26CEC"/>
    <w:rsid w:val="00E27DFA"/>
    <w:rsid w:val="00E30A31"/>
    <w:rsid w:val="00E30F37"/>
    <w:rsid w:val="00E3350C"/>
    <w:rsid w:val="00E347F0"/>
    <w:rsid w:val="00E35E9D"/>
    <w:rsid w:val="00E364A0"/>
    <w:rsid w:val="00E401D6"/>
    <w:rsid w:val="00E41877"/>
    <w:rsid w:val="00E433E9"/>
    <w:rsid w:val="00E45D30"/>
    <w:rsid w:val="00E473E5"/>
    <w:rsid w:val="00E47592"/>
    <w:rsid w:val="00E51407"/>
    <w:rsid w:val="00E526C9"/>
    <w:rsid w:val="00E53D16"/>
    <w:rsid w:val="00E572BF"/>
    <w:rsid w:val="00E624F5"/>
    <w:rsid w:val="00E6453F"/>
    <w:rsid w:val="00E67DB8"/>
    <w:rsid w:val="00E7022C"/>
    <w:rsid w:val="00E72163"/>
    <w:rsid w:val="00E72DC7"/>
    <w:rsid w:val="00E74FE4"/>
    <w:rsid w:val="00E764DA"/>
    <w:rsid w:val="00E80464"/>
    <w:rsid w:val="00E85DC6"/>
    <w:rsid w:val="00E8644A"/>
    <w:rsid w:val="00E87679"/>
    <w:rsid w:val="00E877C9"/>
    <w:rsid w:val="00E90A6A"/>
    <w:rsid w:val="00E92323"/>
    <w:rsid w:val="00E92B01"/>
    <w:rsid w:val="00E94FE7"/>
    <w:rsid w:val="00EA3B0E"/>
    <w:rsid w:val="00EA50CF"/>
    <w:rsid w:val="00EA516D"/>
    <w:rsid w:val="00EA654D"/>
    <w:rsid w:val="00EA6BE5"/>
    <w:rsid w:val="00EA76CC"/>
    <w:rsid w:val="00EB1B8E"/>
    <w:rsid w:val="00EB4FC1"/>
    <w:rsid w:val="00EB742D"/>
    <w:rsid w:val="00EB7715"/>
    <w:rsid w:val="00EC27AC"/>
    <w:rsid w:val="00EC46B8"/>
    <w:rsid w:val="00EC505C"/>
    <w:rsid w:val="00EC68BC"/>
    <w:rsid w:val="00EC6DFB"/>
    <w:rsid w:val="00ED128F"/>
    <w:rsid w:val="00ED1497"/>
    <w:rsid w:val="00ED1673"/>
    <w:rsid w:val="00ED1D66"/>
    <w:rsid w:val="00ED214D"/>
    <w:rsid w:val="00ED3CCC"/>
    <w:rsid w:val="00ED6FDE"/>
    <w:rsid w:val="00EE1187"/>
    <w:rsid w:val="00EE2E22"/>
    <w:rsid w:val="00EE5BD1"/>
    <w:rsid w:val="00EE6A5D"/>
    <w:rsid w:val="00EF0A7B"/>
    <w:rsid w:val="00EF4715"/>
    <w:rsid w:val="00EF54D4"/>
    <w:rsid w:val="00EF6DF0"/>
    <w:rsid w:val="00EF71A9"/>
    <w:rsid w:val="00EF75F7"/>
    <w:rsid w:val="00EF79B0"/>
    <w:rsid w:val="00F056BD"/>
    <w:rsid w:val="00F06C23"/>
    <w:rsid w:val="00F07382"/>
    <w:rsid w:val="00F16DD0"/>
    <w:rsid w:val="00F16FFD"/>
    <w:rsid w:val="00F210B3"/>
    <w:rsid w:val="00F210EF"/>
    <w:rsid w:val="00F235D1"/>
    <w:rsid w:val="00F254BB"/>
    <w:rsid w:val="00F25DAD"/>
    <w:rsid w:val="00F2786B"/>
    <w:rsid w:val="00F3622D"/>
    <w:rsid w:val="00F407CA"/>
    <w:rsid w:val="00F413C0"/>
    <w:rsid w:val="00F51284"/>
    <w:rsid w:val="00F60FC9"/>
    <w:rsid w:val="00F612A6"/>
    <w:rsid w:val="00F61832"/>
    <w:rsid w:val="00F63270"/>
    <w:rsid w:val="00F652FC"/>
    <w:rsid w:val="00F66697"/>
    <w:rsid w:val="00F66D68"/>
    <w:rsid w:val="00F701DB"/>
    <w:rsid w:val="00F72101"/>
    <w:rsid w:val="00F744D3"/>
    <w:rsid w:val="00F75CB4"/>
    <w:rsid w:val="00F765C0"/>
    <w:rsid w:val="00F77374"/>
    <w:rsid w:val="00F77946"/>
    <w:rsid w:val="00F77F51"/>
    <w:rsid w:val="00F80DE8"/>
    <w:rsid w:val="00F82E08"/>
    <w:rsid w:val="00F839B2"/>
    <w:rsid w:val="00F857F0"/>
    <w:rsid w:val="00F86B17"/>
    <w:rsid w:val="00F8735C"/>
    <w:rsid w:val="00F91BC1"/>
    <w:rsid w:val="00F950B6"/>
    <w:rsid w:val="00FA2287"/>
    <w:rsid w:val="00FA5F10"/>
    <w:rsid w:val="00FB66C0"/>
    <w:rsid w:val="00FB75DC"/>
    <w:rsid w:val="00FC1801"/>
    <w:rsid w:val="00FC273D"/>
    <w:rsid w:val="00FC47BE"/>
    <w:rsid w:val="00FC7BCE"/>
    <w:rsid w:val="00FD08F8"/>
    <w:rsid w:val="00FD1605"/>
    <w:rsid w:val="00FD6EC5"/>
    <w:rsid w:val="00FE0F45"/>
    <w:rsid w:val="00FE14D2"/>
    <w:rsid w:val="00FF0C3F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  <w14:docId w14:val="335904ED"/>
  <w15:docId w15:val="{59F7CDA6-4ACB-45A5-BA59-A12F3E7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30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97215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E91"/>
  </w:style>
  <w:style w:type="paragraph" w:styleId="a6">
    <w:name w:val="footer"/>
    <w:basedOn w:val="a"/>
    <w:link w:val="a7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E91"/>
  </w:style>
  <w:style w:type="character" w:styleId="a8">
    <w:name w:val="Hyperlink"/>
    <w:basedOn w:val="a0"/>
    <w:uiPriority w:val="99"/>
    <w:unhideWhenUsed/>
    <w:rsid w:val="003A014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5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5C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9721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0E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075C0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5B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8625B"/>
    <w:pPr>
      <w:tabs>
        <w:tab w:val="right" w:leader="dot" w:pos="9345"/>
      </w:tabs>
      <w:spacing w:after="100"/>
      <w:ind w:left="221" w:firstLine="0"/>
    </w:pPr>
  </w:style>
  <w:style w:type="paragraph" w:styleId="ac">
    <w:name w:val="Normal (Web)"/>
    <w:basedOn w:val="a"/>
    <w:uiPriority w:val="99"/>
    <w:unhideWhenUsed/>
    <w:rsid w:val="00714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6519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86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68625B"/>
    <w:pPr>
      <w:spacing w:after="100"/>
      <w:ind w:left="561" w:firstLine="0"/>
    </w:pPr>
  </w:style>
  <w:style w:type="table" w:styleId="ae">
    <w:name w:val="Table Grid"/>
    <w:basedOn w:val="a1"/>
    <w:uiPriority w:val="39"/>
    <w:rsid w:val="00C61E3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Emphasis"/>
    <w:basedOn w:val="a0"/>
    <w:uiPriority w:val="20"/>
    <w:qFormat/>
    <w:rsid w:val="00A24B45"/>
    <w:rPr>
      <w:i/>
      <w:iCs/>
    </w:rPr>
  </w:style>
  <w:style w:type="character" w:styleId="af0">
    <w:name w:val="line number"/>
    <w:basedOn w:val="a0"/>
    <w:uiPriority w:val="99"/>
    <w:semiHidden/>
    <w:unhideWhenUsed/>
    <w:rsid w:val="00597B2D"/>
  </w:style>
  <w:style w:type="paragraph" w:customStyle="1" w:styleId="af1">
    <w:name w:val="Текст в таблицах"/>
    <w:basedOn w:val="a"/>
    <w:link w:val="af2"/>
    <w:qFormat/>
    <w:rsid w:val="00573899"/>
    <w:pPr>
      <w:spacing w:line="240" w:lineRule="auto"/>
      <w:ind w:firstLine="0"/>
      <w:jc w:val="left"/>
    </w:pPr>
    <w:rPr>
      <w:rFonts w:eastAsia="Times New Roman" w:cs="Calibri"/>
      <w:color w:val="000000"/>
      <w:sz w:val="22"/>
      <w:lang w:eastAsia="ru-RU"/>
    </w:rPr>
  </w:style>
  <w:style w:type="character" w:customStyle="1" w:styleId="af2">
    <w:name w:val="Текст в таблицах Знак"/>
    <w:basedOn w:val="a0"/>
    <w:link w:val="af1"/>
    <w:rsid w:val="00573899"/>
    <w:rPr>
      <w:rFonts w:ascii="Times New Roman" w:eastAsia="Times New Roman" w:hAnsi="Times New Roman" w:cs="Calibri"/>
      <w:color w:val="000000"/>
      <w:lang w:eastAsia="ru-RU"/>
    </w:rPr>
  </w:style>
  <w:style w:type="paragraph" w:styleId="af3">
    <w:name w:val="No Spacing"/>
    <w:link w:val="af4"/>
    <w:uiPriority w:val="1"/>
    <w:qFormat/>
    <w:rsid w:val="00BC2475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C2475"/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e"/>
    <w:uiPriority w:val="39"/>
    <w:rsid w:val="00342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2">
    <w:name w:val="Заголовок_2"/>
    <w:basedOn w:val="2"/>
    <w:link w:val="23"/>
    <w:autoRedefine/>
    <w:qFormat/>
    <w:rsid w:val="00D36909"/>
    <w:pPr>
      <w:spacing w:before="240" w:after="240"/>
      <w:ind w:left="709" w:firstLine="0"/>
    </w:pPr>
    <w:rPr>
      <w:szCs w:val="28"/>
      <w:lang w:eastAsia="ru-RU"/>
    </w:rPr>
  </w:style>
  <w:style w:type="character" w:customStyle="1" w:styleId="23">
    <w:name w:val="Заголовок_2 Знак"/>
    <w:basedOn w:val="20"/>
    <w:link w:val="22"/>
    <w:rsid w:val="00D36909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8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185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1683064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69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3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6%D0%B8%D0%BE%D0%BD%D0%B5%D1%80%D0%BD%D0%BE%D0%B5_%D0%BE%D0%B1%D1%89%D0%B5%D1%81%D1%82%D0%B2%D0%BE" TargetMode="External"/><Relationship Id="rId13" Type="http://schemas.openxmlformats.org/officeDocument/2006/relationships/hyperlink" Target="https://ru.wikipedia.org/wiki/Forbes" TargetMode="Externa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A%D1%81%D0%BF%D0%B5%D1%80%D1%82_%D0%A0%D0%90" TargetMode="External"/><Relationship Id="rId17" Type="http://schemas.openxmlformats.org/officeDocument/2006/relationships/header" Target="header1.xml"/><Relationship Id="rId25" Type="http://schemas.openxmlformats.org/officeDocument/2006/relationships/footer" Target="footer6.xml"/><Relationship Id="rId33" Type="http://schemas.openxmlformats.org/officeDocument/2006/relationships/image" Target="media/image1.png"/><Relationship Id="rId38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E%D0%BB%D0%BE%D1%82%D0%B0%D1%8F_%D0%9A%D0%BE%D1%80%D0%BE%D0%BD%D0%B0" TargetMode="External"/><Relationship Id="rId24" Type="http://schemas.openxmlformats.org/officeDocument/2006/relationships/header" Target="header4.xml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E%D1%80%D0%B8%D0%B4%D0%B8%D1%87%D0%B5%D1%81%D0%BA%D0%BE%D0%B5_%D0%BB%D0%B8%D1%86%D0%BE" TargetMode="Externa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90%D0%BA%D1%86%D0%B8%D0%BE%D0%BD%D0%B5%D1%80%D0%BD%D0%BE%D0%B5_%D0%BE%D0%B1%D1%89%D0%B5%D1%81%D1%82%D0%B2%D0%BE_%D0%BE%D1%82%D0%BA%D1%80%D1%8B%D1%82%D0%BE%D0%B3%D0%BE_%D1%82%D0%B8%D0%BF%D0%B0" TargetMode="External"/><Relationship Id="rId19" Type="http://schemas.openxmlformats.org/officeDocument/2006/relationships/header" Target="header2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A%D1%86%D0%B8%D0%BE%D0%BD%D0%B5%D1%80%D0%BD%D0%BE%D0%B5_%D0%BE%D0%B1%D1%89%D0%B5%D1%81%D1%82%D0%B2%D0%BE_%D0%B7%D0%B0%D0%BA%D1%80%D1%8B%D1%82%D0%BE%D0%B3%D0%BE_%D1%82%D0%B8%D0%BF%D0%B0" TargetMode="External"/><Relationship Id="rId14" Type="http://schemas.openxmlformats.org/officeDocument/2006/relationships/hyperlink" Target="https://ru.wikipedia.org/wiki/%D0%A4%D0%B8%D0%B7%D0%B8%D1%87%D0%B5%D1%81%D0%BA%D0%BE%D0%B5_%D0%BB%D0%B8%D1%86%D0%BE" TargetMode="External"/><Relationship Id="rId22" Type="http://schemas.openxmlformats.org/officeDocument/2006/relationships/header" Target="header3.xml"/><Relationship Id="rId27" Type="http://schemas.openxmlformats.org/officeDocument/2006/relationships/footer" Target="footer7.xml"/><Relationship Id="rId30" Type="http://schemas.openxmlformats.org/officeDocument/2006/relationships/footer" Target="footer10.xm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C998-618A-4C15-ADCD-595301FD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71</Pages>
  <Words>15489</Words>
  <Characters>88292</Characters>
  <Application>Microsoft Office Word</Application>
  <DocSecurity>0</DocSecurity>
  <Lines>735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Шевалдов Станислав Сергеевич</cp:lastModifiedBy>
  <cp:revision>477</cp:revision>
  <cp:lastPrinted>2021-02-24T04:32:00Z</cp:lastPrinted>
  <dcterms:created xsi:type="dcterms:W3CDTF">2023-04-10T13:40:00Z</dcterms:created>
  <dcterms:modified xsi:type="dcterms:W3CDTF">2024-06-01T09:03:00Z</dcterms:modified>
</cp:coreProperties>
</file>