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AE3A24">
      <w:pPr>
        <w:jc w:val="center"/>
      </w:pPr>
      <w:r w:rsidRPr="008E0969">
        <w:t>TALLINN UNIVERSITY OF TECHNOLOGY</w:t>
      </w:r>
    </w:p>
    <w:p w14:paraId="5A19EEE3" w14:textId="1878FFD0" w:rsidR="001E45F1" w:rsidRPr="008E0969" w:rsidRDefault="00266398" w:rsidP="00AE3A24">
      <w:pPr>
        <w:jc w:val="center"/>
      </w:pPr>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AE3A24">
      <w:pPr>
        <w:jc w:val="center"/>
      </w:pPr>
    </w:p>
    <w:p w14:paraId="6280F6BE" w14:textId="7FB52241" w:rsidR="001E45F1" w:rsidRPr="00301D79" w:rsidRDefault="00301D79" w:rsidP="00AE3A24">
      <w:pPr>
        <w:jc w:val="center"/>
      </w:pPr>
      <w:r w:rsidRPr="00301D79">
        <w:t xml:space="preserve">Roman </w:t>
      </w:r>
      <w:proofErr w:type="spellStart"/>
      <w:r w:rsidRPr="00301D79">
        <w:t>Teljakov</w:t>
      </w:r>
      <w:proofErr w:type="spellEnd"/>
    </w:p>
    <w:p w14:paraId="0886C360" w14:textId="14B23992" w:rsidR="001E45F1" w:rsidRPr="008E0969" w:rsidRDefault="00301D79" w:rsidP="00AE3A24">
      <w:pPr>
        <w:jc w:val="center"/>
        <w:rPr>
          <w:rFonts w:eastAsia="Times-Roman"/>
        </w:rPr>
      </w:pPr>
      <w:r>
        <w:rPr>
          <w:rFonts w:eastAsia="Times-Roman"/>
        </w:rPr>
        <w:t>Does Institutional Adoption Change Bitcoin’s sensitivity to Macroeconomic Factors? Evidence from the Spot ETF Approval</w:t>
      </w:r>
    </w:p>
    <w:p w14:paraId="3501E004" w14:textId="0FDE6ABE" w:rsidR="001E45F1" w:rsidRPr="00301D79" w:rsidRDefault="00266398" w:rsidP="00AE3A24">
      <w:pPr>
        <w:jc w:val="center"/>
      </w:pPr>
      <w:r w:rsidRPr="00301D79">
        <w:t>Bachelor’s thesis</w:t>
      </w:r>
    </w:p>
    <w:p w14:paraId="23FBBE64" w14:textId="54B6C478" w:rsidR="001E45F1" w:rsidRPr="00301D79" w:rsidRDefault="00266398" w:rsidP="00AE3A24">
      <w:pPr>
        <w:jc w:val="center"/>
      </w:pPr>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7A5E79" w:rsidRDefault="006A45A9" w:rsidP="00025A6F"/>
    <w:p w14:paraId="2C9534EE" w14:textId="77777777" w:rsidR="006A45A9" w:rsidRPr="008E0969" w:rsidRDefault="006A45A9" w:rsidP="00AE3A24">
      <w:pPr>
        <w:jc w:val="right"/>
      </w:pPr>
    </w:p>
    <w:p w14:paraId="3084440E" w14:textId="77777777" w:rsidR="001E45F1" w:rsidRPr="008E0969" w:rsidRDefault="001E45F1" w:rsidP="00AE3A24">
      <w:pPr>
        <w:jc w:val="right"/>
      </w:pPr>
    </w:p>
    <w:p w14:paraId="5D339A69" w14:textId="3A32E86E" w:rsidR="001E45F1" w:rsidRPr="008E0969" w:rsidRDefault="00266398" w:rsidP="00AE3A24">
      <w:pPr>
        <w:jc w:val="right"/>
      </w:pPr>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AE3A24">
      <w:pPr>
        <w:jc w:val="right"/>
      </w:pPr>
    </w:p>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AE3A24">
      <w:pPr>
        <w:jc w:val="right"/>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w:t>
      </w:r>
      <w:r w:rsidR="00301D79" w:rsidRPr="008E0969">
        <w:t>…...</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 xml:space="preserve">Roman </w:t>
      </w:r>
      <w:proofErr w:type="spellStart"/>
      <w:r>
        <w:t>Teljakov</w:t>
      </w:r>
      <w:proofErr w:type="spellEnd"/>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47DFED12" w14:textId="31F1A850"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r>
        <w:fldChar w:fldCharType="begin"/>
      </w:r>
      <w:r>
        <w:instrText xml:space="preserve"> TOC \o "1-3" \h \z \u </w:instrText>
      </w:r>
      <w:r>
        <w:fldChar w:fldCharType="separate"/>
      </w:r>
      <w:hyperlink w:anchor="_Toc225345683" w:history="1">
        <w:r w:rsidRPr="00A817A3">
          <w:rPr>
            <w:rStyle w:val="Hyperlink"/>
            <w:noProof/>
          </w:rPr>
          <w:t>ABSTRACT</w:t>
        </w:r>
        <w:r>
          <w:rPr>
            <w:noProof/>
            <w:webHidden/>
          </w:rPr>
          <w:tab/>
        </w:r>
        <w:r>
          <w:rPr>
            <w:noProof/>
            <w:webHidden/>
          </w:rPr>
          <w:fldChar w:fldCharType="begin"/>
        </w:r>
        <w:r>
          <w:rPr>
            <w:noProof/>
            <w:webHidden/>
          </w:rPr>
          <w:instrText xml:space="preserve"> PAGEREF _Toc225345683 \h </w:instrText>
        </w:r>
        <w:r>
          <w:rPr>
            <w:noProof/>
            <w:webHidden/>
          </w:rPr>
        </w:r>
        <w:r>
          <w:rPr>
            <w:noProof/>
            <w:webHidden/>
          </w:rPr>
          <w:fldChar w:fldCharType="separate"/>
        </w:r>
        <w:r w:rsidR="00C452CF">
          <w:rPr>
            <w:noProof/>
            <w:webHidden/>
          </w:rPr>
          <w:t>5</w:t>
        </w:r>
        <w:r>
          <w:rPr>
            <w:noProof/>
            <w:webHidden/>
          </w:rPr>
          <w:fldChar w:fldCharType="end"/>
        </w:r>
      </w:hyperlink>
    </w:p>
    <w:p w14:paraId="7496B782" w14:textId="10CC5BB7"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84" w:history="1">
        <w:r w:rsidRPr="00A817A3">
          <w:rPr>
            <w:rStyle w:val="Hyperlink"/>
            <w:noProof/>
          </w:rPr>
          <w:t>INTRODUCTION</w:t>
        </w:r>
        <w:r>
          <w:rPr>
            <w:noProof/>
            <w:webHidden/>
          </w:rPr>
          <w:tab/>
        </w:r>
        <w:r>
          <w:rPr>
            <w:noProof/>
            <w:webHidden/>
          </w:rPr>
          <w:fldChar w:fldCharType="begin"/>
        </w:r>
        <w:r>
          <w:rPr>
            <w:noProof/>
            <w:webHidden/>
          </w:rPr>
          <w:instrText xml:space="preserve"> PAGEREF _Toc225345684 \h </w:instrText>
        </w:r>
        <w:r>
          <w:rPr>
            <w:noProof/>
            <w:webHidden/>
          </w:rPr>
        </w:r>
        <w:r>
          <w:rPr>
            <w:noProof/>
            <w:webHidden/>
          </w:rPr>
          <w:fldChar w:fldCharType="separate"/>
        </w:r>
        <w:r w:rsidR="00C452CF">
          <w:rPr>
            <w:noProof/>
            <w:webHidden/>
          </w:rPr>
          <w:t>6</w:t>
        </w:r>
        <w:r>
          <w:rPr>
            <w:noProof/>
            <w:webHidden/>
          </w:rPr>
          <w:fldChar w:fldCharType="end"/>
        </w:r>
      </w:hyperlink>
    </w:p>
    <w:p w14:paraId="550AEC9D" w14:textId="6060716D"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85" w:history="1">
        <w:r w:rsidRPr="00A817A3">
          <w:rPr>
            <w:rStyle w:val="Hyperlink"/>
            <w:noProof/>
          </w:rPr>
          <w:t>1. THEORETICAL AND EMPIRICAL BACKGROUND</w:t>
        </w:r>
        <w:r>
          <w:rPr>
            <w:noProof/>
            <w:webHidden/>
          </w:rPr>
          <w:tab/>
        </w:r>
        <w:r>
          <w:rPr>
            <w:noProof/>
            <w:webHidden/>
          </w:rPr>
          <w:fldChar w:fldCharType="begin"/>
        </w:r>
        <w:r>
          <w:rPr>
            <w:noProof/>
            <w:webHidden/>
          </w:rPr>
          <w:instrText xml:space="preserve"> PAGEREF _Toc225345685 \h </w:instrText>
        </w:r>
        <w:r>
          <w:rPr>
            <w:noProof/>
            <w:webHidden/>
          </w:rPr>
        </w:r>
        <w:r>
          <w:rPr>
            <w:noProof/>
            <w:webHidden/>
          </w:rPr>
          <w:fldChar w:fldCharType="separate"/>
        </w:r>
        <w:r w:rsidR="00C452CF">
          <w:rPr>
            <w:noProof/>
            <w:webHidden/>
          </w:rPr>
          <w:t>9</w:t>
        </w:r>
        <w:r>
          <w:rPr>
            <w:noProof/>
            <w:webHidden/>
          </w:rPr>
          <w:fldChar w:fldCharType="end"/>
        </w:r>
      </w:hyperlink>
    </w:p>
    <w:p w14:paraId="1F241C94" w14:textId="7B1620FB"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6" w:history="1">
        <w:r w:rsidRPr="00A817A3">
          <w:rPr>
            <w:rStyle w:val="Hyperlink"/>
            <w:noProof/>
          </w:rPr>
          <w:t>1.1. Bitcoin as an Evolving Asset Class</w:t>
        </w:r>
        <w:r>
          <w:rPr>
            <w:noProof/>
            <w:webHidden/>
          </w:rPr>
          <w:tab/>
        </w:r>
        <w:r>
          <w:rPr>
            <w:noProof/>
            <w:webHidden/>
          </w:rPr>
          <w:fldChar w:fldCharType="begin"/>
        </w:r>
        <w:r>
          <w:rPr>
            <w:noProof/>
            <w:webHidden/>
          </w:rPr>
          <w:instrText xml:space="preserve"> PAGEREF _Toc225345686 \h </w:instrText>
        </w:r>
        <w:r>
          <w:rPr>
            <w:noProof/>
            <w:webHidden/>
          </w:rPr>
        </w:r>
        <w:r>
          <w:rPr>
            <w:noProof/>
            <w:webHidden/>
          </w:rPr>
          <w:fldChar w:fldCharType="separate"/>
        </w:r>
        <w:r w:rsidR="00C452CF">
          <w:rPr>
            <w:noProof/>
            <w:webHidden/>
          </w:rPr>
          <w:t>9</w:t>
        </w:r>
        <w:r>
          <w:rPr>
            <w:noProof/>
            <w:webHidden/>
          </w:rPr>
          <w:fldChar w:fldCharType="end"/>
        </w:r>
      </w:hyperlink>
    </w:p>
    <w:p w14:paraId="47690F90" w14:textId="597B5455"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7" w:history="1">
        <w:r w:rsidRPr="00A817A3">
          <w:rPr>
            <w:rStyle w:val="Hyperlink"/>
            <w:noProof/>
          </w:rPr>
          <w:t>1.2. Bitcoin’s Sensitivity to Macroeconomic Factors</w:t>
        </w:r>
        <w:r>
          <w:rPr>
            <w:noProof/>
            <w:webHidden/>
          </w:rPr>
          <w:tab/>
        </w:r>
        <w:r>
          <w:rPr>
            <w:noProof/>
            <w:webHidden/>
          </w:rPr>
          <w:fldChar w:fldCharType="begin"/>
        </w:r>
        <w:r>
          <w:rPr>
            <w:noProof/>
            <w:webHidden/>
          </w:rPr>
          <w:instrText xml:space="preserve"> PAGEREF _Toc225345687 \h </w:instrText>
        </w:r>
        <w:r>
          <w:rPr>
            <w:noProof/>
            <w:webHidden/>
          </w:rPr>
        </w:r>
        <w:r>
          <w:rPr>
            <w:noProof/>
            <w:webHidden/>
          </w:rPr>
          <w:fldChar w:fldCharType="separate"/>
        </w:r>
        <w:r w:rsidR="00C452CF">
          <w:rPr>
            <w:noProof/>
            <w:webHidden/>
          </w:rPr>
          <w:t>10</w:t>
        </w:r>
        <w:r>
          <w:rPr>
            <w:noProof/>
            <w:webHidden/>
          </w:rPr>
          <w:fldChar w:fldCharType="end"/>
        </w:r>
      </w:hyperlink>
    </w:p>
    <w:p w14:paraId="2486F130" w14:textId="3B966ABF"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8" w:history="1">
        <w:r w:rsidRPr="00A817A3">
          <w:rPr>
            <w:rStyle w:val="Hyperlink"/>
            <w:noProof/>
            <w:lang w:val="et-EE"/>
          </w:rPr>
          <w:t>1.3. Bitcoin Halving Effects</w:t>
        </w:r>
        <w:r>
          <w:rPr>
            <w:noProof/>
            <w:webHidden/>
          </w:rPr>
          <w:tab/>
        </w:r>
        <w:r>
          <w:rPr>
            <w:noProof/>
            <w:webHidden/>
          </w:rPr>
          <w:fldChar w:fldCharType="begin"/>
        </w:r>
        <w:r>
          <w:rPr>
            <w:noProof/>
            <w:webHidden/>
          </w:rPr>
          <w:instrText xml:space="preserve"> PAGEREF _Toc225345688 \h </w:instrText>
        </w:r>
        <w:r>
          <w:rPr>
            <w:noProof/>
            <w:webHidden/>
          </w:rPr>
        </w:r>
        <w:r>
          <w:rPr>
            <w:noProof/>
            <w:webHidden/>
          </w:rPr>
          <w:fldChar w:fldCharType="separate"/>
        </w:r>
        <w:r w:rsidR="00C452CF">
          <w:rPr>
            <w:noProof/>
            <w:webHidden/>
          </w:rPr>
          <w:t>12</w:t>
        </w:r>
        <w:r>
          <w:rPr>
            <w:noProof/>
            <w:webHidden/>
          </w:rPr>
          <w:fldChar w:fldCharType="end"/>
        </w:r>
      </w:hyperlink>
    </w:p>
    <w:p w14:paraId="67DF8B29" w14:textId="0DB3E385"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9" w:history="1">
        <w:r w:rsidRPr="00A817A3">
          <w:rPr>
            <w:rStyle w:val="Hyperlink"/>
            <w:noProof/>
            <w:lang w:val="et-EE"/>
          </w:rPr>
          <w:t>1.4. Institutional Adoption and the Spot Bitcoin ETF</w:t>
        </w:r>
        <w:r>
          <w:rPr>
            <w:noProof/>
            <w:webHidden/>
          </w:rPr>
          <w:tab/>
        </w:r>
        <w:r>
          <w:rPr>
            <w:noProof/>
            <w:webHidden/>
          </w:rPr>
          <w:fldChar w:fldCharType="begin"/>
        </w:r>
        <w:r>
          <w:rPr>
            <w:noProof/>
            <w:webHidden/>
          </w:rPr>
          <w:instrText xml:space="preserve"> PAGEREF _Toc225345689 \h </w:instrText>
        </w:r>
        <w:r>
          <w:rPr>
            <w:noProof/>
            <w:webHidden/>
          </w:rPr>
        </w:r>
        <w:r>
          <w:rPr>
            <w:noProof/>
            <w:webHidden/>
          </w:rPr>
          <w:fldChar w:fldCharType="separate"/>
        </w:r>
        <w:r w:rsidR="00C452CF">
          <w:rPr>
            <w:noProof/>
            <w:webHidden/>
          </w:rPr>
          <w:t>14</w:t>
        </w:r>
        <w:r>
          <w:rPr>
            <w:noProof/>
            <w:webHidden/>
          </w:rPr>
          <w:fldChar w:fldCharType="end"/>
        </w:r>
      </w:hyperlink>
    </w:p>
    <w:p w14:paraId="05EAA41A" w14:textId="3CBCEA0A"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0" w:history="1">
        <w:r w:rsidRPr="00A817A3">
          <w:rPr>
            <w:rStyle w:val="Hyperlink"/>
            <w:noProof/>
          </w:rPr>
          <w:t>1.5. Synthesis and Research Gap</w:t>
        </w:r>
        <w:r>
          <w:rPr>
            <w:noProof/>
            <w:webHidden/>
          </w:rPr>
          <w:tab/>
        </w:r>
        <w:r>
          <w:rPr>
            <w:noProof/>
            <w:webHidden/>
          </w:rPr>
          <w:fldChar w:fldCharType="begin"/>
        </w:r>
        <w:r>
          <w:rPr>
            <w:noProof/>
            <w:webHidden/>
          </w:rPr>
          <w:instrText xml:space="preserve"> PAGEREF _Toc225345690 \h </w:instrText>
        </w:r>
        <w:r>
          <w:rPr>
            <w:noProof/>
            <w:webHidden/>
          </w:rPr>
        </w:r>
        <w:r>
          <w:rPr>
            <w:noProof/>
            <w:webHidden/>
          </w:rPr>
          <w:fldChar w:fldCharType="separate"/>
        </w:r>
        <w:r w:rsidR="00C452CF">
          <w:rPr>
            <w:noProof/>
            <w:webHidden/>
          </w:rPr>
          <w:t>15</w:t>
        </w:r>
        <w:r>
          <w:rPr>
            <w:noProof/>
            <w:webHidden/>
          </w:rPr>
          <w:fldChar w:fldCharType="end"/>
        </w:r>
      </w:hyperlink>
    </w:p>
    <w:p w14:paraId="15A624C2" w14:textId="4CF4E168"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91" w:history="1">
        <w:r w:rsidRPr="00A817A3">
          <w:rPr>
            <w:rStyle w:val="Hyperlink"/>
            <w:noProof/>
            <w:lang w:val="et-EE"/>
          </w:rPr>
          <w:t>2. DATA AND METHODOLOGY</w:t>
        </w:r>
        <w:r>
          <w:rPr>
            <w:noProof/>
            <w:webHidden/>
          </w:rPr>
          <w:tab/>
        </w:r>
        <w:r>
          <w:rPr>
            <w:noProof/>
            <w:webHidden/>
          </w:rPr>
          <w:fldChar w:fldCharType="begin"/>
        </w:r>
        <w:r>
          <w:rPr>
            <w:noProof/>
            <w:webHidden/>
          </w:rPr>
          <w:instrText xml:space="preserve"> PAGEREF _Toc225345691 \h </w:instrText>
        </w:r>
        <w:r>
          <w:rPr>
            <w:noProof/>
            <w:webHidden/>
          </w:rPr>
        </w:r>
        <w:r>
          <w:rPr>
            <w:noProof/>
            <w:webHidden/>
          </w:rPr>
          <w:fldChar w:fldCharType="separate"/>
        </w:r>
        <w:r w:rsidR="00C452CF">
          <w:rPr>
            <w:noProof/>
            <w:webHidden/>
          </w:rPr>
          <w:t>16</w:t>
        </w:r>
        <w:r>
          <w:rPr>
            <w:noProof/>
            <w:webHidden/>
          </w:rPr>
          <w:fldChar w:fldCharType="end"/>
        </w:r>
      </w:hyperlink>
    </w:p>
    <w:p w14:paraId="21DCD981" w14:textId="4584FCB4"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2" w:history="1">
        <w:r w:rsidRPr="00A817A3">
          <w:rPr>
            <w:rStyle w:val="Hyperlink"/>
            <w:noProof/>
            <w:lang w:val="et-EE"/>
          </w:rPr>
          <w:t>2.1. Data Sources and Sample Period</w:t>
        </w:r>
        <w:r>
          <w:rPr>
            <w:noProof/>
            <w:webHidden/>
          </w:rPr>
          <w:tab/>
        </w:r>
        <w:r>
          <w:rPr>
            <w:noProof/>
            <w:webHidden/>
          </w:rPr>
          <w:fldChar w:fldCharType="begin"/>
        </w:r>
        <w:r>
          <w:rPr>
            <w:noProof/>
            <w:webHidden/>
          </w:rPr>
          <w:instrText xml:space="preserve"> PAGEREF _Toc225345692 \h </w:instrText>
        </w:r>
        <w:r>
          <w:rPr>
            <w:noProof/>
            <w:webHidden/>
          </w:rPr>
        </w:r>
        <w:r>
          <w:rPr>
            <w:noProof/>
            <w:webHidden/>
          </w:rPr>
          <w:fldChar w:fldCharType="separate"/>
        </w:r>
        <w:r w:rsidR="00C452CF">
          <w:rPr>
            <w:noProof/>
            <w:webHidden/>
          </w:rPr>
          <w:t>16</w:t>
        </w:r>
        <w:r>
          <w:rPr>
            <w:noProof/>
            <w:webHidden/>
          </w:rPr>
          <w:fldChar w:fldCharType="end"/>
        </w:r>
      </w:hyperlink>
    </w:p>
    <w:p w14:paraId="3090F817" w14:textId="2C184C4B"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3" w:history="1">
        <w:r w:rsidRPr="00A817A3">
          <w:rPr>
            <w:rStyle w:val="Hyperlink"/>
            <w:noProof/>
            <w:lang w:val="et-EE"/>
          </w:rPr>
          <w:t>2.</w:t>
        </w:r>
        <w:r w:rsidRPr="00A817A3">
          <w:rPr>
            <w:rStyle w:val="Hyperlink"/>
            <w:noProof/>
          </w:rPr>
          <w:t>2.</w:t>
        </w:r>
        <w:r w:rsidRPr="00A817A3">
          <w:rPr>
            <w:rStyle w:val="Hyperlink"/>
            <w:noProof/>
            <w:lang w:val="et-EE"/>
          </w:rPr>
          <w:t xml:space="preserve"> Variable Construction</w:t>
        </w:r>
        <w:r>
          <w:rPr>
            <w:noProof/>
            <w:webHidden/>
          </w:rPr>
          <w:tab/>
        </w:r>
        <w:r>
          <w:rPr>
            <w:noProof/>
            <w:webHidden/>
          </w:rPr>
          <w:fldChar w:fldCharType="begin"/>
        </w:r>
        <w:r>
          <w:rPr>
            <w:noProof/>
            <w:webHidden/>
          </w:rPr>
          <w:instrText xml:space="preserve"> PAGEREF _Toc225345693 \h </w:instrText>
        </w:r>
        <w:r>
          <w:rPr>
            <w:noProof/>
            <w:webHidden/>
          </w:rPr>
        </w:r>
        <w:r>
          <w:rPr>
            <w:noProof/>
            <w:webHidden/>
          </w:rPr>
          <w:fldChar w:fldCharType="separate"/>
        </w:r>
        <w:r w:rsidR="00C452CF">
          <w:rPr>
            <w:noProof/>
            <w:webHidden/>
          </w:rPr>
          <w:t>18</w:t>
        </w:r>
        <w:r>
          <w:rPr>
            <w:noProof/>
            <w:webHidden/>
          </w:rPr>
          <w:fldChar w:fldCharType="end"/>
        </w:r>
      </w:hyperlink>
    </w:p>
    <w:p w14:paraId="448A561C" w14:textId="46E641A2"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4" w:history="1">
        <w:r w:rsidRPr="00A817A3">
          <w:rPr>
            <w:rStyle w:val="Hyperlink"/>
            <w:noProof/>
          </w:rPr>
          <w:t>2.3. Model Specification</w:t>
        </w:r>
        <w:r>
          <w:rPr>
            <w:noProof/>
            <w:webHidden/>
          </w:rPr>
          <w:tab/>
        </w:r>
        <w:r>
          <w:rPr>
            <w:noProof/>
            <w:webHidden/>
          </w:rPr>
          <w:fldChar w:fldCharType="begin"/>
        </w:r>
        <w:r>
          <w:rPr>
            <w:noProof/>
            <w:webHidden/>
          </w:rPr>
          <w:instrText xml:space="preserve"> PAGEREF _Toc225345694 \h </w:instrText>
        </w:r>
        <w:r>
          <w:rPr>
            <w:noProof/>
            <w:webHidden/>
          </w:rPr>
        </w:r>
        <w:r>
          <w:rPr>
            <w:noProof/>
            <w:webHidden/>
          </w:rPr>
          <w:fldChar w:fldCharType="separate"/>
        </w:r>
        <w:r w:rsidR="00C452CF">
          <w:rPr>
            <w:noProof/>
            <w:webHidden/>
          </w:rPr>
          <w:t>21</w:t>
        </w:r>
        <w:r>
          <w:rPr>
            <w:noProof/>
            <w:webHidden/>
          </w:rPr>
          <w:fldChar w:fldCharType="end"/>
        </w:r>
      </w:hyperlink>
    </w:p>
    <w:p w14:paraId="0A163C27" w14:textId="2274BD9D"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5" w:history="1">
        <w:r w:rsidRPr="00A817A3">
          <w:rPr>
            <w:rStyle w:val="Hyperlink"/>
            <w:noProof/>
          </w:rPr>
          <w:t>2</w:t>
        </w:r>
        <w:r w:rsidRPr="00A817A3">
          <w:rPr>
            <w:rStyle w:val="Hyperlink"/>
            <w:noProof/>
            <w:lang w:val="et-EE"/>
          </w:rPr>
          <w:t>.4. Diagnostic Tests and Estimation Method</w:t>
        </w:r>
        <w:r>
          <w:rPr>
            <w:noProof/>
            <w:webHidden/>
          </w:rPr>
          <w:tab/>
        </w:r>
        <w:r>
          <w:rPr>
            <w:noProof/>
            <w:webHidden/>
          </w:rPr>
          <w:fldChar w:fldCharType="begin"/>
        </w:r>
        <w:r>
          <w:rPr>
            <w:noProof/>
            <w:webHidden/>
          </w:rPr>
          <w:instrText xml:space="preserve"> PAGEREF _Toc225345695 \h </w:instrText>
        </w:r>
        <w:r>
          <w:rPr>
            <w:noProof/>
            <w:webHidden/>
          </w:rPr>
        </w:r>
        <w:r>
          <w:rPr>
            <w:noProof/>
            <w:webHidden/>
          </w:rPr>
          <w:fldChar w:fldCharType="separate"/>
        </w:r>
        <w:r w:rsidR="00C452CF">
          <w:rPr>
            <w:noProof/>
            <w:webHidden/>
          </w:rPr>
          <w:t>23</w:t>
        </w:r>
        <w:r>
          <w:rPr>
            <w:noProof/>
            <w:webHidden/>
          </w:rPr>
          <w:fldChar w:fldCharType="end"/>
        </w:r>
      </w:hyperlink>
    </w:p>
    <w:p w14:paraId="120E5EB1" w14:textId="19365D55"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96" w:history="1">
        <w:r w:rsidRPr="00A817A3">
          <w:rPr>
            <w:rStyle w:val="Hyperlink"/>
            <w:noProof/>
          </w:rPr>
          <w:t>3. RESULTS</w:t>
        </w:r>
        <w:r>
          <w:rPr>
            <w:noProof/>
            <w:webHidden/>
          </w:rPr>
          <w:tab/>
        </w:r>
        <w:r>
          <w:rPr>
            <w:noProof/>
            <w:webHidden/>
          </w:rPr>
          <w:fldChar w:fldCharType="begin"/>
        </w:r>
        <w:r>
          <w:rPr>
            <w:noProof/>
            <w:webHidden/>
          </w:rPr>
          <w:instrText xml:space="preserve"> PAGEREF _Toc225345696 \h </w:instrText>
        </w:r>
        <w:r>
          <w:rPr>
            <w:noProof/>
            <w:webHidden/>
          </w:rPr>
        </w:r>
        <w:r>
          <w:rPr>
            <w:noProof/>
            <w:webHidden/>
          </w:rPr>
          <w:fldChar w:fldCharType="separate"/>
        </w:r>
        <w:r w:rsidR="00C452CF">
          <w:rPr>
            <w:noProof/>
            <w:webHidden/>
          </w:rPr>
          <w:t>24</w:t>
        </w:r>
        <w:r>
          <w:rPr>
            <w:noProof/>
            <w:webHidden/>
          </w:rPr>
          <w:fldChar w:fldCharType="end"/>
        </w:r>
      </w:hyperlink>
    </w:p>
    <w:p w14:paraId="4C535A75" w14:textId="0CC0192E"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7" w:history="1">
        <w:r w:rsidRPr="00A817A3">
          <w:rPr>
            <w:rStyle w:val="Hyperlink"/>
            <w:noProof/>
          </w:rPr>
          <w:t>3.1. Primary Model Results</w:t>
        </w:r>
        <w:r>
          <w:rPr>
            <w:noProof/>
            <w:webHidden/>
          </w:rPr>
          <w:tab/>
        </w:r>
        <w:r>
          <w:rPr>
            <w:noProof/>
            <w:webHidden/>
          </w:rPr>
          <w:fldChar w:fldCharType="begin"/>
        </w:r>
        <w:r>
          <w:rPr>
            <w:noProof/>
            <w:webHidden/>
          </w:rPr>
          <w:instrText xml:space="preserve"> PAGEREF _Toc225345697 \h </w:instrText>
        </w:r>
        <w:r>
          <w:rPr>
            <w:noProof/>
            <w:webHidden/>
          </w:rPr>
        </w:r>
        <w:r>
          <w:rPr>
            <w:noProof/>
            <w:webHidden/>
          </w:rPr>
          <w:fldChar w:fldCharType="separate"/>
        </w:r>
        <w:r w:rsidR="00C452CF">
          <w:rPr>
            <w:noProof/>
            <w:webHidden/>
          </w:rPr>
          <w:t>24</w:t>
        </w:r>
        <w:r>
          <w:rPr>
            <w:noProof/>
            <w:webHidden/>
          </w:rPr>
          <w:fldChar w:fldCharType="end"/>
        </w:r>
      </w:hyperlink>
    </w:p>
    <w:p w14:paraId="34C21026" w14:textId="57698C55"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8" w:history="1">
        <w:r w:rsidRPr="00A817A3">
          <w:rPr>
            <w:rStyle w:val="Hyperlink"/>
            <w:noProof/>
          </w:rPr>
          <w:t>3.2. Sub-Sample Results</w:t>
        </w:r>
        <w:r>
          <w:rPr>
            <w:noProof/>
            <w:webHidden/>
          </w:rPr>
          <w:tab/>
        </w:r>
        <w:r>
          <w:rPr>
            <w:noProof/>
            <w:webHidden/>
          </w:rPr>
          <w:fldChar w:fldCharType="begin"/>
        </w:r>
        <w:r>
          <w:rPr>
            <w:noProof/>
            <w:webHidden/>
          </w:rPr>
          <w:instrText xml:space="preserve"> PAGEREF _Toc225345698 \h </w:instrText>
        </w:r>
        <w:r>
          <w:rPr>
            <w:noProof/>
            <w:webHidden/>
          </w:rPr>
        </w:r>
        <w:r>
          <w:rPr>
            <w:noProof/>
            <w:webHidden/>
          </w:rPr>
          <w:fldChar w:fldCharType="separate"/>
        </w:r>
        <w:r w:rsidR="00C452CF">
          <w:rPr>
            <w:noProof/>
            <w:webHidden/>
          </w:rPr>
          <w:t>26</w:t>
        </w:r>
        <w:r>
          <w:rPr>
            <w:noProof/>
            <w:webHidden/>
          </w:rPr>
          <w:fldChar w:fldCharType="end"/>
        </w:r>
      </w:hyperlink>
    </w:p>
    <w:p w14:paraId="13F24CE3" w14:textId="41465646"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9" w:history="1">
        <w:r w:rsidRPr="00A817A3">
          <w:rPr>
            <w:rStyle w:val="Hyperlink"/>
            <w:noProof/>
          </w:rPr>
          <w:t>3.3. Structural Break Test</w:t>
        </w:r>
        <w:r>
          <w:rPr>
            <w:noProof/>
            <w:webHidden/>
          </w:rPr>
          <w:tab/>
        </w:r>
        <w:r>
          <w:rPr>
            <w:noProof/>
            <w:webHidden/>
          </w:rPr>
          <w:fldChar w:fldCharType="begin"/>
        </w:r>
        <w:r>
          <w:rPr>
            <w:noProof/>
            <w:webHidden/>
          </w:rPr>
          <w:instrText xml:space="preserve"> PAGEREF _Toc225345699 \h </w:instrText>
        </w:r>
        <w:r>
          <w:rPr>
            <w:noProof/>
            <w:webHidden/>
          </w:rPr>
        </w:r>
        <w:r>
          <w:rPr>
            <w:noProof/>
            <w:webHidden/>
          </w:rPr>
          <w:fldChar w:fldCharType="separate"/>
        </w:r>
        <w:r w:rsidR="00C452CF">
          <w:rPr>
            <w:noProof/>
            <w:webHidden/>
          </w:rPr>
          <w:t>26</w:t>
        </w:r>
        <w:r>
          <w:rPr>
            <w:noProof/>
            <w:webHidden/>
          </w:rPr>
          <w:fldChar w:fldCharType="end"/>
        </w:r>
      </w:hyperlink>
    </w:p>
    <w:p w14:paraId="517C5417" w14:textId="43B16D07"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0" w:history="1">
        <w:r w:rsidRPr="00A817A3">
          <w:rPr>
            <w:rStyle w:val="Hyperlink"/>
            <w:noProof/>
          </w:rPr>
          <w:t>3.4. Robustness Checks</w:t>
        </w:r>
        <w:r>
          <w:rPr>
            <w:noProof/>
            <w:webHidden/>
          </w:rPr>
          <w:tab/>
        </w:r>
        <w:r>
          <w:rPr>
            <w:noProof/>
            <w:webHidden/>
          </w:rPr>
          <w:fldChar w:fldCharType="begin"/>
        </w:r>
        <w:r>
          <w:rPr>
            <w:noProof/>
            <w:webHidden/>
          </w:rPr>
          <w:instrText xml:space="preserve"> PAGEREF _Toc225345700 \h </w:instrText>
        </w:r>
        <w:r>
          <w:rPr>
            <w:noProof/>
            <w:webHidden/>
          </w:rPr>
        </w:r>
        <w:r>
          <w:rPr>
            <w:noProof/>
            <w:webHidden/>
          </w:rPr>
          <w:fldChar w:fldCharType="separate"/>
        </w:r>
        <w:r w:rsidR="00C452CF">
          <w:rPr>
            <w:noProof/>
            <w:webHidden/>
          </w:rPr>
          <w:t>26</w:t>
        </w:r>
        <w:r>
          <w:rPr>
            <w:noProof/>
            <w:webHidden/>
          </w:rPr>
          <w:fldChar w:fldCharType="end"/>
        </w:r>
      </w:hyperlink>
    </w:p>
    <w:p w14:paraId="29B2D5F7" w14:textId="76E29AF5"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1" w:history="1">
        <w:r w:rsidRPr="00A817A3">
          <w:rPr>
            <w:rStyle w:val="Hyperlink"/>
            <w:noProof/>
          </w:rPr>
          <w:t>3.4.1 Monthly Frequency Replication</w:t>
        </w:r>
        <w:r>
          <w:rPr>
            <w:noProof/>
            <w:webHidden/>
          </w:rPr>
          <w:tab/>
        </w:r>
        <w:r>
          <w:rPr>
            <w:noProof/>
            <w:webHidden/>
          </w:rPr>
          <w:fldChar w:fldCharType="begin"/>
        </w:r>
        <w:r>
          <w:rPr>
            <w:noProof/>
            <w:webHidden/>
          </w:rPr>
          <w:instrText xml:space="preserve"> PAGEREF _Toc225345701 \h </w:instrText>
        </w:r>
        <w:r>
          <w:rPr>
            <w:noProof/>
            <w:webHidden/>
          </w:rPr>
        </w:r>
        <w:r>
          <w:rPr>
            <w:noProof/>
            <w:webHidden/>
          </w:rPr>
          <w:fldChar w:fldCharType="separate"/>
        </w:r>
        <w:r w:rsidR="00C452CF">
          <w:rPr>
            <w:noProof/>
            <w:webHidden/>
          </w:rPr>
          <w:t>26</w:t>
        </w:r>
        <w:r>
          <w:rPr>
            <w:noProof/>
            <w:webHidden/>
          </w:rPr>
          <w:fldChar w:fldCharType="end"/>
        </w:r>
      </w:hyperlink>
    </w:p>
    <w:p w14:paraId="4CC735E1" w14:textId="6860D730"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2" w:history="1">
        <w:r w:rsidRPr="00A817A3">
          <w:rPr>
            <w:rStyle w:val="Hyperlink"/>
            <w:noProof/>
          </w:rPr>
          <w:t>3.4.2 M2 Grwoth Control</w:t>
        </w:r>
        <w:r>
          <w:rPr>
            <w:noProof/>
            <w:webHidden/>
          </w:rPr>
          <w:tab/>
        </w:r>
        <w:r>
          <w:rPr>
            <w:noProof/>
            <w:webHidden/>
          </w:rPr>
          <w:fldChar w:fldCharType="begin"/>
        </w:r>
        <w:r>
          <w:rPr>
            <w:noProof/>
            <w:webHidden/>
          </w:rPr>
          <w:instrText xml:space="preserve"> PAGEREF _Toc225345702 \h </w:instrText>
        </w:r>
        <w:r>
          <w:rPr>
            <w:noProof/>
            <w:webHidden/>
          </w:rPr>
        </w:r>
        <w:r>
          <w:rPr>
            <w:noProof/>
            <w:webHidden/>
          </w:rPr>
          <w:fldChar w:fldCharType="separate"/>
        </w:r>
        <w:r w:rsidR="00C452CF">
          <w:rPr>
            <w:noProof/>
            <w:webHidden/>
          </w:rPr>
          <w:t>26</w:t>
        </w:r>
        <w:r>
          <w:rPr>
            <w:noProof/>
            <w:webHidden/>
          </w:rPr>
          <w:fldChar w:fldCharType="end"/>
        </w:r>
      </w:hyperlink>
    </w:p>
    <w:p w14:paraId="116AC7B7" w14:textId="47F5F5C2"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3" w:history="1">
        <w:r w:rsidRPr="00A817A3">
          <w:rPr>
            <w:rStyle w:val="Hyperlink"/>
            <w:noProof/>
          </w:rPr>
          <w:t>3.4.3 Multi-Cryptocurrency Panel</w:t>
        </w:r>
        <w:r>
          <w:rPr>
            <w:noProof/>
            <w:webHidden/>
          </w:rPr>
          <w:tab/>
        </w:r>
        <w:r>
          <w:rPr>
            <w:noProof/>
            <w:webHidden/>
          </w:rPr>
          <w:fldChar w:fldCharType="begin"/>
        </w:r>
        <w:r>
          <w:rPr>
            <w:noProof/>
            <w:webHidden/>
          </w:rPr>
          <w:instrText xml:space="preserve"> PAGEREF _Toc225345703 \h </w:instrText>
        </w:r>
        <w:r>
          <w:rPr>
            <w:noProof/>
            <w:webHidden/>
          </w:rPr>
        </w:r>
        <w:r>
          <w:rPr>
            <w:noProof/>
            <w:webHidden/>
          </w:rPr>
          <w:fldChar w:fldCharType="separate"/>
        </w:r>
        <w:r w:rsidR="00C452CF">
          <w:rPr>
            <w:noProof/>
            <w:webHidden/>
          </w:rPr>
          <w:t>26</w:t>
        </w:r>
        <w:r>
          <w:rPr>
            <w:noProof/>
            <w:webHidden/>
          </w:rPr>
          <w:fldChar w:fldCharType="end"/>
        </w:r>
      </w:hyperlink>
    </w:p>
    <w:p w14:paraId="487C7C31" w14:textId="110FA87C"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4" w:history="1">
        <w:r w:rsidRPr="00A817A3">
          <w:rPr>
            <w:rStyle w:val="Hyperlink"/>
            <w:noProof/>
          </w:rPr>
          <w:t>3.5. Summary of Hypothesis Tests</w:t>
        </w:r>
        <w:r>
          <w:rPr>
            <w:noProof/>
            <w:webHidden/>
          </w:rPr>
          <w:tab/>
        </w:r>
        <w:r>
          <w:rPr>
            <w:noProof/>
            <w:webHidden/>
          </w:rPr>
          <w:fldChar w:fldCharType="begin"/>
        </w:r>
        <w:r>
          <w:rPr>
            <w:noProof/>
            <w:webHidden/>
          </w:rPr>
          <w:instrText xml:space="preserve"> PAGEREF _Toc225345704 \h </w:instrText>
        </w:r>
        <w:r>
          <w:rPr>
            <w:noProof/>
            <w:webHidden/>
          </w:rPr>
        </w:r>
        <w:r>
          <w:rPr>
            <w:noProof/>
            <w:webHidden/>
          </w:rPr>
          <w:fldChar w:fldCharType="separate"/>
        </w:r>
        <w:r w:rsidR="00C452CF">
          <w:rPr>
            <w:noProof/>
            <w:webHidden/>
          </w:rPr>
          <w:t>26</w:t>
        </w:r>
        <w:r>
          <w:rPr>
            <w:noProof/>
            <w:webHidden/>
          </w:rPr>
          <w:fldChar w:fldCharType="end"/>
        </w:r>
      </w:hyperlink>
    </w:p>
    <w:p w14:paraId="6AB52CEE" w14:textId="65F13CD1"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5" w:history="1">
        <w:r w:rsidRPr="00A817A3">
          <w:rPr>
            <w:rStyle w:val="Hyperlink"/>
            <w:noProof/>
          </w:rPr>
          <w:t>4. DISCUSSION AND LIMITATIONS</w:t>
        </w:r>
        <w:r>
          <w:rPr>
            <w:noProof/>
            <w:webHidden/>
          </w:rPr>
          <w:tab/>
        </w:r>
        <w:r>
          <w:rPr>
            <w:noProof/>
            <w:webHidden/>
          </w:rPr>
          <w:fldChar w:fldCharType="begin"/>
        </w:r>
        <w:r>
          <w:rPr>
            <w:noProof/>
            <w:webHidden/>
          </w:rPr>
          <w:instrText xml:space="preserve"> PAGEREF _Toc225345705 \h </w:instrText>
        </w:r>
        <w:r>
          <w:rPr>
            <w:noProof/>
            <w:webHidden/>
          </w:rPr>
        </w:r>
        <w:r>
          <w:rPr>
            <w:noProof/>
            <w:webHidden/>
          </w:rPr>
          <w:fldChar w:fldCharType="separate"/>
        </w:r>
        <w:r w:rsidR="00C452CF">
          <w:rPr>
            <w:noProof/>
            <w:webHidden/>
          </w:rPr>
          <w:t>27</w:t>
        </w:r>
        <w:r>
          <w:rPr>
            <w:noProof/>
            <w:webHidden/>
          </w:rPr>
          <w:fldChar w:fldCharType="end"/>
        </w:r>
      </w:hyperlink>
    </w:p>
    <w:p w14:paraId="43898B17" w14:textId="725CD414"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6" w:history="1">
        <w:r w:rsidRPr="00A817A3">
          <w:rPr>
            <w:rStyle w:val="Hyperlink"/>
            <w:noProof/>
          </w:rPr>
          <w:t>4.1. Discussion of Findings</w:t>
        </w:r>
        <w:r>
          <w:rPr>
            <w:noProof/>
            <w:webHidden/>
          </w:rPr>
          <w:tab/>
        </w:r>
        <w:r>
          <w:rPr>
            <w:noProof/>
            <w:webHidden/>
          </w:rPr>
          <w:fldChar w:fldCharType="begin"/>
        </w:r>
        <w:r>
          <w:rPr>
            <w:noProof/>
            <w:webHidden/>
          </w:rPr>
          <w:instrText xml:space="preserve"> PAGEREF _Toc225345706 \h </w:instrText>
        </w:r>
        <w:r>
          <w:rPr>
            <w:noProof/>
            <w:webHidden/>
          </w:rPr>
        </w:r>
        <w:r>
          <w:rPr>
            <w:noProof/>
            <w:webHidden/>
          </w:rPr>
          <w:fldChar w:fldCharType="separate"/>
        </w:r>
        <w:r w:rsidR="00C452CF">
          <w:rPr>
            <w:noProof/>
            <w:webHidden/>
          </w:rPr>
          <w:t>27</w:t>
        </w:r>
        <w:r>
          <w:rPr>
            <w:noProof/>
            <w:webHidden/>
          </w:rPr>
          <w:fldChar w:fldCharType="end"/>
        </w:r>
      </w:hyperlink>
    </w:p>
    <w:p w14:paraId="0EA9C906" w14:textId="4ABC978E"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7" w:history="1">
        <w:r w:rsidRPr="00A817A3">
          <w:rPr>
            <w:rStyle w:val="Hyperlink"/>
            <w:noProof/>
          </w:rPr>
          <w:t>4.2. Limitations</w:t>
        </w:r>
        <w:r>
          <w:rPr>
            <w:noProof/>
            <w:webHidden/>
          </w:rPr>
          <w:tab/>
        </w:r>
        <w:r>
          <w:rPr>
            <w:noProof/>
            <w:webHidden/>
          </w:rPr>
          <w:fldChar w:fldCharType="begin"/>
        </w:r>
        <w:r>
          <w:rPr>
            <w:noProof/>
            <w:webHidden/>
          </w:rPr>
          <w:instrText xml:space="preserve"> PAGEREF _Toc225345707 \h </w:instrText>
        </w:r>
        <w:r>
          <w:rPr>
            <w:noProof/>
            <w:webHidden/>
          </w:rPr>
        </w:r>
        <w:r>
          <w:rPr>
            <w:noProof/>
            <w:webHidden/>
          </w:rPr>
          <w:fldChar w:fldCharType="separate"/>
        </w:r>
        <w:r w:rsidR="00C452CF">
          <w:rPr>
            <w:noProof/>
            <w:webHidden/>
          </w:rPr>
          <w:t>27</w:t>
        </w:r>
        <w:r>
          <w:rPr>
            <w:noProof/>
            <w:webHidden/>
          </w:rPr>
          <w:fldChar w:fldCharType="end"/>
        </w:r>
      </w:hyperlink>
    </w:p>
    <w:p w14:paraId="2291B297" w14:textId="184D466A"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8" w:history="1">
        <w:r w:rsidRPr="00A817A3">
          <w:rPr>
            <w:rStyle w:val="Hyperlink"/>
            <w:noProof/>
            <w:lang w:val="et-EE"/>
          </w:rPr>
          <w:t>CONCLUSION</w:t>
        </w:r>
        <w:r>
          <w:rPr>
            <w:noProof/>
            <w:webHidden/>
          </w:rPr>
          <w:tab/>
        </w:r>
        <w:r>
          <w:rPr>
            <w:noProof/>
            <w:webHidden/>
          </w:rPr>
          <w:fldChar w:fldCharType="begin"/>
        </w:r>
        <w:r>
          <w:rPr>
            <w:noProof/>
            <w:webHidden/>
          </w:rPr>
          <w:instrText xml:space="preserve"> PAGEREF _Toc225345708 \h </w:instrText>
        </w:r>
        <w:r>
          <w:rPr>
            <w:noProof/>
            <w:webHidden/>
          </w:rPr>
        </w:r>
        <w:r>
          <w:rPr>
            <w:noProof/>
            <w:webHidden/>
          </w:rPr>
          <w:fldChar w:fldCharType="separate"/>
        </w:r>
        <w:r w:rsidR="00C452CF">
          <w:rPr>
            <w:noProof/>
            <w:webHidden/>
          </w:rPr>
          <w:t>27</w:t>
        </w:r>
        <w:r>
          <w:rPr>
            <w:noProof/>
            <w:webHidden/>
          </w:rPr>
          <w:fldChar w:fldCharType="end"/>
        </w:r>
      </w:hyperlink>
    </w:p>
    <w:p w14:paraId="4A7D024D" w14:textId="0D65F3B9"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9" w:history="1">
        <w:r w:rsidRPr="00A817A3">
          <w:rPr>
            <w:rStyle w:val="Hyperlink"/>
            <w:noProof/>
            <w:lang w:val="et-EE"/>
          </w:rPr>
          <w:t>LIST OF REFERENCES</w:t>
        </w:r>
        <w:r>
          <w:rPr>
            <w:noProof/>
            <w:webHidden/>
          </w:rPr>
          <w:tab/>
        </w:r>
        <w:r>
          <w:rPr>
            <w:noProof/>
            <w:webHidden/>
          </w:rPr>
          <w:fldChar w:fldCharType="begin"/>
        </w:r>
        <w:r>
          <w:rPr>
            <w:noProof/>
            <w:webHidden/>
          </w:rPr>
          <w:instrText xml:space="preserve"> PAGEREF _Toc225345709 \h </w:instrText>
        </w:r>
        <w:r>
          <w:rPr>
            <w:noProof/>
            <w:webHidden/>
          </w:rPr>
        </w:r>
        <w:r>
          <w:rPr>
            <w:noProof/>
            <w:webHidden/>
          </w:rPr>
          <w:fldChar w:fldCharType="separate"/>
        </w:r>
        <w:r w:rsidR="00C452CF">
          <w:rPr>
            <w:noProof/>
            <w:webHidden/>
          </w:rPr>
          <w:t>29</w:t>
        </w:r>
        <w:r>
          <w:rPr>
            <w:noProof/>
            <w:webHidden/>
          </w:rPr>
          <w:fldChar w:fldCharType="end"/>
        </w:r>
      </w:hyperlink>
    </w:p>
    <w:p w14:paraId="38CE2DB2" w14:textId="109303C4"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10" w:history="1">
        <w:r w:rsidRPr="00A817A3">
          <w:rPr>
            <w:rStyle w:val="Hyperlink"/>
            <w:noProof/>
          </w:rPr>
          <w:t>APPENDICES</w:t>
        </w:r>
        <w:r>
          <w:rPr>
            <w:noProof/>
            <w:webHidden/>
          </w:rPr>
          <w:tab/>
        </w:r>
        <w:r>
          <w:rPr>
            <w:noProof/>
            <w:webHidden/>
          </w:rPr>
          <w:fldChar w:fldCharType="begin"/>
        </w:r>
        <w:r>
          <w:rPr>
            <w:noProof/>
            <w:webHidden/>
          </w:rPr>
          <w:instrText xml:space="preserve"> PAGEREF _Toc225345710 \h </w:instrText>
        </w:r>
        <w:r>
          <w:rPr>
            <w:noProof/>
            <w:webHidden/>
          </w:rPr>
        </w:r>
        <w:r>
          <w:rPr>
            <w:noProof/>
            <w:webHidden/>
          </w:rPr>
          <w:fldChar w:fldCharType="separate"/>
        </w:r>
        <w:r w:rsidR="00C452CF">
          <w:rPr>
            <w:noProof/>
            <w:webHidden/>
          </w:rPr>
          <w:t>30</w:t>
        </w:r>
        <w:r>
          <w:rPr>
            <w:noProof/>
            <w:webHidden/>
          </w:rPr>
          <w:fldChar w:fldCharType="end"/>
        </w:r>
      </w:hyperlink>
    </w:p>
    <w:p w14:paraId="58BBEAD1" w14:textId="01808CBB"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1" w:history="1">
        <w:r w:rsidRPr="00A817A3">
          <w:rPr>
            <w:rStyle w:val="Hyperlink"/>
            <w:noProof/>
          </w:rPr>
          <w:t xml:space="preserve">Appendix 1.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_Toc225345711 \h </w:instrText>
        </w:r>
        <w:r>
          <w:rPr>
            <w:noProof/>
            <w:webHidden/>
          </w:rPr>
        </w:r>
        <w:r>
          <w:rPr>
            <w:noProof/>
            <w:webHidden/>
          </w:rPr>
          <w:fldChar w:fldCharType="separate"/>
        </w:r>
        <w:r w:rsidR="00C452CF">
          <w:rPr>
            <w:noProof/>
            <w:webHidden/>
          </w:rPr>
          <w:t>30</w:t>
        </w:r>
        <w:r>
          <w:rPr>
            <w:noProof/>
            <w:webHidden/>
          </w:rPr>
          <w:fldChar w:fldCharType="end"/>
        </w:r>
      </w:hyperlink>
    </w:p>
    <w:p w14:paraId="3C2C3602" w14:textId="0FAD178B"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2" w:history="1">
        <w:r w:rsidRPr="00A817A3">
          <w:rPr>
            <w:rStyle w:val="Hyperlink"/>
            <w:noProof/>
          </w:rPr>
          <w:t xml:space="preserve">Appendix 2.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_Toc225345712 \h </w:instrText>
        </w:r>
        <w:r>
          <w:rPr>
            <w:noProof/>
            <w:webHidden/>
          </w:rPr>
        </w:r>
        <w:r>
          <w:rPr>
            <w:noProof/>
            <w:webHidden/>
          </w:rPr>
          <w:fldChar w:fldCharType="separate"/>
        </w:r>
        <w:r w:rsidR="00C452CF">
          <w:rPr>
            <w:noProof/>
            <w:webHidden/>
          </w:rPr>
          <w:t>31</w:t>
        </w:r>
        <w:r>
          <w:rPr>
            <w:noProof/>
            <w:webHidden/>
          </w:rPr>
          <w:fldChar w:fldCharType="end"/>
        </w:r>
      </w:hyperlink>
    </w:p>
    <w:p w14:paraId="0720BBA7" w14:textId="32045F5D"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3" w:history="1">
        <w:r w:rsidRPr="00A817A3">
          <w:rPr>
            <w:rStyle w:val="Hyperlink"/>
            <w:noProof/>
          </w:rPr>
          <w:t xml:space="preserve">Appendix 3.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_Toc225345713 \h </w:instrText>
        </w:r>
        <w:r>
          <w:rPr>
            <w:noProof/>
            <w:webHidden/>
          </w:rPr>
        </w:r>
        <w:r>
          <w:rPr>
            <w:noProof/>
            <w:webHidden/>
          </w:rPr>
          <w:fldChar w:fldCharType="separate"/>
        </w:r>
        <w:r w:rsidR="00C452CF">
          <w:rPr>
            <w:noProof/>
            <w:webHidden/>
          </w:rPr>
          <w:t>34</w:t>
        </w:r>
        <w:r>
          <w:rPr>
            <w:noProof/>
            <w:webHidden/>
          </w:rPr>
          <w:fldChar w:fldCharType="end"/>
        </w:r>
      </w:hyperlink>
    </w:p>
    <w:p w14:paraId="0DCBAFBE" w14:textId="4C6A3D44"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4" w:history="1">
        <w:r w:rsidRPr="00A817A3">
          <w:rPr>
            <w:rStyle w:val="Hyperlink"/>
            <w:noProof/>
          </w:rPr>
          <w:t xml:space="preserve">Appendix 4. Non-exclusive licence </w:t>
        </w:r>
        <w:r w:rsidRPr="00A817A3">
          <w:rPr>
            <w:rStyle w:val="Hyperlink"/>
            <w:noProof/>
            <w:highlight w:val="red"/>
          </w:rPr>
          <w:t>/added only in case of a graduation thesis as the last appendix /</w:t>
        </w:r>
        <w:r>
          <w:rPr>
            <w:noProof/>
            <w:webHidden/>
          </w:rPr>
          <w:tab/>
        </w:r>
        <w:r>
          <w:rPr>
            <w:noProof/>
            <w:webHidden/>
          </w:rPr>
          <w:fldChar w:fldCharType="begin"/>
        </w:r>
        <w:r>
          <w:rPr>
            <w:noProof/>
            <w:webHidden/>
          </w:rPr>
          <w:instrText xml:space="preserve"> PAGEREF _Toc225345714 \h </w:instrText>
        </w:r>
        <w:r>
          <w:rPr>
            <w:noProof/>
            <w:webHidden/>
          </w:rPr>
        </w:r>
        <w:r>
          <w:rPr>
            <w:noProof/>
            <w:webHidden/>
          </w:rPr>
          <w:fldChar w:fldCharType="separate"/>
        </w:r>
        <w:r w:rsidR="00C452CF">
          <w:rPr>
            <w:noProof/>
            <w:webHidden/>
          </w:rPr>
          <w:t>35</w:t>
        </w:r>
        <w:r>
          <w:rPr>
            <w:noProof/>
            <w:webHidden/>
          </w:rPr>
          <w:fldChar w:fldCharType="end"/>
        </w:r>
      </w:hyperlink>
    </w:p>
    <w:p w14:paraId="6673D178" w14:textId="5A21B6BB" w:rsidR="00C1093F" w:rsidRPr="008E0969" w:rsidRDefault="00432381" w:rsidP="00025A6F">
      <w:pPr>
        <w:pStyle w:val="TOC2"/>
      </w:pPr>
      <w:r>
        <w:fldChar w:fldCharType="end"/>
      </w:r>
    </w:p>
    <w:p w14:paraId="6C5B74C6" w14:textId="5596F571" w:rsidR="00D14CF2" w:rsidRPr="008E0969" w:rsidRDefault="00D14CF2" w:rsidP="00025A6F">
      <w:pPr>
        <w:sectPr w:rsidR="00D14CF2" w:rsidRPr="008E0969" w:rsidSect="00E11577">
          <w:footerReference w:type="default" r:id="rId12"/>
          <w:pgSz w:w="11906" w:h="16838" w:code="9"/>
          <w:pgMar w:top="1418" w:right="851" w:bottom="1418" w:left="1701" w:header="709" w:footer="851" w:gutter="0"/>
          <w:cols w:space="708"/>
          <w:docGrid w:linePitch="360"/>
        </w:sectPr>
      </w:pPr>
    </w:p>
    <w:p w14:paraId="50D28958" w14:textId="19BC347D" w:rsidR="006B6C27" w:rsidRPr="008E0969" w:rsidRDefault="00B76C1F" w:rsidP="00025A6F">
      <w:pPr>
        <w:pStyle w:val="Pealkiri1"/>
      </w:pPr>
      <w:bookmarkStart w:id="0" w:name="_Toc225345683"/>
      <w:r w:rsidRPr="008E0969">
        <w:lastRenderedPageBreak/>
        <w:t>ABSTRACT</w:t>
      </w:r>
      <w:bookmarkEnd w:id="0"/>
    </w:p>
    <w:p w14:paraId="7B13E188" w14:textId="459D2E74" w:rsidR="00D8186D" w:rsidRDefault="00D8186D" w:rsidP="00025A6F">
      <w:pPr>
        <w:pStyle w:val="Tavatekst"/>
      </w:pPr>
      <w:r w:rsidRPr="00D8186D">
        <w:t xml:space="preserve">This study examines whether the approval of spot Bitcoin exchange-traded funds (ETFs) by the United States Securities and Exchange Commission in January 2024 </w:t>
      </w:r>
      <w:r w:rsidR="00A35139">
        <w:t>represents</w:t>
      </w:r>
      <w:r w:rsidRPr="00D8186D">
        <w:t xml:space="preserve"> a structural break in Bitcoin's sensitivity to macroeconomic factors and whether it has altered the explanatory power of the Bitcoin halving cycle for cryptocurrency returns. Using ordinary least squares regression with Newey-West heteroskedasticity and autocorrelation consistent standard errors on 598 weekly observations from July 2014 to March 2026, the study estimates a full-sample interaction model with a PostETF dummy and three interaction terms to test whether the coefficients on the federal funds rate change, the Federal Reserve balance sheet change, and the halving window differ between the pre-ETF and post-ETF periods. Two hypotheses are tested. H1 posit</w:t>
      </w:r>
      <w:r w:rsidR="00A35139">
        <w:t>s</w:t>
      </w:r>
      <w:r w:rsidRPr="00D8186D">
        <w:t xml:space="preserve"> that macroeconomic sensitivity increased after the ETF approval, H2 posits that the halving premium diminished. H1 is not supported: the macro interaction terms are statistically insignificant at the weekly frequency, though monthly robustness analysis provides marginal evidence for a strengthened balance sheet channel. H2 is supported: the halving window coefficient, which is highly significant in the pre-ETF period (+0.030, p = 0.007), collapses to near zero post-ETF. A multi-cryptocurrency panel robustness </w:t>
      </w:r>
      <w:r w:rsidR="00AF7856" w:rsidRPr="00D8186D">
        <w:t>checks</w:t>
      </w:r>
      <w:r w:rsidRPr="00D8186D">
        <w:t xml:space="preserve"> across Bitcoin, Ethereum, Ripple, Litecoin, and Binance Coin (n = 2,496) confirms the halving weakening at the 1% significance level (p = 0.001), indicating a market-wide rather than Bitcoin-specific phenomenon. The Chow structural break test does not detect a discrete break at the ETF date, consistent with a gradual institutional integration process. The results suggest that the ETF approval did not amplify Bitcoin's macro sensitivity through the channels tested but </w:t>
      </w:r>
      <w:r w:rsidR="00A35139">
        <w:t>aligned</w:t>
      </w:r>
      <w:r w:rsidRPr="00D8186D">
        <w:t xml:space="preserve"> with the disappearance of the halving premium in the post-institutional era.</w:t>
      </w:r>
    </w:p>
    <w:p w14:paraId="2310C4E7" w14:textId="77777777" w:rsidR="00D8186D" w:rsidRPr="008E0969" w:rsidRDefault="00D8186D" w:rsidP="00025A6F">
      <w:pPr>
        <w:pStyle w:val="Tavatekst"/>
      </w:pPr>
    </w:p>
    <w:p w14:paraId="19540E29" w14:textId="5C64E0CE" w:rsidR="006B6C27" w:rsidRPr="008E0969" w:rsidRDefault="008E0969"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r w:rsidRPr="008E0969">
        <w:t>Keywords</w:t>
      </w:r>
      <w:r w:rsidR="004014F6" w:rsidRPr="008E0969">
        <w:t xml:space="preserve">: </w:t>
      </w:r>
      <w:r w:rsidR="00D8186D" w:rsidRPr="00D8186D">
        <w:t>Bitcoin, spot ETF, macroeconomic sensitivity, halving cycle, institutional adoption, structural break</w:t>
      </w:r>
    </w:p>
    <w:p w14:paraId="5E8E14A7" w14:textId="6825A552" w:rsidR="001E45F1" w:rsidRPr="008E0969" w:rsidRDefault="008E0969" w:rsidP="00025A6F">
      <w:pPr>
        <w:pStyle w:val="Pealkiri1"/>
      </w:pPr>
      <w:bookmarkStart w:id="1" w:name="_Toc225345684"/>
      <w:r>
        <w:lastRenderedPageBreak/>
        <w:t>INTRODUCTION</w:t>
      </w:r>
      <w:bookmarkEnd w:id="1"/>
    </w:p>
    <w:p w14:paraId="5B0DF945" w14:textId="7A8709BD" w:rsidR="000364D7" w:rsidRDefault="00C5153F" w:rsidP="00025A6F">
      <w:pPr>
        <w:pStyle w:val="Tavatekst"/>
      </w:pPr>
      <w:r w:rsidRPr="00C5153F">
        <w:t>The cryptocurrency market has undergone significant changes in recent years. Bitcoin, the largest cryptocurrency by market capitalisation, has evolved from a niche digital asset into a financial instrument held by institutional investors and regulated funds. As of early 2026, its market capitalisation ranges between one and two trillion US dollars, placing it alongside major asset classes in terms of scale. The key moment in this transition came on 10 January 2024, when the US Securities and Exchange Commission (SEC) approved the first spot Bitcoin exchange-traded funds (ETFs). This opened direct Bitcoin exposure to pension funds, wealth managers, and retail investors through standard brokerage accounts, triggering billions of dollars in institutional inflows within days of the approval (Mohamad, 2025; Babalos et al., 2025).</w:t>
      </w:r>
    </w:p>
    <w:p w14:paraId="37A32F7C" w14:textId="77777777" w:rsidR="00C5153F" w:rsidRDefault="00C5153F" w:rsidP="00025A6F">
      <w:pPr>
        <w:pStyle w:val="Tavatekst"/>
      </w:pPr>
    </w:p>
    <w:p w14:paraId="66D9F03F" w14:textId="25EAC437" w:rsidR="000364D7" w:rsidRDefault="00C5153F" w:rsidP="00025A6F">
      <w:pPr>
        <w:pStyle w:val="Tavatekst"/>
      </w:pPr>
      <w:r w:rsidRPr="00C5153F">
        <w:t>Whether Bitcoin is sensitive to macroeconomic conditions is not a new question, but it has become increasingly contested. Early research found that Bitcoin returns were largely disconnected from traditional macro and financial factors (Liu and Tsyvinski, 2021; Corbet et al., 2018). Later studies showed a gradual shift, especially during and after COVID-19, as institutional investors entered the market and Bitcoin-equity correlations increased (Bouri et al., 2022; Nguyen, 2022). Post-2020 research has paid particular attention to the link between Bitcoin and monetary policy, with evidence that Fed rate decisions negatively affect Bitcoin prices (Karau, 2023; Ma et al., 2022) and that balance sheet expansions tend to support it through a liquidity channel (Zhao et al., 2023; Gu et al., 2021). Still, it remains unclear whether the arrival of spot ETFs represents a real turning point in Bitcoin's macro sensitivity or a continuation of a trend that was already underway.</w:t>
      </w:r>
    </w:p>
    <w:p w14:paraId="645C2A95" w14:textId="77777777" w:rsidR="00C5153F" w:rsidRPr="00E47CEF" w:rsidRDefault="00C5153F" w:rsidP="00025A6F">
      <w:pPr>
        <w:pStyle w:val="Tavatekst"/>
      </w:pPr>
    </w:p>
    <w:p w14:paraId="00020CB1" w14:textId="56BA1240" w:rsidR="000364D7" w:rsidRDefault="00C5153F" w:rsidP="00025A6F">
      <w:pPr>
        <w:pStyle w:val="Tavatekst"/>
      </w:pPr>
      <w:r w:rsidRPr="00C5153F">
        <w:t>Bitcoin's halving mechanism has also been an important price driver. Roughly every four years, the reward paid to Bitcoin miners is cut in half, creating a supply shock. Past halvings in 2016, 2020, and 2024 were followed by positive returns (Fabus et al., 2024; Lashkaripour, 2024). However, Veloso et al. (2025) compared all four halving cycles and found that the 2024 halving produced substantially smaller and less statistically significant price effects than previous cycles, raising the question of whether institutional adoption has reduced the impact of this supply event.</w:t>
      </w:r>
    </w:p>
    <w:p w14:paraId="72D5897C" w14:textId="6CF97C39" w:rsidR="003B7479" w:rsidRDefault="000364D7" w:rsidP="00025A6F">
      <w:pPr>
        <w:pStyle w:val="Tavatekst"/>
      </w:pPr>
      <w:r w:rsidRPr="000364D7">
        <w:lastRenderedPageBreak/>
        <w:t>Two hypotheses guide the empirical analysis.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halving-window coefficient losing significance or magnitude in the post-ETF regime.</w:t>
      </w:r>
    </w:p>
    <w:p w14:paraId="65BFBEEA" w14:textId="77777777" w:rsidR="000364D7" w:rsidRDefault="000364D7" w:rsidP="00025A6F">
      <w:pPr>
        <w:pStyle w:val="Tavatekst"/>
      </w:pPr>
    </w:p>
    <w:p w14:paraId="48770BDB" w14:textId="5082563E" w:rsidR="00C5153F" w:rsidRDefault="00C5153F" w:rsidP="00025A6F">
      <w:pPr>
        <w:pStyle w:val="Tavatekst"/>
      </w:pPr>
      <w:r w:rsidRPr="00C5153F">
        <w:t>To test these hypotheses, this study uses OLS regression with Newey-West HAC standard errors on 598 weekly observations from July 2014 to March 2026. The main specification is a full-sample interaction model with a PostETF dummy and three interaction termsdFedRate×PostETF, dFedBS×PostETF, and HalvingWindow×PostETF — to test whether macro coefficients changed after the ETF approval. A Chow structural break test confirms the breakpoint date. Robustness is checked through sub-sample estimation, a monthly frequency replication, adding M2 money supply growth as an extra liquidity control, and a panel regression across five major cryptocurrencies with entity fixed effects.</w:t>
      </w:r>
    </w:p>
    <w:p w14:paraId="3E334DAB" w14:textId="77777777" w:rsidR="00C5153F" w:rsidRDefault="00C5153F" w:rsidP="00025A6F">
      <w:pPr>
        <w:pStyle w:val="Tavatekst"/>
      </w:pPr>
    </w:p>
    <w:p w14:paraId="4D5CF620" w14:textId="77777777" w:rsidR="00C5153F" w:rsidRDefault="00C5153F" w:rsidP="00025A6F">
      <w:pPr>
        <w:pStyle w:val="Tavatekst"/>
      </w:pPr>
      <w:r w:rsidRPr="00C5153F">
        <w:t>Data are sourced from Yahoo Finance (Bitcoin-USD, S&amp;P 500, VIX, and four additional cryptocurrency price series) and the Federal Reserve Economic Data (FRED) service (federal funds rate, Fed total assets, M2 money stock). The sample starts in July 2014, the earliest point with reliable weekly Bitcoin price data, and runs through March 2026.</w:t>
      </w:r>
    </w:p>
    <w:p w14:paraId="7B4FBEFD" w14:textId="77777777" w:rsidR="00C5153F" w:rsidRDefault="00C5153F" w:rsidP="00025A6F">
      <w:pPr>
        <w:pStyle w:val="Tavatekst"/>
      </w:pPr>
    </w:p>
    <w:p w14:paraId="29EB2F1B" w14:textId="025B1560" w:rsidR="00C5153F" w:rsidRDefault="00C5153F" w:rsidP="00025A6F">
      <w:pPr>
        <w:pStyle w:val="Tavatekst"/>
      </w:pPr>
      <w:r w:rsidRPr="00C5153F">
        <w:t>The thesis is structured as follows. Chapter 1 reviews the literature on Bitcoin as an evolving asset class, its macro sensitivity, halving effects, and institutional adoption via spot ETFs, and identifies the research gap. Chapter 2 covers data sources, variable construction, model specification, and diagnostic tests. Chapter 3 presents the regression results. Chapter 4 discusses the findings, acknowledges limitations, and draws conclusions.</w:t>
      </w:r>
    </w:p>
    <w:p w14:paraId="790EE2FF" w14:textId="2F751414" w:rsidR="001E45F1" w:rsidRPr="008E0969" w:rsidRDefault="001E3446" w:rsidP="00025A6F">
      <w:pPr>
        <w:pStyle w:val="Pealkiri1"/>
      </w:pPr>
      <w:bookmarkStart w:id="2" w:name="_Toc225345685"/>
      <w:r w:rsidRPr="008E0969">
        <w:t xml:space="preserve">1. </w:t>
      </w:r>
      <w:r w:rsidR="00432381">
        <w:t>THEORETICAL AND EMPIRICAL BACKGROUND</w:t>
      </w:r>
      <w:bookmarkEnd w:id="2"/>
    </w:p>
    <w:p w14:paraId="3A6FA6A7" w14:textId="5689EBA9" w:rsidR="001E45F1" w:rsidRPr="008E0969" w:rsidRDefault="00C5153F" w:rsidP="00025A6F">
      <w:pPr>
        <w:pStyle w:val="Tavatekst"/>
      </w:pPr>
      <w:r w:rsidRPr="00C5153F">
        <w:t xml:space="preserve">This chapter reviews the literature relevant to the research questions and builds the foundation for the two hypotheses. Section 1.1 traces Bitcoin's evolution as an asset class. Section 1.2 surveys the </w:t>
      </w:r>
      <w:r w:rsidRPr="00C5153F">
        <w:lastRenderedPageBreak/>
        <w:t>evidence on Bitcoin's sensitivity to macroeconomic factors. Section 1.3 examines the literature on Bitcoin halving effects. Section 1.4 reviews institutional adoption and the spot ETF approval. Section 1.5 synthesises the evidence and identifies the research gap</w:t>
      </w:r>
      <w:r w:rsidR="005C4C9F" w:rsidRPr="005C4C9F">
        <w:t>.</w:t>
      </w:r>
    </w:p>
    <w:p w14:paraId="41DE1171" w14:textId="4A2E9ADA" w:rsidR="001E45F1" w:rsidRPr="008E0969" w:rsidRDefault="002F093A" w:rsidP="00025A6F">
      <w:pPr>
        <w:pStyle w:val="Pealkiri2"/>
      </w:pPr>
      <w:bookmarkStart w:id="3" w:name="_Toc225345686"/>
      <w:r w:rsidRPr="008E0969">
        <w:t>1.1.</w:t>
      </w:r>
      <w:r w:rsidR="001E3446" w:rsidRPr="008E0969">
        <w:t xml:space="preserve"> </w:t>
      </w:r>
      <w:r w:rsidR="0004581A">
        <w:t>Bitcoin as an Evolving Asset Class</w:t>
      </w:r>
      <w:bookmarkEnd w:id="3"/>
    </w:p>
    <w:p w14:paraId="46597739" w14:textId="74988538" w:rsidR="00F47867" w:rsidRDefault="00C5153F" w:rsidP="00025A6F">
      <w:pPr>
        <w:pStyle w:val="Tavatekst"/>
      </w:pPr>
      <w:r w:rsidRPr="00C5153F">
        <w:t>Bitcoin was introduced in 2008 by the pseudonymous author Satoshi Nakamoto as a decentralised P2P electronic cash system, introducing the new technology called blockchain. The very first genesis block was mined in January 2009. For much of its first decade, Bitcoin functioned primarily as a speculative instrument with a small community of cryptographic enthusiasts and early adopters. The cryptocurrency market was largely isolated from the mainstream financial system. Corbet et al. (2018) capture this early period well, examining the relationship between cryptocurrencies and traditional financial assets from 2013 to 2018 and finding that Bitcoin showed relatively low interconnectedness with equities and gold. This positioned it as an asset class whose price action was independent of conventional financial markets. Similar conclusions were reached by Liu and Tsyvinski (2021), who demonstrated that Bitcoin returns had no statistically significant exposure to standard macroeconomic or stock drivers over 2014 to 2020. Their analysis covers a wide range of risks, including the market return, size, value and momentum premia, and finds minimal systematic exposure, concluding that Bitcoin was essentially an independent asset driven by its own momentum.</w:t>
      </w:r>
    </w:p>
    <w:p w14:paraId="7E6BBC4B" w14:textId="77777777" w:rsidR="00C5153F" w:rsidRDefault="00C5153F" w:rsidP="00025A6F">
      <w:pPr>
        <w:pStyle w:val="Tavatekst"/>
      </w:pPr>
    </w:p>
    <w:p w14:paraId="0E32B918" w14:textId="4A4D8333" w:rsidR="0023337B" w:rsidRDefault="00C5153F" w:rsidP="00025A6F">
      <w:pPr>
        <w:pStyle w:val="Tavatekst"/>
      </w:pPr>
      <w:r w:rsidRPr="00C5153F">
        <w:t xml:space="preserve">Over the following years, this picture changed considerably. Bouri et al. (2022), using co-movement analysis across different time horizons, found that Bitcoin and the S&amp;P 500 moved independently before 2018 but became increasingly connected afterward. In addition, Nguyen (2022), using a volatility modelling approach, found that S&amp;P 500 movements significantly affected Bitcoin returns during COVID-19, suggesting the equity-Bitcoin link strengthens during financial stress but remains weak in calmer times. By 2022, the previously celebrated diversification benefits of Bitcoin appeared to erode precisely when investors needed them most (Bakry et al., 2021). Wu (2025), using rolling correlation analysis, found that Bitcoin-S&amp;P 500 and Bitcoin-Nasdaq correlations peaked at approximately 0.87 in 2024 after large-scale institutional entry into the market, which placed Bitcoin closer to a tech stock rather than a diversifying alternative asset. Marti and </w:t>
      </w:r>
      <w:proofErr w:type="spellStart"/>
      <w:r w:rsidRPr="00C5153F">
        <w:t>Reimat</w:t>
      </w:r>
      <w:proofErr w:type="spellEnd"/>
      <w:r w:rsidRPr="00C5153F">
        <w:t xml:space="preserve"> (2025) further report that a one percent rise in the </w:t>
      </w:r>
      <w:r w:rsidRPr="00C5153F">
        <w:lastRenderedPageBreak/>
        <w:t>MSCI World index was associated with a 4.8 percent rise in Bitcoin by 2025, providing additional evidence of deep macro integration in recent years.</w:t>
      </w:r>
    </w:p>
    <w:p w14:paraId="4B6036F9" w14:textId="77777777" w:rsidR="00C5153F" w:rsidRDefault="00C5153F" w:rsidP="00025A6F">
      <w:pPr>
        <w:pStyle w:val="Tavatekst"/>
      </w:pPr>
    </w:p>
    <w:p w14:paraId="794BBCDE" w14:textId="402F35B1" w:rsidR="0023337B" w:rsidRPr="00025A6F" w:rsidRDefault="0023337B" w:rsidP="00025A6F">
      <w:r w:rsidRPr="00025A6F">
        <w:t xml:space="preserve">The debate over leading cryptocurrency market efficiency is </w:t>
      </w:r>
      <w:r w:rsidR="000549CC">
        <w:t>very important for</w:t>
      </w:r>
      <w:r w:rsidRPr="00025A6F">
        <w:t xml:space="preserve"> understanding its trajectory. </w:t>
      </w:r>
      <w:r w:rsidR="00A41543" w:rsidRPr="00025A6F">
        <w:t>Yi et al. (2023)</w:t>
      </w:r>
      <w:r w:rsidRPr="00025A6F">
        <w:t xml:space="preserve"> </w:t>
      </w:r>
      <w:r w:rsidR="001E033C">
        <w:t>found that Bitcoin markets are becoming more efficient over time, which means that predictable events like halvings are gradually starting to be priced in long before they occur</w:t>
      </w:r>
      <w:r w:rsidRPr="00025A6F">
        <w:t xml:space="preserve">. </w:t>
      </w:r>
      <w:r w:rsidR="008937FE" w:rsidRPr="008937FE">
        <w:t xml:space="preserve">This efficiency argument supports the idea that Bitcoin's supply shocks may lose their predictive power as the market matures. </w:t>
      </w:r>
      <w:r w:rsidR="008937FE">
        <w:t>Overall narrative</w:t>
      </w:r>
      <w:r w:rsidR="008937FE" w:rsidRPr="008937FE">
        <w:t xml:space="preserve"> </w:t>
      </w:r>
      <w:r w:rsidR="008937FE">
        <w:t>is that</w:t>
      </w:r>
      <w:r w:rsidR="008937FE" w:rsidRPr="008937FE">
        <w:t xml:space="preserve"> Bitcoin</w:t>
      </w:r>
      <w:r w:rsidR="008937FE">
        <w:t xml:space="preserve"> has evolved</w:t>
      </w:r>
      <w:r w:rsidR="008937FE" w:rsidRPr="008937FE">
        <w:t xml:space="preserve"> from an isolated asset to one increasingly driven by</w:t>
      </w:r>
      <w:r w:rsidR="008937FE">
        <w:t xml:space="preserve"> </w:t>
      </w:r>
      <w:r w:rsidR="008937FE" w:rsidRPr="008937FE">
        <w:t>macroeconomic forces</w:t>
      </w:r>
      <w:r w:rsidR="008937FE">
        <w:t xml:space="preserve">, </w:t>
      </w:r>
      <w:r w:rsidR="008937FE" w:rsidRPr="008937FE">
        <w:t xml:space="preserve">and this study's hypotheses are built on that same </w:t>
      </w:r>
      <w:r w:rsidR="00A41543">
        <w:t>idea</w:t>
      </w:r>
      <w:r w:rsidR="008937FE" w:rsidRPr="008937FE">
        <w:t>.</w:t>
      </w:r>
    </w:p>
    <w:p w14:paraId="1CD13E55" w14:textId="1F56FD2C" w:rsidR="00025A6F" w:rsidRDefault="00025A6F" w:rsidP="00025A6F">
      <w:pPr>
        <w:pStyle w:val="Pealkiri2"/>
      </w:pPr>
      <w:bookmarkStart w:id="4" w:name="_Toc225345687"/>
      <w:r>
        <w:t>1.2</w:t>
      </w:r>
      <w:r w:rsidR="00432381">
        <w:t>.</w:t>
      </w:r>
      <w:r>
        <w:t xml:space="preserve"> Bitcoin’s Sensitivity to Macroeconomic Factors</w:t>
      </w:r>
      <w:bookmarkEnd w:id="4"/>
    </w:p>
    <w:p w14:paraId="6AEDE2A1" w14:textId="3245C0AC" w:rsidR="00025A6F" w:rsidRDefault="00C5153F" w:rsidP="00025A6F">
      <w:r w:rsidRPr="00C5153F">
        <w:t xml:space="preserve">Before the pandemic, the evidence on Bitcoin's macro sensitivity is relatively clear. </w:t>
      </w:r>
      <w:proofErr w:type="spellStart"/>
      <w:r w:rsidRPr="00C5153F">
        <w:t>Lyócsa</w:t>
      </w:r>
      <w:proofErr w:type="spellEnd"/>
      <w:r w:rsidRPr="00C5153F">
        <w:t xml:space="preserve"> et al. (2020) studied the impact of macroeconomic news, regulation, and hacking events on Bitcoin volatility from 2013 to 2019 and found that while hacking incidents and regulatory announcements affected volatility, scheduled US macroeconomic news had no meaningful effect on Bitcoin prices. This "Bitcoin-macro disconnect" was formally documented by Benigno and Rosa (2023) in a Federal Reserve Bank of New York staff report, which provides a useful baseline for comparison with later periods. Until around 2020, Bitcoin and macroeconomic variables seem to have operated in largely separate spaces</w:t>
      </w:r>
      <w:r w:rsidR="00901F5B">
        <w:t>.</w:t>
      </w:r>
    </w:p>
    <w:p w14:paraId="1DE4114C" w14:textId="77777777" w:rsidR="00901F5B" w:rsidRDefault="00901F5B" w:rsidP="00025A6F"/>
    <w:p w14:paraId="7E84DECE" w14:textId="1F925700" w:rsidR="00DF13E8" w:rsidRDefault="00C5153F" w:rsidP="00901F5B">
      <w:r w:rsidRPr="00C5153F">
        <w:t xml:space="preserve">After 2020, the evidence looks very different. In an event study around FOMC meetings, Karau (2023) found that Bitcoin's sensitivity to Fed policy shocks increased significantly, with surprise rate hikes having a clear negative effect on prices. This is an important precedent for this study's first hypothesis. Ma et al. (2022) reached a similar conclusion, estimating that a one basis point surprise tightening on FOMC days leads to roughly a minus 0.25 percentage point Bitcoin return, which is much larger than what would be expected from an asset with no macro sensitivity. These findings hold across different market environments. Buthelezi (2025) confirmed, using regime-switching volatility models </w:t>
      </w:r>
      <w:proofErr w:type="gramStart"/>
      <w:r w:rsidRPr="00C5153F">
        <w:t>on</w:t>
      </w:r>
      <w:proofErr w:type="gramEnd"/>
      <w:r w:rsidRPr="00C5153F">
        <w:t xml:space="preserve"> 2015 to 2023 data, that monetary tightening decreases cryptocurrency prices in both high and low volatility periods. The evidence also extends beyond the Fed. Elsayed and Sousa (2022), using a time-varying VAR, showed that G4 central bank policy rates spill over into Bitcoin, Litecoin, and Ripple.</w:t>
      </w:r>
    </w:p>
    <w:p w14:paraId="0EAEAD26" w14:textId="77777777" w:rsidR="00C5153F" w:rsidRDefault="00C5153F" w:rsidP="00901F5B"/>
    <w:p w14:paraId="5B5F0AD6" w14:textId="0AC93614" w:rsidR="00B1577C" w:rsidRDefault="00C5153F" w:rsidP="00901F5B">
      <w:r w:rsidRPr="00C5153F">
        <w:t xml:space="preserve">The Federal Reserve balance sheet, commonly used as a measure of financial liquidity, provides a second channel. Using a time-varying VAR </w:t>
      </w:r>
      <w:proofErr w:type="gramStart"/>
      <w:r w:rsidRPr="00C5153F">
        <w:t>on</w:t>
      </w:r>
      <w:proofErr w:type="gramEnd"/>
      <w:r w:rsidRPr="00C5153F">
        <w:t xml:space="preserve"> 2017 to 2023 data, Zhao et al. (2023) found that quantitative easing has a sustained positive effect on Bitcoin prices, consistent with the view that loose monetary conditions push investors toward riskier assets. Similar evidence comes from Gu et al. (2021), who looked at the Fed's March 2020 unlimited QE announcement and found significant positive effects on Bitcoin and Ethereum returns, suggesting the liquidity announcement itself drove the reaction. An IMF study by Che et al. (2023) brought both channels together, estimating that Fed tightening reduces a common cryptocurrency factor by about 0.15 standard deviations, an effect exceeding the equity market response. The authors link this amplified sensitivity to the growing presence of institutional investors in cryptocurrency markets.</w:t>
      </w:r>
    </w:p>
    <w:p w14:paraId="12EE9D07" w14:textId="77777777" w:rsidR="00C5153F" w:rsidRDefault="00C5153F" w:rsidP="00901F5B"/>
    <w:p w14:paraId="4C32F658" w14:textId="6DC314C3" w:rsidR="00C5153F" w:rsidRDefault="00C5153F" w:rsidP="00901F5B">
      <w:r w:rsidRPr="00C5153F">
        <w:t xml:space="preserve">Risk sentiment also plays a role. Choi and Shin (2022) separated inflation shocks from financial uncertainty shocks and found that Bitcoin acts as an inflation hedge when prices rise due to </w:t>
      </w:r>
      <w:proofErr w:type="gramStart"/>
      <w:r w:rsidRPr="00C5153F">
        <w:t>demand, but</w:t>
      </w:r>
      <w:proofErr w:type="gramEnd"/>
      <w:r w:rsidRPr="00C5153F">
        <w:t xml:space="preserve"> reacts negatively to financial uncertainty captured by the VIX. This points to Bitcoin behaving more like a speculative risk asset than </w:t>
      </w:r>
      <w:proofErr w:type="gramStart"/>
      <w:r w:rsidRPr="00C5153F">
        <w:t>a safe haven</w:t>
      </w:r>
      <w:proofErr w:type="gramEnd"/>
      <w:r w:rsidRPr="00C5153F">
        <w:t>. Economic policy uncertainty also negatively affects Bitcoin in the short run according to Hernandez et al. (2023), further supporting the inclusion of the VIX as a control variable. Additional evidence from Lin et al. (2025), using quantile regression on 2018 to 2024 data, shows that the US dollar exchange rate and Treasury yields are also significant drivers of Bitcoin returns, confirming that its macro sensitivity has become multidimensional.</w:t>
      </w:r>
    </w:p>
    <w:p w14:paraId="7F0EB0C7" w14:textId="77777777" w:rsidR="00C5153F" w:rsidRDefault="00C5153F" w:rsidP="00901F5B"/>
    <w:p w14:paraId="0726FC3E" w14:textId="5B254625" w:rsidR="009B1FED" w:rsidRDefault="00C5153F" w:rsidP="009B1FED">
      <w:pPr>
        <w:rPr>
          <w:lang w:val="et-EE"/>
        </w:rPr>
      </w:pPr>
      <w:r w:rsidRPr="00C5153F">
        <w:rPr>
          <w:lang w:val="et-EE"/>
        </w:rPr>
        <w:t>Despite all this evidence, a gap remains. Most studies look at the evolution of macro sensitivity up to around 2023 and do not directly test whether the January 2024 spot ETF approval amplified these sensitivities. This study's interaction model, which estimates whether post-ETF macro coefficients differ statistically from pre-ETF levels, is designed to fill that gap</w:t>
      </w:r>
      <w:r w:rsidR="009B1FED">
        <w:rPr>
          <w:lang w:val="et-EE"/>
        </w:rPr>
        <w:t>.</w:t>
      </w:r>
    </w:p>
    <w:p w14:paraId="610DD561" w14:textId="3190E968" w:rsidR="009B1FED" w:rsidRDefault="009B1FED" w:rsidP="009B1FED">
      <w:pPr>
        <w:pStyle w:val="Pealkiri2"/>
        <w:rPr>
          <w:lang w:val="et-EE"/>
        </w:rPr>
      </w:pPr>
      <w:bookmarkStart w:id="5" w:name="_Toc225345688"/>
      <w:r>
        <w:rPr>
          <w:lang w:val="et-EE"/>
        </w:rPr>
        <w:t>1.3</w:t>
      </w:r>
      <w:r w:rsidR="00432381">
        <w:rPr>
          <w:lang w:val="et-EE"/>
        </w:rPr>
        <w:t>.</w:t>
      </w:r>
      <w:r>
        <w:rPr>
          <w:lang w:val="et-EE"/>
        </w:rPr>
        <w:t xml:space="preserve"> Bitcoin Halving Effects</w:t>
      </w:r>
      <w:bookmarkEnd w:id="5"/>
    </w:p>
    <w:p w14:paraId="79D297DE" w14:textId="45E3AD91" w:rsidR="009B1FED" w:rsidRDefault="00C5153F" w:rsidP="009B1FED">
      <w:pPr>
        <w:rPr>
          <w:lang w:val="et-EE"/>
        </w:rPr>
      </w:pPr>
      <w:r w:rsidRPr="00C5153F">
        <w:rPr>
          <w:lang w:val="et-EE"/>
        </w:rPr>
        <w:t xml:space="preserve">Bitcoin's supply schedule is built into its protocol. Approximately every 210,000 blocks, or roughly every four years, the reward paid to miners for validating transactions is cut in half. This creates a programmatic reduction in the rate of new Bitcoin entering the market. The halvings occurred on 28 November 2012, 9 July 2016, 11 May 2020, and 19 April 2024. The underlying </w:t>
      </w:r>
      <w:r w:rsidRPr="00C5153F">
        <w:rPr>
          <w:lang w:val="et-EE"/>
        </w:rPr>
        <w:lastRenderedPageBreak/>
        <w:t>logic is straightforward. If demand remains constant while new supply decreases, prices should rise. This is a straightforward application of supply and demand to a fixed-supply asset</w:t>
      </w:r>
      <w:r w:rsidR="009B1FED" w:rsidRPr="009B1FED">
        <w:rPr>
          <w:lang w:val="et-EE"/>
        </w:rPr>
        <w:t>.</w:t>
      </w:r>
    </w:p>
    <w:p w14:paraId="74C76F13" w14:textId="77777777" w:rsidR="009B1FED" w:rsidRDefault="009B1FED" w:rsidP="009B1FED">
      <w:pPr>
        <w:rPr>
          <w:lang w:val="et-EE"/>
        </w:rPr>
      </w:pPr>
    </w:p>
    <w:p w14:paraId="37BBA428" w14:textId="3B2B1ED7" w:rsidR="009B1FED" w:rsidRDefault="00C5153F" w:rsidP="009B1FED">
      <w:pPr>
        <w:rPr>
          <w:lang w:val="et-EE"/>
        </w:rPr>
      </w:pPr>
      <w:r w:rsidRPr="00C5153F">
        <w:rPr>
          <w:lang w:val="et-EE"/>
        </w:rPr>
        <w:t>The empirical evidence generally supports a positive price effect, at least in earlier cycles. Using technical indicators and regression across the 2012, 2016, and 2020 halvings, Fabus et al. (2024) identified a consistent pattern of price appreciation in the months after each event. Lashkaripour (2024) confirmed positive post-halving returns using variable selection methods and OLS on a multi-cycle dataset, but also found that the effect weakened with each successive cycle, consistent with market maturation. Theoretical support for this comes from Liu et al. (2022), who showed that as Bitcoin matures, its pricing increasingly reflects broader risk factors rather than supply-specific events</w:t>
      </w:r>
      <w:r w:rsidR="00D109DF">
        <w:rPr>
          <w:lang w:val="et-EE"/>
        </w:rPr>
        <w:t xml:space="preserve">. </w:t>
      </w:r>
    </w:p>
    <w:p w14:paraId="050DFA33" w14:textId="77777777" w:rsidR="009B1FED" w:rsidRDefault="009B1FED" w:rsidP="009B1FED">
      <w:pPr>
        <w:rPr>
          <w:lang w:val="et-EE"/>
        </w:rPr>
      </w:pPr>
    </w:p>
    <w:p w14:paraId="5879F0D6" w14:textId="6EE608BA" w:rsidR="009B1FED" w:rsidRDefault="00870023" w:rsidP="009B1FED">
      <w:pPr>
        <w:rPr>
          <w:lang w:val="et-EE"/>
        </w:rPr>
      </w:pPr>
      <w:r w:rsidRPr="00870023">
        <w:rPr>
          <w:lang w:val="et-EE"/>
        </w:rPr>
        <w:t>Two competing views on how the halving affects prices are relevant here. The supply-fundamental view holds that the halving creates real price pressure by directly reducing the amount of new Bitcoin miners can sell. The alternative, attention-driven view is supported by Liu et al. (2025), who found negative abnormal returns around halving dates and attributed the price dynamics to trading behaviour and media attention rather than supply effects. If this interpretation is correct, halving effects should diminish in a more liquid, institutionally dominated market where sophisticated investors can price in predictable events ahead of time. Subawa et al. (2025) reached a similar conclusion using structural equation modelling, with halvings affecting prices through sentiment and regulatory channels. Yi et al. (2023) offer an integrating explanation, presenting evidence that as Bitcoin's market deepens, halvings are increasingly priced in before they happen since their dates are publicly known years in advance.</w:t>
      </w:r>
    </w:p>
    <w:p w14:paraId="6696A036" w14:textId="77777777" w:rsidR="00870023" w:rsidRDefault="00870023" w:rsidP="009B1FED">
      <w:pPr>
        <w:rPr>
          <w:lang w:val="et-EE"/>
        </w:rPr>
      </w:pPr>
    </w:p>
    <w:p w14:paraId="45212178" w14:textId="2A94433B" w:rsidR="009B1FED" w:rsidRDefault="00870023" w:rsidP="009B1FED">
      <w:pPr>
        <w:rPr>
          <w:lang w:val="et-EE"/>
        </w:rPr>
      </w:pPr>
      <w:r w:rsidRPr="00870023">
        <w:rPr>
          <w:lang w:val="et-EE"/>
        </w:rPr>
        <w:t>The most relevant evidence for this study comes from Veloso et al. (2025), who compared cumulative abnormal returns and volatility across all four halving events. They found that the 2024 halving produced substantially smaller and less significant price effects than any of the three previous cycles, consistent with both the maturation hypothesis and the attention-based view. This paper provides the strongest direct support for this study's second hypothesis.</w:t>
      </w:r>
    </w:p>
    <w:p w14:paraId="05DFD380" w14:textId="77777777" w:rsidR="00870023" w:rsidRDefault="00870023" w:rsidP="009B1FED">
      <w:pPr>
        <w:rPr>
          <w:lang w:val="et-EE"/>
        </w:rPr>
      </w:pPr>
    </w:p>
    <w:p w14:paraId="2B74096D" w14:textId="6570DF71" w:rsidR="00AE3A24" w:rsidRDefault="00870023" w:rsidP="00AE3A24">
      <w:pPr>
        <w:rPr>
          <w:lang w:val="et-EE"/>
        </w:rPr>
      </w:pPr>
      <w:r w:rsidRPr="00870023">
        <w:rPr>
          <w:lang w:val="et-EE"/>
        </w:rPr>
        <w:t xml:space="preserve">Despite this evidence, no existing study has tested whether large institutional ETF inflows starting in January 2024 directly contributed to the weakening of the 2024 halving effect. The fact that the ETF approval and the April 2024 halving happened so close together creates an identification </w:t>
      </w:r>
      <w:r w:rsidRPr="00870023">
        <w:rPr>
          <w:lang w:val="et-EE"/>
        </w:rPr>
        <w:lastRenderedPageBreak/>
        <w:t>challenge that single-event studies cannot resolve. This study uses a halving-window interaction term with the PostETF dummy to directly test whether the halving coefficient differs between the pre-ETF and post-ETF periods</w:t>
      </w:r>
      <w:r w:rsidR="009B1FED" w:rsidRPr="009B1FED">
        <w:rPr>
          <w:lang w:val="et-EE"/>
        </w:rPr>
        <w:t>.</w:t>
      </w:r>
    </w:p>
    <w:p w14:paraId="1C8A260E" w14:textId="39D81456" w:rsidR="00AE3A24" w:rsidRDefault="00AE3A24" w:rsidP="00AE3A24">
      <w:pPr>
        <w:pStyle w:val="Pealkiri2"/>
        <w:rPr>
          <w:lang w:val="et-EE"/>
        </w:rPr>
      </w:pPr>
      <w:bookmarkStart w:id="6" w:name="_Toc225345689"/>
      <w:r>
        <w:rPr>
          <w:lang w:val="et-EE"/>
        </w:rPr>
        <w:t>1.4</w:t>
      </w:r>
      <w:r w:rsidR="00432381">
        <w:rPr>
          <w:lang w:val="et-EE"/>
        </w:rPr>
        <w:t>.</w:t>
      </w:r>
      <w:r>
        <w:rPr>
          <w:lang w:val="et-EE"/>
        </w:rPr>
        <w:t xml:space="preserve"> </w:t>
      </w:r>
      <w:r w:rsidRPr="00AE3A24">
        <w:rPr>
          <w:lang w:val="et-EE"/>
        </w:rPr>
        <w:t>Institutional Adoption and the Spot Bitcoin ETF</w:t>
      </w:r>
      <w:bookmarkEnd w:id="6"/>
    </w:p>
    <w:p w14:paraId="45420C81" w14:textId="76BDF1A6" w:rsidR="00B96CB5" w:rsidRDefault="00870023" w:rsidP="00B96CB5">
      <w:r w:rsidRPr="00870023">
        <w:t>The institutionalisation of Bitcoin has been a gradual process. Bitcoin futures launched on the Chicago Mercantile Exchange in December 2017 as the first regulated derivatives product, enabling institutional hedging and creating a new price discovery venue. As Boan et al. (2021) showed, institutional futures trading already influenced Bitcoin-S&amp;P 500 correlations before the spot ETF approval, which provides a baseline from which to measure the ETF's additional effect. From 2017 to 2023, the Grayscale Bitcoin Trust (GBTC) offered another route for institutions, though it suffered from structural premium and discount swings relative to its net asset value. The SEC rejected multiple spot ETF applications during this period, citing concerns about market manipulation</w:t>
      </w:r>
      <w:r w:rsidR="00B96CB5" w:rsidRPr="00B96CB5">
        <w:t>.</w:t>
      </w:r>
    </w:p>
    <w:p w14:paraId="1EE77A32" w14:textId="77777777" w:rsidR="00B96CB5" w:rsidRDefault="00B96CB5" w:rsidP="00B96CB5"/>
    <w:p w14:paraId="20D69D41" w14:textId="61410C49" w:rsidR="00B96CB5" w:rsidRDefault="00870023" w:rsidP="00B96CB5">
      <w:r w:rsidRPr="00870023">
        <w:t>The situation changed significantly when the SEC approved eleven spot Bitcoin ETFs on 10 January 2024, including BlackRock's iShares Bitcoin Trust (IBIT) and Fidelity's Wise Origin Bitcoin Fund (FBTC). This was not just symbolic. It gave institutional investors and retail savers direct, low-cost, regulated Bitcoin exposure through standard brokerage accounts. According to Liu and Yang (2024), the approval raised Bitcoin's market legitimacy and liquidity, providing a structural reason for why macro exposures would change. This is supported by cointegration analysis from Guliyev and Ahmadova (2025), who found that ETF assets under management are cointegrated with Bitcoin spot prices over January 2024 to May 2025 data. This suggests institutional flows have a sustained influence on Bitcoin's valuation, not just a short-term announcement effect</w:t>
      </w:r>
      <w:r w:rsidR="00B96CB5" w:rsidRPr="00B96CB5">
        <w:t>.</w:t>
      </w:r>
    </w:p>
    <w:p w14:paraId="20183994" w14:textId="77777777" w:rsidR="00B96CB5" w:rsidRDefault="00B96CB5" w:rsidP="00B96CB5"/>
    <w:p w14:paraId="7CC2AD1C" w14:textId="5FDD3759" w:rsidR="00B96CB5" w:rsidRDefault="00870023" w:rsidP="00B96CB5">
      <w:r w:rsidRPr="00870023">
        <w:t xml:space="preserve">Price discovery also changed. According to Mohamad (2025), spot ETFs (mainly IBIT, FBTC, and GBTC) now dominate Bitcoin price discovery about 85 percent of the time, with the traditional spot market playing a secondary role. Kia et al. (2025) confirmed this shift, showing that after 10 January 2024 the spot market overtook futures-based ETFs as the main price formation venue. These findings support the choice of 10 January 2024 as the breakpoint date for the PostETF </w:t>
      </w:r>
      <w:r w:rsidRPr="00870023">
        <w:lastRenderedPageBreak/>
        <w:t>dummy in this study, since the structural change in price formation lines up exactly with the approval date</w:t>
      </w:r>
      <w:r w:rsidR="00B96CB5" w:rsidRPr="00B96CB5">
        <w:t>.</w:t>
      </w:r>
    </w:p>
    <w:p w14:paraId="040D00FD" w14:textId="77777777" w:rsidR="00B96CB5" w:rsidRDefault="00B96CB5" w:rsidP="00B96CB5"/>
    <w:p w14:paraId="7D76E932" w14:textId="3C26CA55" w:rsidR="00B96CB5" w:rsidRDefault="00870023" w:rsidP="00B96CB5">
      <w:r w:rsidRPr="00870023">
        <w:t>The consequences for Bitcoin's equity correlations have been documented by several studies. The ETF introduction increased Bitcoin returns and reduced volatility for both Bitcoin and Ripple (Babalos et al., 2025), consistent with a liquidity-driven improvement in market quality. Using rolling dynamic correlation analysis, Wu (2025) reported that Bitcoin-equity correlations peaked at approximately 0.87 in 2024, a level suggesting strong equity co-movement that challenges Bitcoin's traditional image as an independent asset. Hong et al. (2025) found a significant post-ETF increase in Bitcoin-equity correlations using a Chow test at the January 2024 breakpoint, along with changes in hedging effectiveness. Taken together, these findings suggest that ETF-driven institutional entry has pushed Bitcoin toward behaving like a high-beta equity, which implies that macro variables governing equity markets should increasingly explain Bitcoin returns going forward</w:t>
      </w:r>
      <w:r w:rsidR="00B96CB5" w:rsidRPr="00B96CB5">
        <w:t>.</w:t>
      </w:r>
    </w:p>
    <w:p w14:paraId="4CF5E5CF" w14:textId="77777777" w:rsidR="00B96CB5" w:rsidRDefault="00B96CB5" w:rsidP="00B96CB5"/>
    <w:p w14:paraId="7FAE9141" w14:textId="64FC67EC" w:rsidR="00B96CB5" w:rsidRDefault="00870023" w:rsidP="00B96CB5">
      <w:r w:rsidRPr="00870023">
        <w:t>Despite all this evidence, a direct test of whether the ETF approval amplified Bitcoin's regression coefficients on standard macro variables across a long-run weekly dataset spanning both periods is still missing. This study fills that gap by estimating an interaction OLS model over the full 2014 to 2026 weekly sample, allowing the macro coefficients to shift at the January 2024 ETF date, and testing whether that shift is statistically significant</w:t>
      </w:r>
      <w:r w:rsidR="00B96CB5" w:rsidRPr="00B96CB5">
        <w:t>.</w:t>
      </w:r>
    </w:p>
    <w:p w14:paraId="244B3B51" w14:textId="6E89DC5F" w:rsidR="00B96CB5" w:rsidRDefault="00B96CB5" w:rsidP="00B96CB5">
      <w:pPr>
        <w:pStyle w:val="Pealkiri2"/>
      </w:pPr>
      <w:bookmarkStart w:id="7" w:name="_Toc225345690"/>
      <w:r>
        <w:t>1.5</w:t>
      </w:r>
      <w:r w:rsidR="00432381">
        <w:t>.</w:t>
      </w:r>
      <w:r>
        <w:t xml:space="preserve"> Synthesis and Research Gap</w:t>
      </w:r>
      <w:bookmarkEnd w:id="7"/>
    </w:p>
    <w:p w14:paraId="77A471B3" w14:textId="05798FFE" w:rsidR="00B96CB5" w:rsidRDefault="00870023" w:rsidP="00B96CB5">
      <w:r w:rsidRPr="00870023">
        <w:t xml:space="preserve">The literature reviewed above establishes three broad patterns. First, Bitcoin has moved from being a speculative asset disconnected from the economy to one increasingly integrated with the financial system, with the Fed rate and liquidity channels becoming active particularly after 2020 (Benigno and Rosa, 2023; Karau, 2023; Che et al., 2023). Second, the halving mechanism, which historically drove positive post-halving returns, is showing signs of weakening as the market matures, with the 2024 halving producing the smallest price effect across all four cycles (Veloso et al., 2025; Lashkaripour, 2024). Third, the spot ETF approval in January 2024 is the most significant institutional turning point in Bitcoin's history, fundamentally changing price discovery (Mohamad, 2025; Kia et al., 2025) and equity correlations (Wu, 2025; Hong et al., 2025). What the literature does not yet provide is a unified test of whether the ETF approval represents a </w:t>
      </w:r>
      <w:r w:rsidRPr="00870023">
        <w:lastRenderedPageBreak/>
        <w:t>structural breakpoint for macro regression coefficients and the halving premium, estimated over a single weekly dataset spanning 2014 to 2026 and covering all four halvings</w:t>
      </w:r>
      <w:r w:rsidR="00B96CB5" w:rsidRPr="00B96CB5">
        <w:t>.</w:t>
      </w:r>
    </w:p>
    <w:p w14:paraId="3AD6902A" w14:textId="77777777" w:rsidR="00B96CB5" w:rsidRDefault="00B96CB5" w:rsidP="00B96CB5"/>
    <w:p w14:paraId="215851EB" w14:textId="06952371" w:rsidR="00B96CB5" w:rsidRPr="00332B3C" w:rsidRDefault="00870023" w:rsidP="00B96CB5">
      <w:r w:rsidRPr="00870023">
        <w:t>This study addresses that gap directly. The contribution is a full-sample weekly OLS interaction model that includes both the January 2024 ETF dummy and the April 2024 halving within the same estimation window, making it possible to directly test whether macro sensitivities changed across regimes. The two hypotheses derived from the literature review are stated formally as follows.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halving-window coefficient losing significance or magnitude in the post-ETF regime</w:t>
      </w:r>
      <w:r w:rsidR="00B96CB5" w:rsidRPr="00B96CB5">
        <w:t>.</w:t>
      </w:r>
    </w:p>
    <w:p w14:paraId="73C8AEEB" w14:textId="0583C799" w:rsidR="001E45F1" w:rsidRDefault="001E45F1" w:rsidP="00025A6F">
      <w:pPr>
        <w:pStyle w:val="Pealkiri1"/>
        <w:rPr>
          <w:lang w:val="et-EE"/>
        </w:rPr>
      </w:pPr>
      <w:bookmarkStart w:id="8" w:name="_Toc225345691"/>
      <w:r w:rsidRPr="00025A6F">
        <w:rPr>
          <w:lang w:val="et-EE"/>
        </w:rPr>
        <w:t xml:space="preserve">2. </w:t>
      </w:r>
      <w:r w:rsidR="00B96CB5">
        <w:rPr>
          <w:lang w:val="et-EE"/>
        </w:rPr>
        <w:t>DATA AND METHODOLOGY</w:t>
      </w:r>
      <w:bookmarkEnd w:id="8"/>
    </w:p>
    <w:p w14:paraId="569F6043" w14:textId="68E6EB2B" w:rsidR="00B96CB5" w:rsidRPr="00025A6F" w:rsidRDefault="00870023" w:rsidP="00B96CB5">
      <w:pPr>
        <w:rPr>
          <w:lang w:val="et-EE"/>
        </w:rPr>
      </w:pPr>
      <w:r w:rsidRPr="00870023">
        <w:rPr>
          <w:lang w:val="et-EE"/>
        </w:rPr>
        <w:t>This chapter describes the data, variables, model specification, and diagnostic tests used in the analysis. Section 2.1 covers data sources and the sample period. Section 2.2 defines all eleven variables. Section 2.3 presents the model specifications. Section 2.4 documents the diagnostic tests used to validate the estimation approach</w:t>
      </w:r>
      <w:r w:rsidR="00B96CB5" w:rsidRPr="00B96CB5">
        <w:rPr>
          <w:lang w:val="et-EE"/>
        </w:rPr>
        <w:t>.</w:t>
      </w:r>
    </w:p>
    <w:p w14:paraId="376EED4A" w14:textId="0AACE7DB" w:rsidR="001E45F1" w:rsidRPr="007A5E79" w:rsidRDefault="002F093A" w:rsidP="00025A6F">
      <w:pPr>
        <w:pStyle w:val="Pealkiri2"/>
      </w:pPr>
      <w:bookmarkStart w:id="9" w:name="_Toc225345692"/>
      <w:r w:rsidRPr="00D06A13">
        <w:rPr>
          <w:lang w:val="et-EE"/>
        </w:rPr>
        <w:t>2.1.</w:t>
      </w:r>
      <w:r w:rsidR="001E3446" w:rsidRPr="00D06A13">
        <w:rPr>
          <w:lang w:val="et-EE"/>
        </w:rPr>
        <w:t xml:space="preserve"> </w:t>
      </w:r>
      <w:r w:rsidR="00B96CB5">
        <w:rPr>
          <w:lang w:val="et-EE"/>
        </w:rPr>
        <w:t>Data Sources and Sample Period</w:t>
      </w:r>
      <w:bookmarkEnd w:id="9"/>
    </w:p>
    <w:p w14:paraId="3BABF0FD" w14:textId="556E3671" w:rsidR="001E45F1" w:rsidRPr="007A5E79" w:rsidRDefault="00870023" w:rsidP="00025A6F">
      <w:pPr>
        <w:pStyle w:val="Tavatekst"/>
        <w:rPr>
          <w:lang w:eastAsia="et-EE" w:bidi="ar-SA"/>
        </w:rPr>
      </w:pPr>
      <w:r w:rsidRPr="00870023">
        <w:rPr>
          <w:lang w:val="et-EE"/>
        </w:rPr>
        <w:t xml:space="preserve">The dataset consists of weekly Friday-close observations for five data series from two publicly available sources. Bitcoin prices (BTC-USD), S&amp;P 500 index (^GSPC), and the CBOE Volatility Index (^VIX) come from Yahoo Finance. The effective federal funds rate (FRED series DFF) and Federal Reserve total assets (FRED series WALCL), used as a proxy for the Fed balance sheet, come from the Federal Reserve Economic Data (FRED) service. All series are aligned to a Friday-close weekly convention. For the daily federal funds rate, the weekly observation is the average of Monday through Friday values. For the WALCL series, which is released on Thursdays, the Thursday value is used for the week ending the following Friday. Two additional series are </w:t>
      </w:r>
      <w:r w:rsidRPr="00870023">
        <w:rPr>
          <w:lang w:val="et-EE"/>
        </w:rPr>
        <w:lastRenderedPageBreak/>
        <w:t>collected for robustness checks described in Section 2.3. The M2 money stock (FRED series M2SL), reported monthly, is forward-filled to weekly frequency before computing log growth rates and serves as an alternative liquidity proxy (Sarker and Wang, 2022). For the multi-cryptocurrency panel, weekly Friday-close prices for Ethereum (ETH-USD), Ripple (XRP-USD), Litecoin (LTC-USD), and Binance Coin (BNB-USD) are obtained from Yahoo Finance and converted to log returns the same way as Bitcoin. The resulting panel is unbalanced since Litecoin data start in July 2014, while Ethereum, Ripple, and Binance Coin enter in November 2017</w:t>
      </w:r>
      <w:r w:rsidR="005F4644" w:rsidRPr="005F4644">
        <w:rPr>
          <w:lang w:val="et-EE"/>
        </w:rPr>
        <w:t>.</w:t>
      </w:r>
    </w:p>
    <w:p w14:paraId="14E39CE4" w14:textId="77777777" w:rsidR="005F4644" w:rsidRPr="007A5E79" w:rsidRDefault="005F4644" w:rsidP="00025A6F">
      <w:pPr>
        <w:pStyle w:val="Tavatekst"/>
        <w:rPr>
          <w:lang w:eastAsia="et-EE" w:bidi="ar-SA"/>
        </w:rPr>
      </w:pPr>
    </w:p>
    <w:p w14:paraId="4EC83815" w14:textId="782E90DB" w:rsidR="005F4644" w:rsidRDefault="00870023" w:rsidP="00025A6F">
      <w:pPr>
        <w:pStyle w:val="Tavatekst"/>
      </w:pPr>
      <w:r w:rsidRPr="00870023">
        <w:t>The full sample spans July 2014 to March 2026, giving 598 usable weekly observations after dropping the first one, which is used for the lagged Bitcoin return. July 2014 is the earliest point with reliable weekly Bitcoin price data on Yahoo Finance. Earlier data is sparse and affected by the exchange infrastructure problems of 2011 to 2013. March 2026 is the latest observation available at the time of writing. For the sub-sample robustness check in Model 2, the pre-ETF period runs from October 2014 through 5 January 2024 (n=484) and the post-ETF period from 12 January 2024 through 13 March 2026 (n=114).</w:t>
      </w:r>
    </w:p>
    <w:p w14:paraId="7471EA7C" w14:textId="77777777" w:rsidR="00870023" w:rsidRPr="007A5E79" w:rsidRDefault="00870023" w:rsidP="00025A6F">
      <w:pPr>
        <w:pStyle w:val="Tavatekst"/>
      </w:pPr>
    </w:p>
    <w:p w14:paraId="440C8B80" w14:textId="09949975" w:rsidR="005F4644" w:rsidRPr="007A5E79" w:rsidRDefault="00870023" w:rsidP="00025A6F">
      <w:pPr>
        <w:pStyle w:val="Tavatekst"/>
      </w:pPr>
      <w:r w:rsidRPr="00870023">
        <w:t xml:space="preserve">Weekly frequency is chosen for both theoretical and practical reasons. Weekly data capture the medium-term policy dynamics relevant to the macro variables while avoiding the noise in daily Bitcoin data, where bid-ask spreads and the 24/7 trading schedule introduce autocorrelation patterns unrelated to macroeconomic conditions. This is consistent with Karau (2023) and Ma et al. (2022), who also use weekly or higher-frequency data. Monthly data would reduce noise further but would leave only about 26 post-ETF observations, which is not enough for reliable estimation. A monthly robustness replication with n=137 observations and HAC </w:t>
      </w:r>
      <w:proofErr w:type="spellStart"/>
      <w:r w:rsidRPr="00870023">
        <w:t>maxlags</w:t>
      </w:r>
      <w:proofErr w:type="spellEnd"/>
      <w:r w:rsidRPr="00870023">
        <w:t xml:space="preserve"> of 3 is reported alongside the weekly results as a supplementary check</w:t>
      </w:r>
      <w:r w:rsidR="005F4644" w:rsidRPr="005F4644">
        <w:t>.</w:t>
      </w:r>
    </w:p>
    <w:p w14:paraId="126F3A5D" w14:textId="138849F4" w:rsidR="005F4644" w:rsidRPr="005F4644" w:rsidRDefault="005F4644" w:rsidP="005F4644">
      <w:pPr>
        <w:pStyle w:val="Pealkiri2"/>
      </w:pPr>
      <w:bookmarkStart w:id="10" w:name="_Toc225345693"/>
      <w:r w:rsidRPr="00D06A13">
        <w:rPr>
          <w:lang w:val="et-EE"/>
        </w:rPr>
        <w:t>2.</w:t>
      </w:r>
      <w:r w:rsidRPr="005F4644">
        <w:t>2</w:t>
      </w:r>
      <w:r w:rsidR="00432381">
        <w:t>.</w:t>
      </w:r>
      <w:r w:rsidRPr="00D06A13">
        <w:rPr>
          <w:lang w:val="et-EE"/>
        </w:rPr>
        <w:t xml:space="preserve"> </w:t>
      </w:r>
      <w:r w:rsidRPr="005F4644">
        <w:rPr>
          <w:lang w:val="et-EE"/>
        </w:rPr>
        <w:t>Variable Construction</w:t>
      </w:r>
      <w:bookmarkEnd w:id="10"/>
    </w:p>
    <w:p w14:paraId="37355339" w14:textId="1D62D0C3" w:rsidR="005F4644" w:rsidRPr="007A5E79" w:rsidRDefault="00870023" w:rsidP="005F4644">
      <w:r w:rsidRPr="00870023">
        <w:t>The dependent variable, R_BTC, is the weekly log return of Bitcoin, calculated as the natural logarithm of the ratio of the Friday-close price in week t to the Friday-close price in week t-1</w:t>
      </w:r>
      <w:r w:rsidR="005F4644" w:rsidRPr="005F4644">
        <w:t>:</w:t>
      </w:r>
    </w:p>
    <w:p w14:paraId="63969DE0" w14:textId="73BB0E14" w:rsidR="005F4644" w:rsidRPr="005F4644" w:rsidRDefault="00000000" w:rsidP="005F4644">
      <w:pPr>
        <w:rPr>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BT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d>
                            <m:dPr>
                              <m:begChr m:val="{"/>
                              <m:endChr m:val="}"/>
                              <m:ctrlPr>
                                <w:rPr>
                                  <w:rFonts w:ascii="Cambria Math" w:hAnsi="Cambria Math"/>
                                  <w:lang w:val="ru-RU"/>
                                </w:rPr>
                              </m:ctrlPr>
                            </m:dPr>
                            <m:e>
                              <m:r>
                                <w:rPr>
                                  <w:rFonts w:ascii="Cambria Math" w:hAnsi="Cambria Math"/>
                                  <w:lang w:val="ru-RU"/>
                                </w:rPr>
                                <m:t>t-1</m:t>
                              </m:r>
                              <m:ctrlPr>
                                <w:rPr>
                                  <w:rFonts w:ascii="Cambria Math" w:hAnsi="Cambria Math"/>
                                  <w:i/>
                                  <w:lang w:val="ru-RU"/>
                                </w:rPr>
                              </m:ctrlPr>
                            </m:e>
                          </m:d>
                        </m:sub>
                      </m:sSub>
                      <m:ctrlPr>
                        <w:rPr>
                          <w:rFonts w:ascii="Cambria Math" w:hAnsi="Cambria Math"/>
                          <w:i/>
                          <w:lang w:val="ru-RU"/>
                        </w:rPr>
                      </m:ctrlPr>
                    </m:den>
                  </m:f>
                  <m:ctrlPr>
                    <w:rPr>
                      <w:rFonts w:ascii="Cambria Math" w:hAnsi="Cambria Math"/>
                      <w:i/>
                      <w:lang w:val="ru-RU"/>
                    </w:rPr>
                  </m:ctrlPr>
                </m:e>
              </m:d>
            </m:e>
          </m:func>
        </m:oMath>
      </m:oMathPara>
    </w:p>
    <w:p w14:paraId="1D073887" w14:textId="39104BC4" w:rsidR="00870023" w:rsidRDefault="00870023" w:rsidP="00025A6F">
      <w:pPr>
        <w:pStyle w:val="Tavatekst"/>
      </w:pPr>
      <w:r w:rsidRPr="00870023">
        <w:t xml:space="preserve">Log returns are standard in financial econometrics because they allow continuous compounding and produce approximate stationarity in an otherwise trending price series. Over the full 598-week </w:t>
      </w:r>
      <w:r w:rsidRPr="00870023">
        <w:lastRenderedPageBreak/>
        <w:t>sample, R_BTC has a mean of 0.0086, a standard deviation of 0.0917, and an excess kurtosis of 3.10, confirming the fat-tailed distribution typical of financial returns. Table 2.1 presents descriptive statistics for all variables. Figure 2.1 plots the full time series of weekly Bitcoin log returns with halving dates and the post-ETF period highlighted</w:t>
      </w:r>
      <w:r w:rsidR="00785359" w:rsidRPr="00785359">
        <w:t>.</w:t>
      </w:r>
    </w:p>
    <w:p w14:paraId="6B5D8D1A" w14:textId="407CEC76" w:rsidR="002C3DD6" w:rsidRPr="008E0969" w:rsidRDefault="007F4FCD" w:rsidP="007F4FCD">
      <w:pPr>
        <w:pStyle w:val="Tavatekst"/>
      </w:pPr>
      <w:r>
        <w:rPr>
          <w:noProof/>
        </w:rPr>
        <w:drawing>
          <wp:inline distT="0" distB="0" distL="0" distR="0" wp14:anchorId="1FC3157E" wp14:editId="7B21BCE9">
            <wp:extent cx="6000801" cy="1795145"/>
            <wp:effectExtent l="0" t="0" r="0" b="0"/>
            <wp:docPr id="18256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6597" name="Picture 18256565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1091" cy="1819164"/>
                    </a:xfrm>
                    <a:prstGeom prst="rect">
                      <a:avLst/>
                    </a:prstGeom>
                  </pic:spPr>
                </pic:pic>
              </a:graphicData>
            </a:graphic>
          </wp:inline>
        </w:drawing>
      </w:r>
      <w:r w:rsidR="00FB55D8">
        <w:t>Table</w:t>
      </w:r>
      <w:r w:rsidR="002C3DD6" w:rsidRPr="008E0969">
        <w:t xml:space="preserve"> </w:t>
      </w:r>
      <w:r w:rsidR="00FB55D8">
        <w:t>2</w:t>
      </w:r>
      <w:r w:rsidR="002C3DD6" w:rsidRPr="008E0969">
        <w:t>.</w:t>
      </w:r>
      <w:r w:rsidR="00FB55D8">
        <w:t>1</w:t>
      </w:r>
      <w:r w:rsidR="00432381">
        <w:t>.</w:t>
      </w:r>
      <w:r w:rsidR="002C3DD6" w:rsidRPr="008E0969">
        <w:t xml:space="preserve"> </w:t>
      </w:r>
      <w:r w:rsidR="00FB55D8">
        <w:t xml:space="preserve">Descriptive </w:t>
      </w:r>
      <w:r>
        <w:t>Statistics for All Model Variables (n=598).</w:t>
      </w:r>
    </w:p>
    <w:p w14:paraId="38B51C7B" w14:textId="749E9748" w:rsidR="00CD3345" w:rsidRDefault="00CE2C17" w:rsidP="00785359">
      <w:pPr>
        <w:pStyle w:val="Tabelijooniseallikasmrkus"/>
        <w:spacing w:line="360" w:lineRule="auto"/>
      </w:pPr>
      <w:r>
        <w:t>Source</w:t>
      </w:r>
      <w:r w:rsidR="00CD3345" w:rsidRPr="008E0969">
        <w:t xml:space="preserve">: </w:t>
      </w:r>
      <w:r w:rsidR="007F4FCD">
        <w:t>Author’s calculations.</w:t>
      </w:r>
    </w:p>
    <w:p w14:paraId="24EFB8C0" w14:textId="781B43C4" w:rsidR="00785359" w:rsidRDefault="00785359" w:rsidP="00785359">
      <w:pPr>
        <w:pStyle w:val="Tabelijooniseallikasmrkus"/>
        <w:spacing w:after="0" w:line="360" w:lineRule="auto"/>
      </w:pPr>
      <w:r>
        <w:rPr>
          <w:noProof/>
        </w:rPr>
        <w:drawing>
          <wp:inline distT="0" distB="0" distL="0" distR="0" wp14:anchorId="3288700C" wp14:editId="182C6B6C">
            <wp:extent cx="5939790" cy="1979930"/>
            <wp:effectExtent l="0" t="0" r="3810" b="1270"/>
            <wp:docPr id="970659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9537" name="Picture 9706595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19C2B45" w14:textId="723D9B54" w:rsidR="00785359" w:rsidRPr="008E0969" w:rsidRDefault="007F66FE" w:rsidP="00785359">
      <w:pPr>
        <w:pStyle w:val="Tavatekst"/>
      </w:pPr>
      <w:r>
        <w:t>Figure</w:t>
      </w:r>
      <w:r w:rsidR="00785359" w:rsidRPr="008E0969">
        <w:t xml:space="preserve"> </w:t>
      </w:r>
      <w:r w:rsidR="00785359">
        <w:t>2</w:t>
      </w:r>
      <w:r w:rsidR="00785359" w:rsidRPr="008E0969">
        <w:t>.</w:t>
      </w:r>
      <w:r w:rsidR="00785359">
        <w:t>1</w:t>
      </w:r>
      <w:r w:rsidR="00432381">
        <w:t>.</w:t>
      </w:r>
      <w:r w:rsidR="00785359" w:rsidRPr="008E0969">
        <w:t xml:space="preserve"> </w:t>
      </w:r>
      <w:r w:rsidRPr="007F66FE">
        <w:t>Bitcoin Weekly Log-Returns (2014–2025).</w:t>
      </w:r>
    </w:p>
    <w:p w14:paraId="7A841793" w14:textId="77777777" w:rsidR="00785359" w:rsidRDefault="00785359" w:rsidP="00785359">
      <w:pPr>
        <w:pStyle w:val="Tabelijooniseallikasmrkus"/>
        <w:spacing w:line="360" w:lineRule="auto"/>
      </w:pPr>
      <w:r>
        <w:t>Source</w:t>
      </w:r>
      <w:r w:rsidRPr="008E0969">
        <w:t xml:space="preserve">: </w:t>
      </w:r>
      <w:r>
        <w:t>Author’s calculations.</w:t>
      </w:r>
    </w:p>
    <w:p w14:paraId="645DA4BC" w14:textId="2EC29969" w:rsidR="007F4FCD" w:rsidRDefault="007F4FCD" w:rsidP="00785359">
      <w:pPr>
        <w:pStyle w:val="Tabelijooniseallikasmrkus"/>
        <w:spacing w:line="360" w:lineRule="auto"/>
      </w:pPr>
      <w:r w:rsidRPr="007F4FCD">
        <w:t>The macroeconomic explanatory variables are constructed as first differences of their underlying level series to ensure stationarity, consistent with the variable definitions in Karau (2023) and Ma et al. (2022). The change in the effective federal funds rate, dFedRate, is the weekly first difference of the federal funds rate measured in percentage points. This construction captures active monetary policy tightening or easing signals at weekly resolution. The change in the Fed balance sheet, dFedBS, is the weekly log return of total Federal Reserve assets, computed as</w:t>
      </w:r>
      <w:r>
        <w:t xml:space="preserve"> below:</w:t>
      </w:r>
    </w:p>
    <w:p w14:paraId="6F1608BD" w14:textId="12C35494" w:rsidR="007F4FCD" w:rsidRDefault="00087F84" w:rsidP="007F4FCD">
      <w:pPr>
        <w:pStyle w:val="Tabelijooniseallikasmrkus"/>
        <w:spacing w:line="360" w:lineRule="auto"/>
        <w:jc w:val="center"/>
      </w:pPr>
      <m:oMathPara>
        <m:oMath>
          <m:r>
            <m:rPr>
              <m:sty m:val="p"/>
            </m:rPr>
            <w:rPr>
              <w:rFonts w:ascii="Cambria Math" w:hAnsi="Cambria Math"/>
            </w:rPr>
            <m:t>ln</m:t>
          </m:r>
          <m:d>
            <m:dPr>
              <m:ctrlPr>
                <w:rPr>
                  <w:rFonts w:ascii="Cambria Math" w:hAnsi="Cambria Math"/>
                </w:rPr>
              </m:ctrlPr>
            </m:dPr>
            <m:e>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m:t>
                  </m:r>
                </m:sub>
              </m:sSub>
              <m:r>
                <m:rPr>
                  <m:lit/>
                </m:rPr>
                <w:rPr>
                  <w:rFonts w:ascii="Cambria Math" w:hAnsi="Cambria Math"/>
                </w:rPr>
                <m:t>/</m:t>
              </m:r>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t-1</m:t>
                  </m:r>
                </m:sub>
              </m:sSub>
              <m:ctrlPr>
                <w:rPr>
                  <w:rFonts w:ascii="Cambria Math" w:hAnsi="Cambria Math"/>
                  <w:i/>
                </w:rPr>
              </m:ctrlPr>
            </m:e>
          </m:d>
        </m:oMath>
      </m:oMathPara>
    </w:p>
    <w:p w14:paraId="52BFBADC" w14:textId="60426B2A" w:rsidR="007F4FCD" w:rsidRDefault="007F4FCD" w:rsidP="007F4FCD">
      <w:pPr>
        <w:pStyle w:val="Tabelijooniseallikasmrkus"/>
        <w:spacing w:line="360" w:lineRule="auto"/>
        <w:jc w:val="both"/>
      </w:pPr>
      <w:r>
        <w:lastRenderedPageBreak/>
        <w:t>L</w:t>
      </w:r>
      <w:r w:rsidRPr="007F4FCD">
        <w:t>og differences are preferred over simple first differences for balance sheet changes to ensure proportional interpretation of expansion and contraction episodes of different magnitudes, following the approach in Zhao et al. (2023).</w:t>
      </w:r>
    </w:p>
    <w:p w14:paraId="10A6A205" w14:textId="291A5190" w:rsidR="00044930" w:rsidRDefault="00870023" w:rsidP="007F4FCD">
      <w:pPr>
        <w:pStyle w:val="Tabelijooniseallikasmrkus"/>
        <w:spacing w:line="360" w:lineRule="auto"/>
        <w:jc w:val="both"/>
      </w:pPr>
      <w:r w:rsidRPr="00870023">
        <w:t xml:space="preserve">Two binary dummy variables define the regime structure. PostETF equals 1 for all observations on or after 10 January 2024, the week of the SEC spot ETF approval, and 0 otherwise. This breakpoint is supported by evidence that spot ETFs became the dominant price formation venue from that date (Mohamad, 2025; Kia et al., 2025). </w:t>
      </w:r>
      <w:proofErr w:type="spellStart"/>
      <w:r w:rsidRPr="00870023">
        <w:t>HalvingWindow</w:t>
      </w:r>
      <w:proofErr w:type="spellEnd"/>
      <w:r w:rsidRPr="00870023">
        <w:t xml:space="preserve"> equals 1 for any week within the 18-month window after a Bitcoin halving and 0 otherwise. The three halvings in the sample are 9 July 2016, 11 May 2020, and 19 April 2024. The November 2012 halving is before the sample and excluded. The 18-month window is based on the halving literature, which finds that post-halving price appreciation typically concentrates within 12 to 18 months of the event (Lashkaripour, 2024; Fabus et al., 2024). Figure 2.2 shows the </w:t>
      </w:r>
      <w:proofErr w:type="spellStart"/>
      <w:r w:rsidRPr="00870023">
        <w:t>HalvingWindow</w:t>
      </w:r>
      <w:proofErr w:type="spellEnd"/>
      <w:r w:rsidRPr="00870023">
        <w:t xml:space="preserve"> and PostETF periods overlaid on Bitcoin returns</w:t>
      </w:r>
      <w:r w:rsidR="00044930" w:rsidRPr="00044930">
        <w:t>.</w:t>
      </w:r>
    </w:p>
    <w:p w14:paraId="77016E53" w14:textId="4A0885E9" w:rsidR="00044930" w:rsidRDefault="00044930" w:rsidP="005133DB">
      <w:pPr>
        <w:pStyle w:val="BodyText1"/>
      </w:pPr>
      <w:r>
        <w:rPr>
          <w:noProof/>
        </w:rPr>
        <w:drawing>
          <wp:inline distT="0" distB="0" distL="0" distR="0" wp14:anchorId="44060BD1" wp14:editId="7A2C7FB6">
            <wp:extent cx="5939790" cy="1979930"/>
            <wp:effectExtent l="0" t="0" r="3810" b="1270"/>
            <wp:docPr id="14449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5767" name="Picture 14449357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E69FA9D" w14:textId="7F26A8BB" w:rsidR="00044930" w:rsidRPr="008E0969" w:rsidRDefault="007F66FE" w:rsidP="005133DB">
      <w:pPr>
        <w:pStyle w:val="BodyText1"/>
      </w:pPr>
      <w:r>
        <w:t>Figure</w:t>
      </w:r>
      <w:r w:rsidR="00044930" w:rsidRPr="008E0969">
        <w:t xml:space="preserve"> </w:t>
      </w:r>
      <w:r w:rsidR="00044930">
        <w:t>2</w:t>
      </w:r>
      <w:r w:rsidR="00044930" w:rsidRPr="008E0969">
        <w:t>.</w:t>
      </w:r>
      <w:r w:rsidR="00044930">
        <w:t>2</w:t>
      </w:r>
      <w:r w:rsidR="00432381">
        <w:t>.</w:t>
      </w:r>
      <w:r w:rsidR="00044930" w:rsidRPr="008E0969">
        <w:t xml:space="preserve"> </w:t>
      </w:r>
      <w:r w:rsidR="00044930">
        <w:t>BTC Returns with HalvingWindow and PostETF Periods.</w:t>
      </w:r>
    </w:p>
    <w:p w14:paraId="58A9EECC" w14:textId="0A3AF642" w:rsidR="005133DB" w:rsidRDefault="00044930" w:rsidP="005133DB">
      <w:pPr>
        <w:pStyle w:val="BodyText1"/>
      </w:pPr>
      <w:r>
        <w:t>Source</w:t>
      </w:r>
      <w:r w:rsidRPr="008E0969">
        <w:t xml:space="preserve">: </w:t>
      </w:r>
      <w:r>
        <w:t>Author’s calculations.</w:t>
      </w:r>
    </w:p>
    <w:p w14:paraId="480B3D5B" w14:textId="77777777" w:rsidR="00432381" w:rsidRDefault="00432381" w:rsidP="005133DB">
      <w:pPr>
        <w:pStyle w:val="BodyText1"/>
      </w:pPr>
    </w:p>
    <w:p w14:paraId="278EB2DC" w14:textId="2DAE629F" w:rsidR="00087F84" w:rsidRDefault="00870023" w:rsidP="007F4FCD">
      <w:pPr>
        <w:pStyle w:val="Tabelijooniseallikasmrkus"/>
        <w:spacing w:line="360" w:lineRule="auto"/>
        <w:jc w:val="both"/>
      </w:pPr>
      <w:r w:rsidRPr="00870023">
        <w:t xml:space="preserve">Three interaction terms test whether relationships changed across regimes. </w:t>
      </w:r>
      <w:proofErr w:type="spellStart"/>
      <w:r w:rsidRPr="00870023">
        <w:t>FedRate_x_PostETF</w:t>
      </w:r>
      <w:proofErr w:type="spellEnd"/>
      <w:r w:rsidRPr="00870023">
        <w:t xml:space="preserve"> is </w:t>
      </w:r>
      <w:proofErr w:type="spellStart"/>
      <w:r w:rsidRPr="00870023">
        <w:t>dFedRate</w:t>
      </w:r>
      <w:proofErr w:type="spellEnd"/>
      <w:r w:rsidRPr="00870023">
        <w:t xml:space="preserve"> multiplied by PostETF. </w:t>
      </w:r>
      <w:proofErr w:type="spellStart"/>
      <w:r w:rsidRPr="00870023">
        <w:t>FedBS_x_PostETF</w:t>
      </w:r>
      <w:proofErr w:type="spellEnd"/>
      <w:r w:rsidRPr="00870023">
        <w:t xml:space="preserve"> is dFedBS multiplied by PostETF. Halving_x_PostETF is </w:t>
      </w:r>
      <w:proofErr w:type="spellStart"/>
      <w:r w:rsidRPr="00870023">
        <w:t>HalvingWindow</w:t>
      </w:r>
      <w:proofErr w:type="spellEnd"/>
      <w:r w:rsidRPr="00870023">
        <w:t xml:space="preserve"> multiplied by PostETF. These terms allow the relationship between each macro variable and Bitcoin returns to differ between the pre-ETF and post-ETF periods, directly testing H1 and H2</w:t>
      </w:r>
      <w:r w:rsidR="00087F84" w:rsidRPr="00087F84">
        <w:t>.</w:t>
      </w:r>
    </w:p>
    <w:p w14:paraId="29C28C3A" w14:textId="5DAA8EFF" w:rsidR="00087F84" w:rsidRDefault="00087F84" w:rsidP="007F4FCD">
      <w:pPr>
        <w:pStyle w:val="Tabelijooniseallikasmrkus"/>
        <w:spacing w:line="360" w:lineRule="auto"/>
        <w:jc w:val="both"/>
      </w:pPr>
      <w:r w:rsidRPr="00087F84">
        <w:t>Three control variables are included to absorb common variation in financial markets unrelated to the macro channels of interest. The S&amp;P 500 weekly log return, R_SP500, is computed as</w:t>
      </w:r>
      <w:r>
        <w:t>:</w:t>
      </w:r>
    </w:p>
    <w:p w14:paraId="2C160399" w14:textId="77777777" w:rsidR="00087F84" w:rsidRDefault="00087F84" w:rsidP="00087F84">
      <w:pPr>
        <w:pStyle w:val="Tabelijooniseallikasmrkus"/>
        <w:spacing w:line="360" w:lineRule="auto"/>
        <w:jc w:val="both"/>
      </w:pPr>
      <m:oMathPara>
        <m:oMath>
          <m:r>
            <m:rPr>
              <m:sty m:val="p"/>
            </m:rPr>
            <w:rPr>
              <w:rFonts w:ascii="Cambria Math" w:hAnsi="Cambria Math"/>
            </w:rPr>
            <w:lastRenderedPageBreak/>
            <m:t>ln</m:t>
          </m:r>
          <m:d>
            <m:dPr>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m:t>
                  </m:r>
                </m:sub>
              </m:sSub>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ctrlPr>
                <w:rPr>
                  <w:rFonts w:ascii="Cambria Math" w:hAnsi="Cambria Math"/>
                  <w:i/>
                </w:rPr>
              </m:ctrlPr>
            </m:e>
          </m:d>
        </m:oMath>
      </m:oMathPara>
    </w:p>
    <w:p w14:paraId="725B1447" w14:textId="6EBC3D59" w:rsidR="00087F84" w:rsidRDefault="00087F84" w:rsidP="00087F84">
      <w:pPr>
        <w:pStyle w:val="Tabelijooniseallikasmrkus"/>
        <w:spacing w:line="360" w:lineRule="auto"/>
        <w:jc w:val="both"/>
      </w:pPr>
      <w:r w:rsidRPr="00087F84">
        <w:t xml:space="preserve">on the S&amp;P 500 Friday-close index level and controls for broad equity market risk sentiment. Including this control ensures that any detected change in macro coefficient magnitude in the post-ETF period is not simply a reflection of increased equity co-movement. The first difference of the VIX index, </w:t>
      </w:r>
      <m:oMath>
        <m:r>
          <m:rPr>
            <m:sty m:val="p"/>
          </m:rPr>
          <w:rPr>
            <w:rFonts w:ascii="Cambria Math" w:hAnsi="Cambria Math"/>
          </w:rPr>
          <m:t>dVIX</m:t>
        </m:r>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t-1</m:t>
            </m:r>
          </m:sub>
        </m:sSub>
      </m:oMath>
      <w:r w:rsidRPr="00087F84">
        <w:t xml:space="preserve">, controls for week-to-week changes in aggregate investor risk aversion, consistent with the VIX variable used in Choi and Shin (2022) and Hernandez et al. (2023). The one-period lagged Bitcoin log return,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Pr="00087F84">
        <w:t xml:space="preserve"> controls for first-order autocorrelation in the dependent variable and any momentum effects documented in the crypto return literature (Liu et al., 2022).</w:t>
      </w:r>
      <w:r w:rsidR="00481FF9">
        <w:t xml:space="preserve"> </w:t>
      </w:r>
      <w:r w:rsidR="00481FF9" w:rsidRPr="00481FF9">
        <w:t>Figure 2.2 visualises the HalvingWindow and PostETF regime periods overlaid on Bitcoin returns.</w:t>
      </w:r>
    </w:p>
    <w:p w14:paraId="4A70DAC3" w14:textId="1F4FD3EA" w:rsidR="00481FF9" w:rsidRDefault="00481FF9" w:rsidP="007F66FE">
      <w:pPr>
        <w:pStyle w:val="Tabelijooniseallikasmrkus"/>
        <w:spacing w:after="0" w:line="360" w:lineRule="auto"/>
        <w:jc w:val="both"/>
      </w:pPr>
      <w:r>
        <w:rPr>
          <w:noProof/>
        </w:rPr>
        <w:drawing>
          <wp:inline distT="0" distB="0" distL="0" distR="0" wp14:anchorId="54817C57" wp14:editId="504454C0">
            <wp:extent cx="5939790" cy="1979930"/>
            <wp:effectExtent l="0" t="0" r="3810" b="1270"/>
            <wp:docPr id="1565255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55713" name="Picture 15652557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00B43D59" w14:textId="16834DBC" w:rsidR="007F66FE" w:rsidRPr="008E0969" w:rsidRDefault="007F66FE" w:rsidP="005133DB">
      <w:pPr>
        <w:pStyle w:val="BodyText1"/>
      </w:pPr>
      <w:r>
        <w:t>Figure</w:t>
      </w:r>
      <w:r w:rsidRPr="008E0969">
        <w:t xml:space="preserve"> </w:t>
      </w:r>
      <w:r>
        <w:t>2</w:t>
      </w:r>
      <w:r w:rsidRPr="008E0969">
        <w:t>.</w:t>
      </w:r>
      <w:r>
        <w:t>3</w:t>
      </w:r>
      <w:r w:rsidRPr="008E0969">
        <w:t xml:space="preserve"> </w:t>
      </w:r>
      <w:r w:rsidRPr="007F66FE">
        <w:t>Rolling 52-Week Correlation: R_BTC vs R_SP500.</w:t>
      </w:r>
    </w:p>
    <w:p w14:paraId="77F9AF23" w14:textId="1305F5E8" w:rsidR="005133DB" w:rsidRDefault="007F66FE" w:rsidP="005133DB">
      <w:pPr>
        <w:pStyle w:val="BodyText1"/>
      </w:pPr>
      <w:r>
        <w:t>Source</w:t>
      </w:r>
      <w:r w:rsidRPr="008E0969">
        <w:t xml:space="preserve">: </w:t>
      </w:r>
      <w:r>
        <w:t>Author’s calculations.</w:t>
      </w:r>
    </w:p>
    <w:p w14:paraId="1CD7B148" w14:textId="77777777" w:rsidR="00432381" w:rsidRDefault="00432381" w:rsidP="005133DB">
      <w:pPr>
        <w:pStyle w:val="BodyText1"/>
      </w:pPr>
    </w:p>
    <w:p w14:paraId="0FFB9701" w14:textId="3C4DAB3F" w:rsidR="004A1020" w:rsidRDefault="00087F84" w:rsidP="004A1020">
      <w:pPr>
        <w:pStyle w:val="Tabelijooniseallikasmrkus"/>
        <w:spacing w:line="360" w:lineRule="auto"/>
        <w:jc w:val="both"/>
      </w:pPr>
      <w:r w:rsidRPr="00087F84">
        <w:t xml:space="preserve">For the M2 robustness specification, the log growth rate of the M2 money stock, </w:t>
      </w:r>
      <m:oMath>
        <m:r>
          <w:rPr>
            <w:rFonts w:ascii="Cambria Math" w:hAnsi="Cambria Math"/>
          </w:rPr>
          <m:t>dM2=ln</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m:t>
                </m:r>
              </m:sub>
            </m:sSub>
            <m:r>
              <m:rPr>
                <m:lit/>
              </m:rPr>
              <w:rPr>
                <w:rFonts w:ascii="Cambria Math" w:hAnsi="Cambria Math"/>
              </w:rPr>
              <m:t>/</m:t>
            </m:r>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t-1</m:t>
                </m:r>
              </m:sub>
            </m:sSub>
          </m:e>
        </m:d>
      </m:oMath>
      <w:r w:rsidRPr="00087F84">
        <w:t>, is added as an additional control variable. M2 captures broad monetary liquidity conditions beyond the Fed balance sheet and has been shown to co-move with Bitcoin prices at medium-term horizons (Sarker and Wang, 2022). Because M2SL is reported at monthly frequency and forward filled to weekly observations, dM2 is non-zero only when a new monthly observation enters the weekly series.</w:t>
      </w:r>
    </w:p>
    <w:p w14:paraId="58440581" w14:textId="4EFFF4BC" w:rsidR="007A5E79" w:rsidRDefault="004A1020" w:rsidP="004A1020">
      <w:pPr>
        <w:pStyle w:val="Pealkiri2"/>
      </w:pPr>
      <w:bookmarkStart w:id="11" w:name="_Toc225345694"/>
      <w:r>
        <w:lastRenderedPageBreak/>
        <w:t>2.3</w:t>
      </w:r>
      <w:r w:rsidR="00432381">
        <w:t>.</w:t>
      </w:r>
      <w:r>
        <w:t xml:space="preserve"> Model Specification</w:t>
      </w:r>
      <w:bookmarkEnd w:id="11"/>
    </w:p>
    <w:p w14:paraId="470B9F30" w14:textId="77777777" w:rsidR="007A5E79" w:rsidRDefault="007A5E79" w:rsidP="007A5E79">
      <w:pPr>
        <w:pStyle w:val="BodyText1"/>
      </w:pPr>
      <w:r w:rsidRPr="007A5E79">
        <w:t>The primary empirical specification is ordinary least squares regression estimated over the full 598-week sample. Model 1 is the full-sample interaction model:</w:t>
      </w:r>
    </w:p>
    <w:p w14:paraId="7E653345" w14:textId="5DB16572" w:rsidR="007A5E79" w:rsidRDefault="007A5E79" w:rsidP="007A5E79">
      <w:pPr>
        <w:pStyle w:val="BodyText1"/>
      </w:pPr>
      <w:r>
        <w:rPr>
          <w:noProof/>
        </w:rPr>
        <w:drawing>
          <wp:inline distT="0" distB="0" distL="0" distR="0" wp14:anchorId="798DBB00" wp14:editId="7B52D929">
            <wp:extent cx="5801954" cy="1711757"/>
            <wp:effectExtent l="0" t="0" r="0" b="3175"/>
            <wp:docPr id="115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1593" name="Picture 1152931593"/>
                    <pic:cNvPicPr/>
                  </pic:nvPicPr>
                  <pic:blipFill rotWithShape="1">
                    <a:blip r:embed="rId18">
                      <a:extLst>
                        <a:ext uri="{28A0092B-C50C-407E-A947-70E740481C1C}">
                          <a14:useLocalDpi xmlns:a14="http://schemas.microsoft.com/office/drawing/2010/main" val="0"/>
                        </a:ext>
                      </a:extLst>
                    </a:blip>
                    <a:srcRect l="370" t="3292" r="20318" b="7405"/>
                    <a:stretch>
                      <a:fillRect/>
                    </a:stretch>
                  </pic:blipFill>
                  <pic:spPr bwMode="auto">
                    <a:xfrm>
                      <a:off x="0" y="0"/>
                      <a:ext cx="5821872" cy="1717633"/>
                    </a:xfrm>
                    <a:prstGeom prst="rect">
                      <a:avLst/>
                    </a:prstGeom>
                    <a:ln>
                      <a:noFill/>
                    </a:ln>
                    <a:extLst>
                      <a:ext uri="{53640926-AAD7-44D8-BBD7-CCE9431645EC}">
                        <a14:shadowObscured xmlns:a14="http://schemas.microsoft.com/office/drawing/2010/main"/>
                      </a:ext>
                    </a:extLst>
                  </pic:spPr>
                </pic:pic>
              </a:graphicData>
            </a:graphic>
          </wp:inline>
        </w:drawing>
      </w:r>
    </w:p>
    <w:p w14:paraId="1BCF1D49" w14:textId="23EDBEB7" w:rsidR="007A5E79" w:rsidRDefault="00870023" w:rsidP="007A5E79">
      <w:pPr>
        <w:pStyle w:val="BodyText1"/>
      </w:pPr>
      <w:r w:rsidRPr="00870023">
        <w:t>The baseline coefficients beta_1 and beta_2 capture the association between monetary policy changes and Bitcoin returns in the pre-ETF period (when PostETF = 0). Based on the literature in Chapter 1, beta_1 is expected to be negative since rate tightening hurts risk assets including Bitcoin (Karau, 2023; Ma et al., 2022). Beta_2 is expected to be positive, reflecting that Fed balance sheet expansion has historically supported Bitcoin through the liquidity channel (Zhao et al., 2023; Gu et al., 2021). The halving coefficient beta_3 is expected to be positive, capturing the historically documented post-halving price appreciation (Fabus et al., 2024; Lashkaripour, 2024). The PostETF dummy beta_4 captures any shift in average weekly Bitcoin returns in the post-ETF period after controlling for macro conditions, with no directional expectation</w:t>
      </w:r>
      <w:r w:rsidR="007A5E79" w:rsidRPr="007A5E79">
        <w:t>.</w:t>
      </w:r>
    </w:p>
    <w:p w14:paraId="146D9BCE" w14:textId="77777777" w:rsidR="007A5E79" w:rsidRDefault="007A5E79" w:rsidP="007A5E79">
      <w:pPr>
        <w:pStyle w:val="BodyText1"/>
      </w:pPr>
    </w:p>
    <w:p w14:paraId="12C80ABD" w14:textId="54D5A39E" w:rsidR="007A5E79" w:rsidRDefault="00870023" w:rsidP="007A5E79">
      <w:pPr>
        <w:pStyle w:val="BodyText1"/>
      </w:pPr>
      <w:r w:rsidRPr="00870023">
        <w:t xml:space="preserve">The interaction coefficients are the </w:t>
      </w:r>
      <w:proofErr w:type="gramStart"/>
      <w:r w:rsidRPr="00870023">
        <w:t>main focus</w:t>
      </w:r>
      <w:proofErr w:type="gramEnd"/>
      <w:r w:rsidRPr="00870023">
        <w:t xml:space="preserve"> for testing both hypotheses. H1 is tested through beta_5 and beta_6. If the ETF approval strengthened macro sensitivity, beta_5 should be negative (amplifying the tightening effect</w:t>
      </w:r>
      <w:proofErr w:type="gramStart"/>
      <w:r w:rsidRPr="00870023">
        <w:t>)</w:t>
      </w:r>
      <w:proofErr w:type="gramEnd"/>
      <w:r w:rsidRPr="00870023">
        <w:t xml:space="preserve"> and beta_6 should be positive (amplifying the liquidity effect) relative to the pre-ETF baseline. H2 is tested through beta_7. If the halving effect weakened after institutional adoption, beta_7 should be negative so that the total post-ETF halving effect (beta_3 + beta_7) is smaller or insignificant compared to the baseline beta_3</w:t>
      </w:r>
      <w:r w:rsidR="007A5E79" w:rsidRPr="007A5E79">
        <w:t>.</w:t>
      </w:r>
    </w:p>
    <w:p w14:paraId="737F6742" w14:textId="77777777" w:rsidR="007A5E79" w:rsidRDefault="007A5E79" w:rsidP="007A5E79">
      <w:pPr>
        <w:pStyle w:val="BodyText1"/>
      </w:pPr>
    </w:p>
    <w:p w14:paraId="493A7DFF" w14:textId="5FFDA086" w:rsidR="007A5E79" w:rsidRDefault="00870023" w:rsidP="007A5E79">
      <w:pPr>
        <w:pStyle w:val="BodyText1"/>
      </w:pPr>
      <w:r w:rsidRPr="00870023">
        <w:t xml:space="preserve">For robustness, Model 2 estimates the specification without interaction terms separately on the pre-ETF (n=484) and post-ETF (n=114) sub-samples, letting all coefficients differ freely across regimes. Larger or more significant </w:t>
      </w:r>
      <w:proofErr w:type="spellStart"/>
      <w:r w:rsidRPr="00870023">
        <w:t>dFedRate</w:t>
      </w:r>
      <w:proofErr w:type="spellEnd"/>
      <w:r w:rsidRPr="00870023">
        <w:t xml:space="preserve"> and dFedBS coefficients in the post-ETF period would support H1, and a smaller or insignificant </w:t>
      </w:r>
      <w:proofErr w:type="spellStart"/>
      <w:r w:rsidRPr="00870023">
        <w:t>HalvingWindow</w:t>
      </w:r>
      <w:proofErr w:type="spellEnd"/>
      <w:r w:rsidRPr="00870023">
        <w:t xml:space="preserve"> in the post-ETF period would support H2. Since the post-ETF sub-sample has only 114 observations, Model 2 is treated as a </w:t>
      </w:r>
      <w:r w:rsidRPr="00870023">
        <w:lastRenderedPageBreak/>
        <w:t xml:space="preserve">directional robustness check rather than a primary test. A monthly replication of Model 1 with n=137 observations and HAC </w:t>
      </w:r>
      <w:proofErr w:type="spellStart"/>
      <w:r w:rsidRPr="00870023">
        <w:t>maxlags</w:t>
      </w:r>
      <w:proofErr w:type="spellEnd"/>
      <w:r w:rsidRPr="00870023">
        <w:t xml:space="preserve"> of 3 is also reported to check sensitivity to sampling frequency.</w:t>
      </w:r>
    </w:p>
    <w:p w14:paraId="4E424197" w14:textId="77777777" w:rsidR="007A5E79" w:rsidRDefault="007A5E79" w:rsidP="007A5E79">
      <w:pPr>
        <w:pStyle w:val="BodyText1"/>
      </w:pPr>
    </w:p>
    <w:p w14:paraId="61CBD0B4" w14:textId="3E22E85A" w:rsidR="007A5E79" w:rsidRDefault="00870023" w:rsidP="007A5E79">
      <w:pPr>
        <w:pStyle w:val="BodyText1"/>
      </w:pPr>
      <w:r w:rsidRPr="00870023">
        <w:t>Two further robustness checks are conducted. First, an M2 specification adds dM2 as a twelfth regressor to Model 1, giving a 587-observation sample (slightly smaller due to M2 data availability). This tests whether adding a broader monetary aggregate (Zhao et al., 2023; Gu et al., 2021; Sarker and Wang, 2022) changes the main coefficient estimates. If the core interaction coefficients remain stable after controlling for M2 growth, the main results are robust</w:t>
      </w:r>
      <w:r w:rsidR="007A5E79" w:rsidRPr="007A5E79">
        <w:t>.</w:t>
      </w:r>
    </w:p>
    <w:p w14:paraId="38E36D9B" w14:textId="77777777" w:rsidR="007A5E79" w:rsidRDefault="007A5E79" w:rsidP="007A5E79">
      <w:pPr>
        <w:pStyle w:val="BodyText1"/>
      </w:pPr>
    </w:p>
    <w:p w14:paraId="360A11DD" w14:textId="6CA4AC77" w:rsidR="007A5E79" w:rsidRDefault="00870023" w:rsidP="007A5E79">
      <w:pPr>
        <w:pStyle w:val="BodyText1"/>
      </w:pPr>
      <w:r w:rsidRPr="00870023">
        <w:t xml:space="preserve">Second, a multi-cryptocurrency panel extends Model 1 to five cryptocurrencies (Bitcoin, Ethereum, Ripple, Litecoin, and Binance Coin). The panel is in long format with </w:t>
      </w:r>
      <w:proofErr w:type="spellStart"/>
      <w:r w:rsidRPr="00870023">
        <w:t>R_crypto</w:t>
      </w:r>
      <w:proofErr w:type="spellEnd"/>
      <w:r w:rsidRPr="00870023">
        <w:t xml:space="preserve"> as the dependent variable. The same macro regressors and interaction terms are applied to all five assets. </w:t>
      </w:r>
      <w:proofErr w:type="spellStart"/>
      <w:r w:rsidRPr="00870023">
        <w:t>HalvingWindow</w:t>
      </w:r>
      <w:proofErr w:type="spellEnd"/>
      <w:r w:rsidRPr="00870023">
        <w:t xml:space="preserve"> uses Bitcoin's halving dates for all cryptocurrencies, reflecting the tendency of the broader crypto market to follow Bitcoin's supply cycle (Elsayed and Sousa, 2022). PostETF is set at 10 January 2024 for all assets. Each cryptocurrency's own lagged return replaces R_BTC_lag1, and four entity dummies capture fixed effects relative to Bitcoin as the reference (Wooldridge, 2010). The unbalanced panel has 2,496 observations, with Bitcoin and Litecoin contributing 597 each and the other three contributing 434 each. This gives substantially more statistical power and tests whether the halving premium and its post-ETF weakening are specific to Bitcoin or common across major cryptocurrencies</w:t>
      </w:r>
      <w:r w:rsidR="007A5E79" w:rsidRPr="007A5E79">
        <w:t>.</w:t>
      </w:r>
    </w:p>
    <w:p w14:paraId="11F4D64F" w14:textId="77777777" w:rsidR="007A5E79" w:rsidRDefault="007A5E79" w:rsidP="007A5E79">
      <w:pPr>
        <w:pStyle w:val="BodyText1"/>
      </w:pPr>
    </w:p>
    <w:p w14:paraId="78E52B77" w14:textId="0FF7AEEC" w:rsidR="00785359" w:rsidRPr="00151362" w:rsidRDefault="00870023" w:rsidP="007A5E79">
      <w:pPr>
        <w:pStyle w:val="BodyText1"/>
      </w:pPr>
      <w:r w:rsidRPr="00870023">
        <w:t>OLS is appropriate here because the dependent variable is a stationary log return series, the model is linear, and interaction terms with binary dummies are the standard way to test regime-dependent coefficients in financial econometrics (Karau, 2023; Ma et al., 2022; Hong et al., 2025). Stationarity of all continuous regressors is verified with ADF tests in the next section</w:t>
      </w:r>
      <w:r w:rsidR="007A5E79" w:rsidRPr="007A5E79">
        <w:t>.</w:t>
      </w:r>
    </w:p>
    <w:p w14:paraId="7D1BA5EC" w14:textId="77C801F4" w:rsidR="00785359" w:rsidRDefault="00785359" w:rsidP="00785359">
      <w:pPr>
        <w:pStyle w:val="Pealkiri2"/>
        <w:rPr>
          <w:lang w:val="et-EE"/>
        </w:rPr>
      </w:pPr>
      <w:bookmarkStart w:id="12" w:name="_Toc225345695"/>
      <w:r w:rsidRPr="00785359">
        <w:t>2</w:t>
      </w:r>
      <w:r>
        <w:rPr>
          <w:lang w:val="et-EE"/>
        </w:rPr>
        <w:t>.4</w:t>
      </w:r>
      <w:r w:rsidR="00432381">
        <w:rPr>
          <w:lang w:val="et-EE"/>
        </w:rPr>
        <w:t>.</w:t>
      </w:r>
      <w:r>
        <w:rPr>
          <w:lang w:val="et-EE"/>
        </w:rPr>
        <w:t xml:space="preserve"> Diagnostic Tests and Estimation Method</w:t>
      </w:r>
      <w:bookmarkEnd w:id="12"/>
    </w:p>
    <w:p w14:paraId="6BC1CA98" w14:textId="5B0E78BF" w:rsidR="005C1153" w:rsidRDefault="00870023" w:rsidP="005C1153">
      <w:pPr>
        <w:pStyle w:val="BodyText1"/>
        <w:rPr>
          <w:lang w:val="et-EE"/>
        </w:rPr>
      </w:pPr>
      <w:r w:rsidRPr="00870023">
        <w:rPr>
          <w:lang w:val="et-EE"/>
        </w:rPr>
        <w:t>Eight diagnostic tests are conducted to validate the estimation approach and justify the choice of standard errors</w:t>
      </w:r>
      <w:r w:rsidR="005C1153" w:rsidRPr="005C1153">
        <w:rPr>
          <w:lang w:val="et-EE"/>
        </w:rPr>
        <w:t>.</w:t>
      </w:r>
    </w:p>
    <w:p w14:paraId="58CB3051" w14:textId="77777777" w:rsidR="00870023" w:rsidRDefault="00870023" w:rsidP="005C1153">
      <w:pPr>
        <w:pStyle w:val="BodyText1"/>
        <w:rPr>
          <w:lang w:val="et-EE"/>
        </w:rPr>
      </w:pPr>
    </w:p>
    <w:p w14:paraId="0BADB419" w14:textId="21E2DCB4" w:rsidR="00870023" w:rsidRDefault="00870023" w:rsidP="005C1153">
      <w:pPr>
        <w:pStyle w:val="BodyText1"/>
        <w:rPr>
          <w:lang w:val="et-EE"/>
        </w:rPr>
      </w:pPr>
      <w:r w:rsidRPr="00870023">
        <w:rPr>
          <w:lang w:val="et-EE"/>
        </w:rPr>
        <w:lastRenderedPageBreak/>
        <w:t>Stationarity is tested using the Augmented Dickey-Fuller (ADF) test for all continuous regressors. The dummy variables PostETF and HalvingWindow do not need stationarity testing since they are bounded by design. R_BTC, R_SP500, and dVIX are all stationary at the 1% level, with ADF statistics of -22.71, -26.88, and -10.65. The Fed balance sheet change dFedBS is also stationary at the 1% level (ADF = -4.69). The federal funds rate change dFedRate has an ADF statistic of -2.60, which is marginally above the 5% critical value (-2.86) but below the 10% threshold. This is acceptable because the series is mostly zeros (long periods of no Fed action) with occasional discrete rate changes, and the first-difference construction follows Karau (2023) and Ma et al. (2022). The interaction terms FedRate_x_PostETF and FedBS_x_PostETF are stationary at the 1% level. Full ADF results are in Table 2.2</w:t>
      </w:r>
      <w:r w:rsidR="005C1153" w:rsidRPr="005C1153">
        <w:rPr>
          <w:lang w:val="et-EE"/>
        </w:rPr>
        <w:t>.</w:t>
      </w:r>
    </w:p>
    <w:p w14:paraId="776D7A15" w14:textId="396CCB18" w:rsidR="005C1153" w:rsidRDefault="009D1336" w:rsidP="005C1153">
      <w:pPr>
        <w:pStyle w:val="BodyText1"/>
        <w:rPr>
          <w:lang w:val="et-EE"/>
        </w:rPr>
      </w:pPr>
      <w:r>
        <w:rPr>
          <w:noProof/>
          <w:lang w:val="et-EE"/>
        </w:rPr>
        <w:drawing>
          <wp:inline distT="0" distB="0" distL="0" distR="0" wp14:anchorId="1DB820B4" wp14:editId="0B9AA9F9">
            <wp:extent cx="5939297" cy="2209191"/>
            <wp:effectExtent l="0" t="0" r="4445" b="635"/>
            <wp:docPr id="1285707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07947" name="Picture 1285707947"/>
                    <pic:cNvPicPr/>
                  </pic:nvPicPr>
                  <pic:blipFill rotWithShape="1">
                    <a:blip r:embed="rId19">
                      <a:extLst>
                        <a:ext uri="{28A0092B-C50C-407E-A947-70E740481C1C}">
                          <a14:useLocalDpi xmlns:a14="http://schemas.microsoft.com/office/drawing/2010/main" val="0"/>
                        </a:ext>
                      </a:extLst>
                    </a:blip>
                    <a:srcRect t="9223" b="8853"/>
                    <a:stretch>
                      <a:fillRect/>
                    </a:stretch>
                  </pic:blipFill>
                  <pic:spPr bwMode="auto">
                    <a:xfrm>
                      <a:off x="0" y="0"/>
                      <a:ext cx="5939790" cy="2209374"/>
                    </a:xfrm>
                    <a:prstGeom prst="rect">
                      <a:avLst/>
                    </a:prstGeom>
                    <a:ln>
                      <a:noFill/>
                    </a:ln>
                    <a:extLst>
                      <a:ext uri="{53640926-AAD7-44D8-BBD7-CCE9431645EC}">
                        <a14:shadowObscured xmlns:a14="http://schemas.microsoft.com/office/drawing/2010/main"/>
                      </a:ext>
                    </a:extLst>
                  </pic:spPr>
                </pic:pic>
              </a:graphicData>
            </a:graphic>
          </wp:inline>
        </w:drawing>
      </w:r>
    </w:p>
    <w:p w14:paraId="037632BE" w14:textId="29A22881" w:rsidR="009D1336" w:rsidRPr="008E0969" w:rsidRDefault="009D1336" w:rsidP="005133DB">
      <w:pPr>
        <w:pStyle w:val="BodyText1"/>
      </w:pPr>
      <w:r>
        <w:t xml:space="preserve">Table 2.2. </w:t>
      </w:r>
      <w:r w:rsidRPr="009D1336">
        <w:t>Augmented Dickey-Fuller Unit Root Test Results.</w:t>
      </w:r>
    </w:p>
    <w:p w14:paraId="50171C64" w14:textId="66B77409" w:rsidR="005133DB" w:rsidRDefault="009D1336" w:rsidP="005133DB">
      <w:pPr>
        <w:pStyle w:val="BodyText1"/>
      </w:pPr>
      <w:r>
        <w:t>Source</w:t>
      </w:r>
      <w:r w:rsidRPr="008E0969">
        <w:t xml:space="preserve">: </w:t>
      </w:r>
      <w:r>
        <w:t>Author’s calculations.</w:t>
      </w:r>
    </w:p>
    <w:p w14:paraId="690B7658" w14:textId="77777777" w:rsidR="00432381" w:rsidRDefault="00432381" w:rsidP="005133DB">
      <w:pPr>
        <w:pStyle w:val="BodyText1"/>
      </w:pPr>
    </w:p>
    <w:p w14:paraId="7C74A9D6" w14:textId="6003A129" w:rsidR="009D1336" w:rsidRDefault="00870023" w:rsidP="009D1336">
      <w:pPr>
        <w:pStyle w:val="Tabelijooniseallikasmrkus"/>
        <w:spacing w:line="360" w:lineRule="auto"/>
        <w:jc w:val="both"/>
      </w:pPr>
      <w:r w:rsidRPr="00870023">
        <w:t xml:space="preserve">Heteroskedasticity is tested with the Breusch-Pagan test, which gives a statistic of 35.59 (p = 0.0001), clearly rejecting constant variance. This is expected for Bitcoin data, where volatility clusters around news events and market stress. It directly justifies using HAC standard errors. All standard errors across Model 1 and Model 2 are computed using the Newey-West HAC estimator with a Bartlett kernel and </w:t>
      </w:r>
      <w:proofErr w:type="spellStart"/>
      <w:r w:rsidRPr="00870023">
        <w:t>maxlags</w:t>
      </w:r>
      <w:proofErr w:type="spellEnd"/>
      <w:r w:rsidRPr="00870023">
        <w:t xml:space="preserve"> of 10 weeks (Newey and West, 1987). This estimator is robust to both heteroskedasticity and serial correlation up to the specified lag. The choice of </w:t>
      </w:r>
      <w:proofErr w:type="spellStart"/>
      <w:r w:rsidRPr="00870023">
        <w:t>maxlags</w:t>
      </w:r>
      <w:proofErr w:type="spellEnd"/>
      <w:r w:rsidRPr="00870023">
        <w:t>=10 corresponds to roughly one quarter of a year, which is enough to capture autocorrelation from macro release cycles</w:t>
      </w:r>
      <w:r w:rsidR="009D1336" w:rsidRPr="009D1336">
        <w:t>.</w:t>
      </w:r>
    </w:p>
    <w:p w14:paraId="5136709F" w14:textId="138FB864" w:rsidR="009D1336" w:rsidRDefault="00870023" w:rsidP="009D1336">
      <w:pPr>
        <w:pStyle w:val="Tabelijooniseallikasmrkus"/>
        <w:spacing w:line="360" w:lineRule="auto"/>
        <w:jc w:val="both"/>
      </w:pPr>
      <w:r w:rsidRPr="00870023">
        <w:t xml:space="preserve">Multicollinearity is checked using variance inflation factors (VIF). The highest VIF is 3.57, for the Halving_x_PostETF interaction. This is expected because the April 2024 halving happened only three months after the January 2024 ETF approval, so from April 2024 to about October 2025 both </w:t>
      </w:r>
      <w:proofErr w:type="spellStart"/>
      <w:r w:rsidRPr="00870023">
        <w:lastRenderedPageBreak/>
        <w:t>HalvingWindow</w:t>
      </w:r>
      <w:proofErr w:type="spellEnd"/>
      <w:r w:rsidRPr="00870023">
        <w:t xml:space="preserve"> and PostETF equal 1 at the same time. Still, 3.57 is well below the conventional threshold of 10, and no other regressor exceeds 3.05, so multicollinearity is not a problem. VIF results are in Table 2.3.</w:t>
      </w:r>
    </w:p>
    <w:p w14:paraId="562E167B" w14:textId="5DD1B5C0" w:rsidR="009D1336" w:rsidRDefault="009D1336" w:rsidP="009D1336">
      <w:pPr>
        <w:pStyle w:val="Tabelijooniseallikasmrkus"/>
        <w:spacing w:after="0" w:line="360" w:lineRule="auto"/>
      </w:pPr>
      <w:r>
        <w:rPr>
          <w:noProof/>
        </w:rPr>
        <w:drawing>
          <wp:inline distT="0" distB="0" distL="0" distR="0" wp14:anchorId="16C07967" wp14:editId="655429C5">
            <wp:extent cx="2851785" cy="2589581"/>
            <wp:effectExtent l="0" t="0" r="5715" b="1270"/>
            <wp:docPr id="477367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67932" name="Picture 477367932"/>
                    <pic:cNvPicPr/>
                  </pic:nvPicPr>
                  <pic:blipFill rotWithShape="1">
                    <a:blip r:embed="rId20">
                      <a:extLst>
                        <a:ext uri="{28A0092B-C50C-407E-A947-70E740481C1C}">
                          <a14:useLocalDpi xmlns:a14="http://schemas.microsoft.com/office/drawing/2010/main" val="0"/>
                        </a:ext>
                      </a:extLst>
                    </a:blip>
                    <a:srcRect t="9984" b="9681"/>
                    <a:stretch>
                      <a:fillRect/>
                    </a:stretch>
                  </pic:blipFill>
                  <pic:spPr bwMode="auto">
                    <a:xfrm>
                      <a:off x="0" y="0"/>
                      <a:ext cx="2852692" cy="2590405"/>
                    </a:xfrm>
                    <a:prstGeom prst="rect">
                      <a:avLst/>
                    </a:prstGeom>
                    <a:ln>
                      <a:noFill/>
                    </a:ln>
                    <a:extLst>
                      <a:ext uri="{53640926-AAD7-44D8-BBD7-CCE9431645EC}">
                        <a14:shadowObscured xmlns:a14="http://schemas.microsoft.com/office/drawing/2010/main"/>
                      </a:ext>
                    </a:extLst>
                  </pic:spPr>
                </pic:pic>
              </a:graphicData>
            </a:graphic>
          </wp:inline>
        </w:drawing>
      </w:r>
    </w:p>
    <w:p w14:paraId="0C40347F" w14:textId="4A3721AE" w:rsidR="009D1336" w:rsidRPr="008E0969" w:rsidRDefault="009D1336" w:rsidP="005133DB">
      <w:pPr>
        <w:pStyle w:val="BodyText1"/>
      </w:pPr>
      <w:r>
        <w:t xml:space="preserve">Table 2.3. </w:t>
      </w:r>
      <w:r w:rsidRPr="009D1336">
        <w:t>Variance Inflation Factors for All Regressors.</w:t>
      </w:r>
    </w:p>
    <w:p w14:paraId="5D8256D5" w14:textId="26EB644C" w:rsidR="005133DB" w:rsidRDefault="009D1336" w:rsidP="005133DB">
      <w:pPr>
        <w:pStyle w:val="BodyText1"/>
      </w:pPr>
      <w:r>
        <w:t>Source</w:t>
      </w:r>
      <w:r w:rsidRPr="008E0969">
        <w:t xml:space="preserve">: </w:t>
      </w:r>
      <w:r>
        <w:t>Author’s calculations.</w:t>
      </w:r>
    </w:p>
    <w:p w14:paraId="7E386A9D" w14:textId="77777777" w:rsidR="005133DB" w:rsidRDefault="005133DB" w:rsidP="005133DB">
      <w:pPr>
        <w:pStyle w:val="BodyText1"/>
      </w:pPr>
    </w:p>
    <w:p w14:paraId="1BEE35D5" w14:textId="02BC1BF1" w:rsidR="005133DB" w:rsidRDefault="00870023" w:rsidP="005133DB">
      <w:pPr>
        <w:pStyle w:val="BodyText1"/>
      </w:pPr>
      <w:r w:rsidRPr="00870023">
        <w:t xml:space="preserve">Serial correlation is checked with the Durbin-Watson statistic, which equals 2.02, essentially at the ideal value of 2 that indicates no first-order autocorrelation. HAC standard errors with </w:t>
      </w:r>
      <w:proofErr w:type="spellStart"/>
      <w:r w:rsidRPr="00870023">
        <w:t>maxlags</w:t>
      </w:r>
      <w:proofErr w:type="spellEnd"/>
      <w:r w:rsidRPr="00870023">
        <w:t>=10 still protect against any higher-order serial dependence</w:t>
      </w:r>
      <w:r w:rsidR="005133DB" w:rsidRPr="005133DB">
        <w:t>.</w:t>
      </w:r>
    </w:p>
    <w:p w14:paraId="6279205B" w14:textId="77777777" w:rsidR="00870023" w:rsidRDefault="00870023" w:rsidP="005133DB">
      <w:pPr>
        <w:pStyle w:val="BodyText1"/>
      </w:pPr>
    </w:p>
    <w:p w14:paraId="79C919B5" w14:textId="32EC2213" w:rsidR="00870023" w:rsidRDefault="00870023" w:rsidP="005133DB">
      <w:pPr>
        <w:pStyle w:val="BodyText1"/>
      </w:pPr>
      <w:r w:rsidRPr="00870023">
        <w:t>Residual normality is tested with the Jarque-Bera test, which gives a statistic of 166.07 (p = 8.66 x 10</w:t>
      </w:r>
      <w:proofErr w:type="gramStart"/>
      <w:r w:rsidRPr="00870023">
        <w:t>^{</w:t>
      </w:r>
      <w:proofErr w:type="gramEnd"/>
      <w:r w:rsidRPr="00870023">
        <w:t>-37}), clearly rejecting normal residuals. This is a well-known feature of financial returns due to fat tails. It does not invalidate OLS since with 598 observations the central limit theorem ensures that coefficient estimates are still reliable, and HAC standard errors provide additional protection.</w:t>
      </w:r>
    </w:p>
    <w:p w14:paraId="41B4FD8C" w14:textId="77777777" w:rsidR="005133DB" w:rsidRDefault="005133DB" w:rsidP="005133DB">
      <w:pPr>
        <w:pStyle w:val="BodyText1"/>
      </w:pPr>
    </w:p>
    <w:p w14:paraId="61088023" w14:textId="4762980E" w:rsidR="005133DB" w:rsidRDefault="00870023" w:rsidP="005133DB">
      <w:pPr>
        <w:pStyle w:val="BodyText1"/>
      </w:pPr>
      <w:r w:rsidRPr="00870023">
        <w:t>Structural stability at the ETF breakpoint is tested using the Chow test (Chow, 1960). The test compares whether regression coefficients are the same across two sub-samples. Following Bai and Perron (1998), two candidate breakpoints are tested. The primary one is 10 January 2024 (the ETF approval date). The alternative is 23 October 2023, when the Grayscale SEC lawsuit was resolved and DTCC disclosed BlackRock's ETF trust, events some studies consider the effective start of the institutional transition. Results are in Table 2.4 and discussed in Chapter 3</w:t>
      </w:r>
      <w:r w:rsidR="005133DB" w:rsidRPr="005133DB">
        <w:t>.</w:t>
      </w:r>
    </w:p>
    <w:p w14:paraId="765E15F5" w14:textId="6B38373F" w:rsidR="005133DB" w:rsidRDefault="005133DB" w:rsidP="005133DB">
      <w:pPr>
        <w:pStyle w:val="BodyText1"/>
      </w:pPr>
      <w:r>
        <w:rPr>
          <w:noProof/>
        </w:rPr>
        <w:lastRenderedPageBreak/>
        <w:drawing>
          <wp:inline distT="0" distB="0" distL="0" distR="0" wp14:anchorId="66AC596E" wp14:editId="73A41E54">
            <wp:extent cx="5935462" cy="431596"/>
            <wp:effectExtent l="0" t="0" r="0" b="6985"/>
            <wp:docPr id="1542168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607" name="Picture 1542168607"/>
                    <pic:cNvPicPr/>
                  </pic:nvPicPr>
                  <pic:blipFill rotWithShape="1">
                    <a:blip r:embed="rId21" cstate="print">
                      <a:extLst>
                        <a:ext uri="{28A0092B-C50C-407E-A947-70E740481C1C}">
                          <a14:useLocalDpi xmlns:a14="http://schemas.microsoft.com/office/drawing/2010/main" val="0"/>
                        </a:ext>
                      </a:extLst>
                    </a:blip>
                    <a:srcRect t="19077" b="18350"/>
                    <a:stretch>
                      <a:fillRect/>
                    </a:stretch>
                  </pic:blipFill>
                  <pic:spPr bwMode="auto">
                    <a:xfrm>
                      <a:off x="0" y="0"/>
                      <a:ext cx="5939790" cy="431911"/>
                    </a:xfrm>
                    <a:prstGeom prst="rect">
                      <a:avLst/>
                    </a:prstGeom>
                    <a:ln>
                      <a:noFill/>
                    </a:ln>
                    <a:extLst>
                      <a:ext uri="{53640926-AAD7-44D8-BBD7-CCE9431645EC}">
                        <a14:shadowObscured xmlns:a14="http://schemas.microsoft.com/office/drawing/2010/main"/>
                      </a:ext>
                    </a:extLst>
                  </pic:spPr>
                </pic:pic>
              </a:graphicData>
            </a:graphic>
          </wp:inline>
        </w:drawing>
      </w:r>
    </w:p>
    <w:p w14:paraId="4462A64E" w14:textId="734FA63C" w:rsidR="005133DB" w:rsidRPr="008E0969" w:rsidRDefault="005133DB" w:rsidP="005133DB">
      <w:pPr>
        <w:pStyle w:val="BodyText1"/>
      </w:pPr>
      <w:r>
        <w:t xml:space="preserve">Table 2.4. </w:t>
      </w:r>
      <w:r w:rsidRPr="005133DB">
        <w:t>Chow Structural Break Test Results.</w:t>
      </w:r>
    </w:p>
    <w:p w14:paraId="7A35213D" w14:textId="6E806F5F" w:rsidR="009D1336" w:rsidRDefault="005133DB" w:rsidP="005133DB">
      <w:pPr>
        <w:pStyle w:val="BodyText1"/>
      </w:pPr>
      <w:r>
        <w:t>Source</w:t>
      </w:r>
      <w:r w:rsidRPr="008E0969">
        <w:t xml:space="preserve">: </w:t>
      </w:r>
      <w:r>
        <w:t>Author’s calculations.</w:t>
      </w:r>
    </w:p>
    <w:p w14:paraId="365D7A7F" w14:textId="77777777" w:rsidR="00432381" w:rsidRDefault="00432381" w:rsidP="005133DB">
      <w:pPr>
        <w:pStyle w:val="BodyText1"/>
      </w:pPr>
    </w:p>
    <w:p w14:paraId="64A20718" w14:textId="2868CA73" w:rsidR="005133DB" w:rsidRDefault="00870023" w:rsidP="005133DB">
      <w:pPr>
        <w:pStyle w:val="BodyText1"/>
      </w:pPr>
      <w:r w:rsidRPr="00870023">
        <w:t>Finally, functional form is checked with the Ramsey RESET test (Ramsey, 1969), which tests whether adding squared and cubed fitted values improves the model. The F-statistic is 0.754 (p = 0.471), meaning there is no evidence that the linear specification is inadequate</w:t>
      </w:r>
      <w:r w:rsidR="005133DB" w:rsidRPr="005133DB">
        <w:t>.</w:t>
      </w:r>
    </w:p>
    <w:p w14:paraId="31A94149" w14:textId="77777777" w:rsidR="005133DB" w:rsidRDefault="005133DB" w:rsidP="005133DB">
      <w:pPr>
        <w:pStyle w:val="BodyText1"/>
      </w:pPr>
    </w:p>
    <w:p w14:paraId="79E1ACC6" w14:textId="779E8362" w:rsidR="005133DB" w:rsidRDefault="00870023" w:rsidP="005133DB">
      <w:pPr>
        <w:pStyle w:val="BodyText1"/>
      </w:pPr>
      <w:r w:rsidRPr="00870023">
        <w:t>Overall, the diagnostics confirm that OLS with Newey-West HAC standard errors (</w:t>
      </w:r>
      <w:proofErr w:type="spellStart"/>
      <w:r w:rsidRPr="00870023">
        <w:t>maxlags</w:t>
      </w:r>
      <w:proofErr w:type="spellEnd"/>
      <w:r w:rsidRPr="00870023">
        <w:t>=10) is appropriate for this analysis. The regressors are stationary, heteroskedasticity is present and corrected for, multicollinearity is low (max VIF = 3.57), there is no first-order serial correlation (DW = 2.02), and the RESET test passes. The model is validated before moving to results in Chapter 3</w:t>
      </w:r>
      <w:r w:rsidR="005133DB" w:rsidRPr="005133DB">
        <w:t>.</w:t>
      </w:r>
    </w:p>
    <w:p w14:paraId="04D533E3" w14:textId="2B7FC6B1" w:rsidR="005133DB" w:rsidRDefault="00FB17DD" w:rsidP="005133DB">
      <w:pPr>
        <w:pStyle w:val="Pealkiri1"/>
      </w:pPr>
      <w:bookmarkStart w:id="13" w:name="_Toc225345696"/>
      <w:r>
        <w:t xml:space="preserve">3. </w:t>
      </w:r>
      <w:r w:rsidR="005133DB">
        <w:t>RESULTS</w:t>
      </w:r>
      <w:bookmarkEnd w:id="13"/>
    </w:p>
    <w:p w14:paraId="771BDDEF" w14:textId="7DDD9EF3" w:rsidR="005133DB" w:rsidRDefault="005133DB" w:rsidP="005133DB">
      <w:r w:rsidRPr="005133DB">
        <w:t>This chapter presents the regression results for the primary and robustness specifications. Section 3.1 reports the full-sample interaction model (Model 1). Section 3.2 presents the sub-sample comparison (Model 2). Section 3.3 discusses the Chow structural break test. Section 3.4 reports four robustness checks: monthly frequency replication, M2 growth control, and the multi-cryptocurrency panel specification.</w:t>
      </w:r>
    </w:p>
    <w:p w14:paraId="212B9666" w14:textId="4E974143" w:rsidR="005133DB" w:rsidRDefault="005133DB" w:rsidP="005133DB">
      <w:pPr>
        <w:pStyle w:val="Pealkiri2"/>
      </w:pPr>
      <w:bookmarkStart w:id="14" w:name="_Toc225345697"/>
      <w:r>
        <w:t>3.1</w:t>
      </w:r>
      <w:r w:rsidR="00432381">
        <w:t>.</w:t>
      </w:r>
      <w:r>
        <w:t xml:space="preserve"> Primary Model Results</w:t>
      </w:r>
      <w:bookmarkEnd w:id="14"/>
    </w:p>
    <w:p w14:paraId="7B675264" w14:textId="2D6BF46E" w:rsidR="005133DB" w:rsidRDefault="005133DB" w:rsidP="005133DB">
      <w:r w:rsidRPr="005133DB">
        <w:t xml:space="preserve">The full-sample interaction model (Model 1) is estimated over 598 weekly observations from October 2014 to March 2026 using OLS with Newey-West HAC standard errors (maxlags=10). The model achieves an R-squared of 0.073 and an adjusted R-squared of 0.057. The overall F-statistic of 3.674 (p &lt; 0.001) confirms that the regressors are jointly significant, although the low R-squared indicates that the macro and halving variables explain only a small fraction of weekly </w:t>
      </w:r>
      <w:r w:rsidRPr="005133DB">
        <w:lastRenderedPageBreak/>
        <w:t xml:space="preserve">Bitcoin return variance. This is expected and consistent with the financial </w:t>
      </w:r>
      <w:proofErr w:type="gramStart"/>
      <w:r w:rsidRPr="005133DB">
        <w:t>econometrics</w:t>
      </w:r>
      <w:proofErr w:type="gramEnd"/>
      <w:r w:rsidRPr="005133DB">
        <w:t xml:space="preserve"> literature, weekly asset returns are dominated by idiosyncratic noise, and R-squared values below 0.10 are typical for macro-factor return regressions at high frequency.</w:t>
      </w:r>
    </w:p>
    <w:p w14:paraId="17BF3CC8" w14:textId="699A8A5B" w:rsidR="00151362" w:rsidRDefault="00151362" w:rsidP="005133DB">
      <w:r>
        <w:rPr>
          <w:noProof/>
        </w:rPr>
        <w:drawing>
          <wp:inline distT="0" distB="0" distL="0" distR="0" wp14:anchorId="68BAAB8F" wp14:editId="20196295">
            <wp:extent cx="5939020" cy="2604211"/>
            <wp:effectExtent l="0" t="0" r="5080" b="5715"/>
            <wp:docPr id="146685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2463" name="Picture 1466852463"/>
                    <pic:cNvPicPr/>
                  </pic:nvPicPr>
                  <pic:blipFill rotWithShape="1">
                    <a:blip r:embed="rId22">
                      <a:extLst>
                        <a:ext uri="{28A0092B-C50C-407E-A947-70E740481C1C}">
                          <a14:useLocalDpi xmlns:a14="http://schemas.microsoft.com/office/drawing/2010/main" val="0"/>
                        </a:ext>
                      </a:extLst>
                    </a:blip>
                    <a:srcRect t="10070" b="10255"/>
                    <a:stretch>
                      <a:fillRect/>
                    </a:stretch>
                  </pic:blipFill>
                  <pic:spPr bwMode="auto">
                    <a:xfrm>
                      <a:off x="0" y="0"/>
                      <a:ext cx="5939790" cy="2604549"/>
                    </a:xfrm>
                    <a:prstGeom prst="rect">
                      <a:avLst/>
                    </a:prstGeom>
                    <a:ln>
                      <a:noFill/>
                    </a:ln>
                    <a:extLst>
                      <a:ext uri="{53640926-AAD7-44D8-BBD7-CCE9431645EC}">
                        <a14:shadowObscured xmlns:a14="http://schemas.microsoft.com/office/drawing/2010/main"/>
                      </a:ext>
                    </a:extLst>
                  </pic:spPr>
                </pic:pic>
              </a:graphicData>
            </a:graphic>
          </wp:inline>
        </w:drawing>
      </w:r>
    </w:p>
    <w:p w14:paraId="624AFD8D" w14:textId="0858BB98" w:rsidR="00151362" w:rsidRPr="008E0969" w:rsidRDefault="00151362" w:rsidP="00151362">
      <w:pPr>
        <w:pStyle w:val="BodyText1"/>
      </w:pPr>
      <w:r>
        <w:t xml:space="preserve">Table 3.1. </w:t>
      </w:r>
      <w:r w:rsidRPr="00151362">
        <w:t>Model 1 Full-Sample Interaction Regression Results (n=598).</w:t>
      </w:r>
    </w:p>
    <w:p w14:paraId="71EDEEB3" w14:textId="77777777" w:rsidR="00151362" w:rsidRDefault="00151362" w:rsidP="00151362">
      <w:pPr>
        <w:pStyle w:val="BodyText1"/>
      </w:pPr>
      <w:r>
        <w:t>Source</w:t>
      </w:r>
      <w:r w:rsidRPr="008E0969">
        <w:t xml:space="preserve">: </w:t>
      </w:r>
      <w:r>
        <w:t>Author’s calculations.</w:t>
      </w:r>
    </w:p>
    <w:p w14:paraId="4D152AB1" w14:textId="77777777" w:rsidR="00151362" w:rsidRDefault="00151362" w:rsidP="00151362">
      <w:pPr>
        <w:pStyle w:val="BodyText1"/>
      </w:pPr>
    </w:p>
    <w:p w14:paraId="4DC9FB64" w14:textId="4F7731DD" w:rsidR="00151362" w:rsidRDefault="00870023" w:rsidP="00151362">
      <w:pPr>
        <w:pStyle w:val="BodyText1"/>
      </w:pPr>
      <w:r w:rsidRPr="00870023">
        <w:t xml:space="preserve">Among the baseline coefficients, </w:t>
      </w:r>
      <w:proofErr w:type="spellStart"/>
      <w:r w:rsidRPr="00870023">
        <w:t>dFedRate</w:t>
      </w:r>
      <w:proofErr w:type="spellEnd"/>
      <w:r w:rsidRPr="00870023">
        <w:t xml:space="preserve"> is significant at the 5% level with a coefficient of -0.160 (p = 0.016). This means that in the pre-ETF period, a one percentage point increase in the federal funds rate is associated with a 16.0 basis point decline in weekly Bitcoin returns, consistent with the tightening channel found by Karau (2023) and Ma et al. (2022). </w:t>
      </w:r>
      <w:proofErr w:type="spellStart"/>
      <w:r w:rsidRPr="00870023">
        <w:t>HalvingWindow</w:t>
      </w:r>
      <w:proofErr w:type="spellEnd"/>
      <w:r w:rsidRPr="00870023">
        <w:t xml:space="preserve"> is positive and significant at the 1% level (+0.030, p = 0.007), meaning that during the 18-month post-halving windows in the pre-ETF period, Bitcoin earned an additional 3.0 percentage points per week on average compared to non-halving periods, after controlling for macro variables. dFedBS is not significant (coefficient = -0.003, p = 0.424), suggesting that weekly balance sheet changes do not have a detectable relationship with Bitcoin returns at this frequency. Among the controls, the S&amp;P 500 return (+0.326, p = 0.235), lagged Bitcoin return (+0.035, p = 0.394), and </w:t>
      </w:r>
      <w:proofErr w:type="spellStart"/>
      <w:r w:rsidRPr="00870023">
        <w:t>dVIX</w:t>
      </w:r>
      <w:proofErr w:type="spellEnd"/>
      <w:r w:rsidRPr="00870023">
        <w:t xml:space="preserve"> (-0.003, p = 0.099) are either insignificant or only marginally significant</w:t>
      </w:r>
      <w:r w:rsidR="00151362" w:rsidRPr="00151362">
        <w:t>.</w:t>
      </w:r>
    </w:p>
    <w:p w14:paraId="3F1534A5" w14:textId="77777777" w:rsidR="00151362" w:rsidRDefault="00151362" w:rsidP="00151362">
      <w:pPr>
        <w:pStyle w:val="BodyText1"/>
      </w:pPr>
    </w:p>
    <w:p w14:paraId="4A34E849" w14:textId="3667847A" w:rsidR="00151362" w:rsidRDefault="00870023" w:rsidP="00151362">
      <w:pPr>
        <w:pStyle w:val="BodyText1"/>
      </w:pPr>
      <w:r w:rsidRPr="00870023">
        <w:t xml:space="preserve">The three interaction terms, which are the </w:t>
      </w:r>
      <w:proofErr w:type="gramStart"/>
      <w:r w:rsidRPr="00870023">
        <w:t>main focus</w:t>
      </w:r>
      <w:proofErr w:type="gramEnd"/>
      <w:r w:rsidRPr="00870023">
        <w:t xml:space="preserve"> of this analysis, are all insignificant at both the 5% and 10% levels. </w:t>
      </w:r>
      <w:proofErr w:type="spellStart"/>
      <w:r w:rsidRPr="00870023">
        <w:t>FedRate_x_PostETF</w:t>
      </w:r>
      <w:proofErr w:type="spellEnd"/>
      <w:r w:rsidRPr="00870023">
        <w:t xml:space="preserve"> is +0.090 (p = 0.479), showing no detectable change in rate sensitivity after the ETF approval. </w:t>
      </w:r>
      <w:proofErr w:type="spellStart"/>
      <w:r w:rsidRPr="00870023">
        <w:t>FedBS_x_PostETF</w:t>
      </w:r>
      <w:proofErr w:type="spellEnd"/>
      <w:r w:rsidRPr="00870023">
        <w:t xml:space="preserve"> is -0.025 (p = 0.174), directionally consistent with increased balance sheet sensitivity post-ETF but not statistically significant. Halving_x_PostETF is -0.028 (p = 0.104), which falls marginally outside the 10% significance </w:t>
      </w:r>
      <w:r w:rsidRPr="00870023">
        <w:lastRenderedPageBreak/>
        <w:t>threshold. The total post-ETF halving effect (+0.030 + (-0.028) = +0.002) is economically negligible. The pre-ETF weekly halving premium of 3.0 percentage points collapses to about 0.2 percentage points in the post-ETF period</w:t>
      </w:r>
      <w:r w:rsidR="00151362" w:rsidRPr="00151362">
        <w:t>.</w:t>
      </w:r>
    </w:p>
    <w:p w14:paraId="55AB591C" w14:textId="77777777" w:rsidR="00151362" w:rsidRDefault="00151362" w:rsidP="00151362">
      <w:pPr>
        <w:pStyle w:val="BodyText1"/>
      </w:pPr>
    </w:p>
    <w:p w14:paraId="06F4E219" w14:textId="446493BA" w:rsidR="00151362" w:rsidRDefault="00870023" w:rsidP="00151362">
      <w:pPr>
        <w:pStyle w:val="BodyText1"/>
      </w:pPr>
      <w:r w:rsidRPr="00870023">
        <w:t>Figure 3.1 shows the Model 1 residuals over time and their distribution, confirming no systematic patterns and the fat-tailed shape typical of financial returns</w:t>
      </w:r>
      <w:r w:rsidR="00151362" w:rsidRPr="00151362">
        <w:t>.</w:t>
      </w:r>
    </w:p>
    <w:p w14:paraId="38130240" w14:textId="77777777" w:rsidR="005133DB" w:rsidRDefault="005133DB" w:rsidP="005133DB"/>
    <w:p w14:paraId="46A74EDB" w14:textId="77777777" w:rsidR="00151362" w:rsidRDefault="00151362" w:rsidP="00151362">
      <w:r>
        <w:rPr>
          <w:noProof/>
        </w:rPr>
        <w:drawing>
          <wp:inline distT="0" distB="0" distL="0" distR="0" wp14:anchorId="08B6838A" wp14:editId="630C8DAD">
            <wp:extent cx="5939790" cy="1827530"/>
            <wp:effectExtent l="0" t="0" r="3810" b="1270"/>
            <wp:docPr id="751348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8946" name="Picture 7513489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1827530"/>
                    </a:xfrm>
                    <a:prstGeom prst="rect">
                      <a:avLst/>
                    </a:prstGeom>
                  </pic:spPr>
                </pic:pic>
              </a:graphicData>
            </a:graphic>
          </wp:inline>
        </w:drawing>
      </w:r>
    </w:p>
    <w:p w14:paraId="07923AE5" w14:textId="77777777" w:rsidR="00151362" w:rsidRPr="008E0969" w:rsidRDefault="00151362" w:rsidP="00151362">
      <w:pPr>
        <w:pStyle w:val="BodyText1"/>
      </w:pPr>
      <w:r>
        <w:t xml:space="preserve">Table 3.1. </w:t>
      </w:r>
      <w:r w:rsidRPr="00151362">
        <w:t>Model 1 Full-Sample Interaction Regression Results (n=598).</w:t>
      </w:r>
    </w:p>
    <w:p w14:paraId="0FEA0D61" w14:textId="77777777" w:rsidR="00151362" w:rsidRDefault="00151362" w:rsidP="00151362">
      <w:pPr>
        <w:pStyle w:val="BodyText1"/>
      </w:pPr>
      <w:r>
        <w:t>Source</w:t>
      </w:r>
      <w:r w:rsidRPr="008E0969">
        <w:t xml:space="preserve">: </w:t>
      </w:r>
      <w:r>
        <w:t>Author’s calculations.</w:t>
      </w:r>
    </w:p>
    <w:p w14:paraId="7465FC70" w14:textId="77777777" w:rsidR="00151362" w:rsidRDefault="00151362" w:rsidP="00151362"/>
    <w:p w14:paraId="7DD64DB1" w14:textId="6ED8124E" w:rsidR="00151362" w:rsidRDefault="00870023" w:rsidP="00151362">
      <w:r w:rsidRPr="00870023">
        <w:t xml:space="preserve">These results give a preliminary assessment of both hypotheses. H1 is not supported since neither macro interaction term is significant, and the </w:t>
      </w:r>
      <w:proofErr w:type="spellStart"/>
      <w:r w:rsidRPr="00870023">
        <w:t>FedRate</w:t>
      </w:r>
      <w:proofErr w:type="spellEnd"/>
      <w:r w:rsidRPr="00870023">
        <w:t xml:space="preserve"> interaction is actually positive (suggesting weakening rather than strengthening), which is opposite to what was expected. H2 gets directional support since the halving effect attenuates substantially in economic terms, but the statistical significance at weekly frequency falls short of the conventional threshold</w:t>
      </w:r>
      <w:r w:rsidR="00151362" w:rsidRPr="00151362">
        <w:t>.</w:t>
      </w:r>
    </w:p>
    <w:p w14:paraId="31D8488D" w14:textId="77777777" w:rsidR="00151362" w:rsidRDefault="00151362" w:rsidP="00151362"/>
    <w:p w14:paraId="08B35939" w14:textId="29AAEEDB" w:rsidR="00151362" w:rsidRDefault="00151362" w:rsidP="00151362">
      <w:pPr>
        <w:pStyle w:val="Pealkiri2"/>
      </w:pPr>
      <w:bookmarkStart w:id="15" w:name="_Toc225345698"/>
      <w:r>
        <w:t>3.2. Sub-Sample Results</w:t>
      </w:r>
      <w:bookmarkEnd w:id="15"/>
    </w:p>
    <w:p w14:paraId="3B50EB20" w14:textId="7AEA46E7" w:rsidR="00151362" w:rsidRDefault="00870023" w:rsidP="00151362">
      <w:r w:rsidRPr="00870023">
        <w:t>Model 2 estimates the specification without interaction terms separately on the pre-ETF (n = 484, October 2014 to January 2024) and post-ETF (n = 114, January 2024 to March 2026) sub-samples. The results are presented side by side for comparison</w:t>
      </w:r>
      <w:r w:rsidR="00151362" w:rsidRPr="00151362">
        <w:t>.</w:t>
      </w:r>
    </w:p>
    <w:p w14:paraId="565E5D13" w14:textId="24AC7B4E" w:rsidR="00151362" w:rsidRDefault="00151362" w:rsidP="00151362">
      <w:r>
        <w:rPr>
          <w:noProof/>
        </w:rPr>
        <w:lastRenderedPageBreak/>
        <w:drawing>
          <wp:inline distT="0" distB="0" distL="0" distR="0" wp14:anchorId="08032F70" wp14:editId="22C9E200">
            <wp:extent cx="5938148" cy="1792224"/>
            <wp:effectExtent l="0" t="0" r="5715" b="0"/>
            <wp:docPr id="1917716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16552" name="Picture 1917716552"/>
                    <pic:cNvPicPr/>
                  </pic:nvPicPr>
                  <pic:blipFill rotWithShape="1">
                    <a:blip r:embed="rId24">
                      <a:extLst>
                        <a:ext uri="{28A0092B-C50C-407E-A947-70E740481C1C}">
                          <a14:useLocalDpi xmlns:a14="http://schemas.microsoft.com/office/drawing/2010/main" val="0"/>
                        </a:ext>
                      </a:extLst>
                    </a:blip>
                    <a:srcRect t="10085" b="10187"/>
                    <a:stretch>
                      <a:fillRect/>
                    </a:stretch>
                  </pic:blipFill>
                  <pic:spPr bwMode="auto">
                    <a:xfrm>
                      <a:off x="0" y="0"/>
                      <a:ext cx="5939790" cy="1792720"/>
                    </a:xfrm>
                    <a:prstGeom prst="rect">
                      <a:avLst/>
                    </a:prstGeom>
                    <a:ln>
                      <a:noFill/>
                    </a:ln>
                    <a:extLst>
                      <a:ext uri="{53640926-AAD7-44D8-BBD7-CCE9431645EC}">
                        <a14:shadowObscured xmlns:a14="http://schemas.microsoft.com/office/drawing/2010/main"/>
                      </a:ext>
                    </a:extLst>
                  </pic:spPr>
                </pic:pic>
              </a:graphicData>
            </a:graphic>
          </wp:inline>
        </w:drawing>
      </w:r>
    </w:p>
    <w:p w14:paraId="37B87C74" w14:textId="3B45FF54" w:rsidR="00151362" w:rsidRPr="008E0969" w:rsidRDefault="00151362" w:rsidP="00151362">
      <w:pPr>
        <w:pStyle w:val="BodyText1"/>
      </w:pPr>
      <w:r>
        <w:t>Table 3.</w:t>
      </w:r>
      <w:r w:rsidR="00D03517">
        <w:t>3</w:t>
      </w:r>
      <w:r>
        <w:t xml:space="preserve">. </w:t>
      </w:r>
      <w:r w:rsidRPr="00151362">
        <w:t>Model 2 Sub-Sample Regression Results: Pre-ETF</w:t>
      </w:r>
      <w:r>
        <w:t>.</w:t>
      </w:r>
    </w:p>
    <w:p w14:paraId="3B8B2D3B" w14:textId="77777777" w:rsidR="00151362" w:rsidRDefault="00151362" w:rsidP="00151362">
      <w:pPr>
        <w:pStyle w:val="BodyText1"/>
      </w:pPr>
      <w:r>
        <w:t>Source</w:t>
      </w:r>
      <w:r w:rsidRPr="008E0969">
        <w:t xml:space="preserve">: </w:t>
      </w:r>
      <w:r>
        <w:t>Author’s calculations.</w:t>
      </w:r>
    </w:p>
    <w:p w14:paraId="3CF86A15" w14:textId="77777777" w:rsidR="00151362" w:rsidRDefault="00151362" w:rsidP="00151362"/>
    <w:p w14:paraId="69376E31" w14:textId="0856E810" w:rsidR="00151362" w:rsidRDefault="00870023" w:rsidP="00151362">
      <w:r w:rsidRPr="00870023">
        <w:t xml:space="preserve">In the pre-ETF sub-sample, the results closely match the full-sample baseline. </w:t>
      </w:r>
      <w:proofErr w:type="spellStart"/>
      <w:r w:rsidRPr="00870023">
        <w:t>dFedRate</w:t>
      </w:r>
      <w:proofErr w:type="spellEnd"/>
      <w:r w:rsidRPr="00870023">
        <w:t xml:space="preserve"> is -0.161 (p = 0.015), </w:t>
      </w:r>
      <w:proofErr w:type="spellStart"/>
      <w:r w:rsidRPr="00870023">
        <w:t>HalvingWindow</w:t>
      </w:r>
      <w:proofErr w:type="spellEnd"/>
      <w:r w:rsidRPr="00870023">
        <w:t xml:space="preserve"> is +0.030 (p = 0.007), and R-squared is 0.073. In the post-ETF sub-sample, all macro and halving coefficients lose significance. The federal funds rate coefficient drops from -0.161 to -0.063 (p = 0.535), and the halving coefficient collapses from +0.030 to +0.002 (p = 0.889). The Fed balance sheet coefficient shifts from -0.003 (p = 0.403) to -0.024 (p = 0.182), which is directionally consistent with H1 but still insignificant. The S&amp;P 500 coefficient increases from +0.316 to +0.361, though it is not significant in either sub-sample</w:t>
      </w:r>
      <w:r w:rsidR="00151362" w:rsidRPr="00151362">
        <w:t>.</w:t>
      </w:r>
    </w:p>
    <w:p w14:paraId="486BCBB0" w14:textId="77777777" w:rsidR="00151362" w:rsidRDefault="00151362" w:rsidP="00151362"/>
    <w:p w14:paraId="319299C4" w14:textId="343C05EE" w:rsidR="00151362" w:rsidRDefault="00870023" w:rsidP="00151362">
      <w:r w:rsidRPr="00870023">
        <w:t>R-squared is nearly the same across both sub-samples (0.073 pre-ETF versus 0.078 post-ETF), suggesting the overall explanatory power has not changed much. The sub-sample results are consistent with Model 1. Macro sensitivity did not detectably increase post-ETF, and the halving premium disappeared. However, with only 114 post-ETF observations, statistical power is limited. The insignificant results may partly reflect the small sample rather than a true absence of effects, so the sub-sample comparison is treated as directional evidence rather than a definitive test</w:t>
      </w:r>
      <w:r w:rsidR="00151362" w:rsidRPr="00151362">
        <w:t>.</w:t>
      </w:r>
    </w:p>
    <w:p w14:paraId="5CF45D91" w14:textId="77777777" w:rsidR="00151362" w:rsidRDefault="00151362" w:rsidP="00151362"/>
    <w:p w14:paraId="5F6DCB4A" w14:textId="5FF64BAA" w:rsidR="00151362" w:rsidRDefault="00151362" w:rsidP="00151362">
      <w:pPr>
        <w:pStyle w:val="Pealkiri2"/>
      </w:pPr>
      <w:bookmarkStart w:id="16" w:name="_Toc225345699"/>
      <w:r>
        <w:t>3.3</w:t>
      </w:r>
      <w:r w:rsidR="00FB17DD">
        <w:t>.</w:t>
      </w:r>
      <w:r>
        <w:t xml:space="preserve"> Structural Break Test</w:t>
      </w:r>
      <w:bookmarkEnd w:id="16"/>
    </w:p>
    <w:p w14:paraId="21A75F64" w14:textId="5975D6AC" w:rsidR="00151362" w:rsidRDefault="00870023" w:rsidP="00151362">
      <w:r w:rsidRPr="00870023">
        <w:t>The Chow test checks whether the regression coefficients are the same across the pre-ETF and post-ETF sub-samples. It is tested at two candidate breakpoint dates. Results are in Table 2.4</w:t>
      </w:r>
      <w:r w:rsidR="00151362" w:rsidRPr="00151362">
        <w:t>.</w:t>
      </w:r>
    </w:p>
    <w:p w14:paraId="2E6B49EC" w14:textId="77777777" w:rsidR="00151362" w:rsidRDefault="00151362" w:rsidP="00151362"/>
    <w:p w14:paraId="3FF55BF7" w14:textId="0D2BD1FA" w:rsidR="00151362" w:rsidRDefault="00870023" w:rsidP="00151362">
      <w:r w:rsidRPr="00870023">
        <w:lastRenderedPageBreak/>
        <w:t>At the primary breakpoint of 10 January 2024, the F-statistic is 0.951 (p = 0.467), failing to reject parameter stability. At the alternative breakpoint of 23 October 2023, corresponding to the Grayscale lawsuit resolution and BlackRock's ETF trust disclosure, the F-statistic is 1.118 (p = 0.350), also failing to reject</w:t>
      </w:r>
      <w:r w:rsidR="00151362" w:rsidRPr="00151362">
        <w:t>.</w:t>
      </w:r>
    </w:p>
    <w:p w14:paraId="586BE234" w14:textId="77777777" w:rsidR="00151362" w:rsidRDefault="00151362" w:rsidP="00151362"/>
    <w:p w14:paraId="5C3DF387" w14:textId="712372BC" w:rsidR="00151362" w:rsidRDefault="00870023" w:rsidP="00151362">
      <w:r w:rsidRPr="00870023">
        <w:t>The lack of a significant break at either date suggests that any change in Bitcoin's relationship with macro variables has been gradual rather than sudden. The ETF approval was likely one event in a longer process of institutional integration that started with Bitcoin futures markets and institutional entry during 2020 to 2023 (Karau, 2023; Benigno and Rosa, 2023). This is consistent with the literature showing a progressive strengthening of Bitcoin-equity co-movement over the decade (Bouri et al., 2022; Wu, 2025) rather than a single abrupt break</w:t>
      </w:r>
      <w:r w:rsidR="00151362" w:rsidRPr="00151362">
        <w:t>.</w:t>
      </w:r>
    </w:p>
    <w:p w14:paraId="5826DCE4" w14:textId="06C1B106" w:rsidR="00151362" w:rsidRDefault="00151362" w:rsidP="00151362">
      <w:pPr>
        <w:pStyle w:val="Pealkiri2"/>
      </w:pPr>
      <w:bookmarkStart w:id="17" w:name="_Toc225345700"/>
      <w:r>
        <w:t>3.4</w:t>
      </w:r>
      <w:r w:rsidR="00FB17DD">
        <w:t>.</w:t>
      </w:r>
      <w:r>
        <w:t xml:space="preserve"> Robustness Checks</w:t>
      </w:r>
      <w:bookmarkEnd w:id="17"/>
    </w:p>
    <w:p w14:paraId="017647C6" w14:textId="263ACB20" w:rsidR="00151362" w:rsidRDefault="00870023" w:rsidP="00151362">
      <w:r w:rsidRPr="00870023">
        <w:t>Four robustness checks test the sensitivity of the main findings to sampling frequency, omitted variables, and cross-sectional scope</w:t>
      </w:r>
      <w:r w:rsidR="00151362" w:rsidRPr="00151362">
        <w:t>.</w:t>
      </w:r>
    </w:p>
    <w:p w14:paraId="55F4667F" w14:textId="77777777" w:rsidR="00151362" w:rsidRDefault="00151362" w:rsidP="00151362"/>
    <w:p w14:paraId="3BB1C9B4" w14:textId="2142F5D9" w:rsidR="00151362" w:rsidRDefault="00151362" w:rsidP="00151362">
      <w:pPr>
        <w:pStyle w:val="Pealkiri3"/>
      </w:pPr>
      <w:bookmarkStart w:id="18" w:name="_Toc225345701"/>
      <w:r>
        <w:t>3.4.1 Monthly Frequency Replication</w:t>
      </w:r>
      <w:bookmarkEnd w:id="18"/>
    </w:p>
    <w:p w14:paraId="48C212CF" w14:textId="47D4F277" w:rsidR="00151362" w:rsidRDefault="00870023" w:rsidP="00151362">
      <w:r w:rsidRPr="00870023">
        <w:t xml:space="preserve">Model 1 is re-estimated at monthly frequency using 137 observations from November 2014 to March 2026, with HAC standard errors and </w:t>
      </w:r>
      <w:proofErr w:type="spellStart"/>
      <w:r w:rsidRPr="00870023">
        <w:t>maxlags</w:t>
      </w:r>
      <w:proofErr w:type="spellEnd"/>
      <w:r w:rsidRPr="00870023">
        <w:t xml:space="preserve"> of 3. Weekly returns and first-difference variables are summed within each calendar month, and dummies take the last value in the month. The monthly R-squared is 0.185, much higher than the weekly 0.073, reflecting the reduction in high-frequency noise through temporal aggregation</w:t>
      </w:r>
      <w:r w:rsidR="00151362" w:rsidRPr="00151362">
        <w:t>.</w:t>
      </w:r>
    </w:p>
    <w:p w14:paraId="091B33EF" w14:textId="77777777" w:rsidR="00151362" w:rsidRDefault="00151362" w:rsidP="00151362"/>
    <w:p w14:paraId="7829F0F1" w14:textId="250AFB42" w:rsidR="00151362" w:rsidRDefault="00151362" w:rsidP="00151362">
      <w:r>
        <w:rPr>
          <w:noProof/>
        </w:rPr>
        <w:lastRenderedPageBreak/>
        <w:drawing>
          <wp:inline distT="0" distB="0" distL="0" distR="0" wp14:anchorId="3155E613" wp14:editId="3658C15C">
            <wp:extent cx="5938865" cy="3182112"/>
            <wp:effectExtent l="0" t="0" r="5080" b="0"/>
            <wp:docPr id="1189248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8059" name="Picture 1189248059"/>
                    <pic:cNvPicPr/>
                  </pic:nvPicPr>
                  <pic:blipFill rotWithShape="1">
                    <a:blip r:embed="rId25">
                      <a:extLst>
                        <a:ext uri="{28A0092B-C50C-407E-A947-70E740481C1C}">
                          <a14:useLocalDpi xmlns:a14="http://schemas.microsoft.com/office/drawing/2010/main" val="0"/>
                        </a:ext>
                      </a:extLst>
                    </a:blip>
                    <a:srcRect t="10263" b="10005"/>
                    <a:stretch>
                      <a:fillRect/>
                    </a:stretch>
                  </pic:blipFill>
                  <pic:spPr bwMode="auto">
                    <a:xfrm>
                      <a:off x="0" y="0"/>
                      <a:ext cx="5939790" cy="3182608"/>
                    </a:xfrm>
                    <a:prstGeom prst="rect">
                      <a:avLst/>
                    </a:prstGeom>
                    <a:ln>
                      <a:noFill/>
                    </a:ln>
                    <a:extLst>
                      <a:ext uri="{53640926-AAD7-44D8-BBD7-CCE9431645EC}">
                        <a14:shadowObscured xmlns:a14="http://schemas.microsoft.com/office/drawing/2010/main"/>
                      </a:ext>
                    </a:extLst>
                  </pic:spPr>
                </pic:pic>
              </a:graphicData>
            </a:graphic>
          </wp:inline>
        </w:drawing>
      </w:r>
    </w:p>
    <w:p w14:paraId="66278241" w14:textId="0182DA2B" w:rsidR="00151362" w:rsidRPr="008E0969" w:rsidRDefault="00151362" w:rsidP="00151362">
      <w:pPr>
        <w:pStyle w:val="BodyText1"/>
      </w:pPr>
      <w:r>
        <w:t>Table 3.</w:t>
      </w:r>
      <w:r w:rsidR="00D03517">
        <w:t>4</w:t>
      </w:r>
      <w:r>
        <w:t xml:space="preserve">. </w:t>
      </w:r>
      <w:r w:rsidRPr="00151362">
        <w:t>Model 1 Monthly Frequency Robustness Results (n=137).</w:t>
      </w:r>
    </w:p>
    <w:p w14:paraId="14BCD474" w14:textId="77777777" w:rsidR="00151362" w:rsidRDefault="00151362" w:rsidP="00151362">
      <w:pPr>
        <w:pStyle w:val="BodyText1"/>
      </w:pPr>
      <w:r>
        <w:t>Source</w:t>
      </w:r>
      <w:r w:rsidRPr="008E0969">
        <w:t xml:space="preserve">: </w:t>
      </w:r>
      <w:r>
        <w:t>Author’s calculations.</w:t>
      </w:r>
    </w:p>
    <w:p w14:paraId="70016D55" w14:textId="77777777" w:rsidR="00151362" w:rsidRDefault="00151362" w:rsidP="00151362">
      <w:pPr>
        <w:pStyle w:val="BodyText1"/>
      </w:pPr>
    </w:p>
    <w:p w14:paraId="1285E9A0" w14:textId="31B934E8" w:rsidR="00151362" w:rsidRDefault="00870023" w:rsidP="00151362">
      <w:pPr>
        <w:pStyle w:val="BodyText1"/>
      </w:pPr>
      <w:r w:rsidRPr="00870023">
        <w:t xml:space="preserve">At monthly frequency, the baseline </w:t>
      </w:r>
      <w:proofErr w:type="spellStart"/>
      <w:r w:rsidRPr="00870023">
        <w:t>HalvingWindow</w:t>
      </w:r>
      <w:proofErr w:type="spellEnd"/>
      <w:r w:rsidRPr="00870023">
        <w:t xml:space="preserve"> is +0.135 (p = 0.016), confirming the pre-ETF halving premium. The Halving_x_PostETF interaction is -0.153 (p = 0.068), approaching significance at the 10% level. This is stronger evidence for H2 than the weekly model, where the same interaction reached only p = 0.104. The total post-ETF halving effect is +0.135 + (-0.153) = -0.018, meaning it </w:t>
      </w:r>
      <w:proofErr w:type="gramStart"/>
      <w:r w:rsidRPr="00870023">
        <w:t>actually reverses</w:t>
      </w:r>
      <w:proofErr w:type="gramEnd"/>
      <w:r w:rsidRPr="00870023">
        <w:t xml:space="preserve"> from positive to slightly negative, consistent with the complete disappearance seen in the sub-sample analysis</w:t>
      </w:r>
      <w:r w:rsidR="00151362" w:rsidRPr="00151362">
        <w:t>.</w:t>
      </w:r>
    </w:p>
    <w:p w14:paraId="54FA1DD8" w14:textId="77777777" w:rsidR="00151362" w:rsidRDefault="00151362" w:rsidP="00151362">
      <w:pPr>
        <w:pStyle w:val="BodyText1"/>
      </w:pPr>
    </w:p>
    <w:p w14:paraId="1092B5AB" w14:textId="4D757FF2" w:rsidR="00151362" w:rsidRDefault="00870023" w:rsidP="00D03517">
      <w:pPr>
        <w:pStyle w:val="BodyText1"/>
      </w:pPr>
      <w:r w:rsidRPr="00870023">
        <w:t xml:space="preserve">For H1, the </w:t>
      </w:r>
      <w:proofErr w:type="spellStart"/>
      <w:r w:rsidRPr="00870023">
        <w:t>FedBS_x_PostETF</w:t>
      </w:r>
      <w:proofErr w:type="spellEnd"/>
      <w:r w:rsidRPr="00870023">
        <w:t xml:space="preserve"> interaction is -0.085 (p = 0.093), marginally significant at the 10% level. This suggests the balance sheet channel may have strengthened post-ETF, but the effect is hidden by noise at weekly frequency. The </w:t>
      </w:r>
      <w:proofErr w:type="spellStart"/>
      <w:r w:rsidRPr="00870023">
        <w:t>FedRate_x_PostETF</w:t>
      </w:r>
      <w:proofErr w:type="spellEnd"/>
      <w:r w:rsidRPr="00870023">
        <w:t xml:space="preserve"> interaction remains insignificant (-0.145, p = 0.410)</w:t>
      </w:r>
      <w:r w:rsidR="00151362" w:rsidRPr="00151362">
        <w:t>.</w:t>
      </w:r>
    </w:p>
    <w:p w14:paraId="58CF6BA9" w14:textId="4E66B911" w:rsidR="00D03517" w:rsidRDefault="00D03517" w:rsidP="00D03517">
      <w:pPr>
        <w:pStyle w:val="Pealkiri3"/>
      </w:pPr>
      <w:bookmarkStart w:id="19" w:name="_Toc225345702"/>
      <w:r>
        <w:t xml:space="preserve">3.4.2 M2 </w:t>
      </w:r>
      <w:r w:rsidR="00C452CF">
        <w:t>Growth</w:t>
      </w:r>
      <w:r>
        <w:t xml:space="preserve"> Control</w:t>
      </w:r>
      <w:bookmarkEnd w:id="19"/>
    </w:p>
    <w:p w14:paraId="0B632CD8" w14:textId="5200C548" w:rsidR="00D03517" w:rsidRDefault="00870023" w:rsidP="00D03517">
      <w:r w:rsidRPr="00870023">
        <w:t xml:space="preserve">This specification adds M2 money stock growth (dM2) as an extra control to Model 1, addressing the concern that the primary model only uses the Fed balance sheet as a liquidity proxy when the literature also highlights M2 (Zhao et al., 2023; Gu et al., 2021; Sarker and Wang, 2022). It is </w:t>
      </w:r>
      <w:r w:rsidRPr="00870023">
        <w:lastRenderedPageBreak/>
        <w:t>estimated over 587 observations with HAC standard errors (</w:t>
      </w:r>
      <w:proofErr w:type="spellStart"/>
      <w:r w:rsidRPr="00870023">
        <w:t>maxlags</w:t>
      </w:r>
      <w:proofErr w:type="spellEnd"/>
      <w:r w:rsidRPr="00870023">
        <w:t>=10).</w:t>
      </w:r>
      <w:r w:rsidR="00D03517">
        <w:rPr>
          <w:noProof/>
        </w:rPr>
        <w:drawing>
          <wp:inline distT="0" distB="0" distL="0" distR="0" wp14:anchorId="200ABC45" wp14:editId="6412EF49">
            <wp:extent cx="5939511" cy="3357677"/>
            <wp:effectExtent l="0" t="0" r="4445" b="0"/>
            <wp:docPr id="43485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51672" name="Picture 434851672"/>
                    <pic:cNvPicPr/>
                  </pic:nvPicPr>
                  <pic:blipFill rotWithShape="1">
                    <a:blip r:embed="rId26">
                      <a:extLst>
                        <a:ext uri="{28A0092B-C50C-407E-A947-70E740481C1C}">
                          <a14:useLocalDpi xmlns:a14="http://schemas.microsoft.com/office/drawing/2010/main" val="0"/>
                        </a:ext>
                      </a:extLst>
                    </a:blip>
                    <a:srcRect t="10521" b="10306"/>
                    <a:stretch>
                      <a:fillRect/>
                    </a:stretch>
                  </pic:blipFill>
                  <pic:spPr bwMode="auto">
                    <a:xfrm>
                      <a:off x="0" y="0"/>
                      <a:ext cx="5939790" cy="3357834"/>
                    </a:xfrm>
                    <a:prstGeom prst="rect">
                      <a:avLst/>
                    </a:prstGeom>
                    <a:ln>
                      <a:noFill/>
                    </a:ln>
                    <a:extLst>
                      <a:ext uri="{53640926-AAD7-44D8-BBD7-CCE9431645EC}">
                        <a14:shadowObscured xmlns:a14="http://schemas.microsoft.com/office/drawing/2010/main"/>
                      </a:ext>
                    </a:extLst>
                  </pic:spPr>
                </pic:pic>
              </a:graphicData>
            </a:graphic>
          </wp:inline>
        </w:drawing>
      </w:r>
    </w:p>
    <w:p w14:paraId="03A55217" w14:textId="185EA103" w:rsidR="00D03517" w:rsidRPr="008E0969" w:rsidRDefault="00D03517" w:rsidP="00D03517">
      <w:pPr>
        <w:pStyle w:val="BodyText1"/>
      </w:pPr>
      <w:r>
        <w:t xml:space="preserve">Table 3.5. </w:t>
      </w:r>
      <w:r w:rsidRPr="00D03517">
        <w:t>Model 1 with M2 Growth Control (n=587).</w:t>
      </w:r>
    </w:p>
    <w:p w14:paraId="784ADBBF" w14:textId="77777777" w:rsidR="00D03517" w:rsidRDefault="00D03517" w:rsidP="00D03517">
      <w:pPr>
        <w:pStyle w:val="BodyText1"/>
      </w:pPr>
      <w:r>
        <w:t>Source</w:t>
      </w:r>
      <w:r w:rsidRPr="008E0969">
        <w:t xml:space="preserve">: </w:t>
      </w:r>
      <w:r>
        <w:t>Author’s calculations.</w:t>
      </w:r>
    </w:p>
    <w:p w14:paraId="3199728F" w14:textId="77777777" w:rsidR="00D03517" w:rsidRDefault="00D03517" w:rsidP="00D03517">
      <w:pPr>
        <w:pStyle w:val="BodyText1"/>
      </w:pPr>
    </w:p>
    <w:p w14:paraId="542F76AD" w14:textId="3EA71FDC" w:rsidR="00D03517" w:rsidRDefault="00870023" w:rsidP="00D03517">
      <w:pPr>
        <w:pStyle w:val="BodyText1"/>
      </w:pPr>
      <w:r w:rsidRPr="00870023">
        <w:t>M2 growth has a positive coefficient of +1.133 and is marginally significant (p = 0.058), consistent with the idea that monetary expansion supports Bitcoin returns</w:t>
      </w:r>
      <w:r w:rsidR="00D03517" w:rsidRPr="00D03517">
        <w:t>.</w:t>
      </w:r>
    </w:p>
    <w:p w14:paraId="341D92AA" w14:textId="77777777" w:rsidR="00D03517" w:rsidRDefault="00D03517" w:rsidP="00D03517">
      <w:pPr>
        <w:pStyle w:val="BodyText1"/>
      </w:pPr>
    </w:p>
    <w:p w14:paraId="56358A52" w14:textId="69BDD6DE" w:rsidR="00D03517" w:rsidRDefault="00870023" w:rsidP="00D03517">
      <w:pPr>
        <w:pStyle w:val="BodyText1"/>
      </w:pPr>
      <w:r w:rsidRPr="00870023">
        <w:t xml:space="preserve">Adding M2 does not change the core results. </w:t>
      </w:r>
      <w:proofErr w:type="spellStart"/>
      <w:r w:rsidRPr="00870023">
        <w:t>dFedRate</w:t>
      </w:r>
      <w:proofErr w:type="spellEnd"/>
      <w:r w:rsidRPr="00870023">
        <w:t xml:space="preserve"> moves from -0.160 to -0.158 (p = 0.015), </w:t>
      </w:r>
      <w:proofErr w:type="spellStart"/>
      <w:r w:rsidRPr="00870023">
        <w:t>HalvingWindow</w:t>
      </w:r>
      <w:proofErr w:type="spellEnd"/>
      <w:r w:rsidRPr="00870023">
        <w:t xml:space="preserve"> from +0.030 to +0.029 (p = 0.008), and all three interaction terms stay insignificant with minimal changes. R-squared increases slightly from 0.073 to 0.076. This confirms the main findings are robust and that excluding M2 from the primary model does not bias the results</w:t>
      </w:r>
      <w:r w:rsidR="00D03517" w:rsidRPr="00D03517">
        <w:t>.</w:t>
      </w:r>
    </w:p>
    <w:p w14:paraId="6F7A661A" w14:textId="77777777" w:rsidR="00D03517" w:rsidRDefault="00D03517" w:rsidP="00D03517">
      <w:pPr>
        <w:pStyle w:val="BodyText1"/>
      </w:pPr>
    </w:p>
    <w:p w14:paraId="714FF1CE" w14:textId="21D07C37" w:rsidR="00D03517" w:rsidRDefault="00D03517" w:rsidP="00D03517">
      <w:pPr>
        <w:pStyle w:val="Pealkiri3"/>
      </w:pPr>
      <w:bookmarkStart w:id="20" w:name="_Toc225345703"/>
      <w:r>
        <w:t>3.4.3 Multi-Cryptocurrency Panel</w:t>
      </w:r>
      <w:bookmarkEnd w:id="20"/>
    </w:p>
    <w:p w14:paraId="69736C75" w14:textId="4F236EC5" w:rsidR="00D03517" w:rsidRDefault="003B6E78" w:rsidP="00D03517">
      <w:r w:rsidRPr="003B6E78">
        <w:t>Figure 3.2 plots the weekly log returns of all five cryptocurrencies in the panel</w:t>
      </w:r>
      <w:r w:rsidR="00D03517" w:rsidRPr="00D03517">
        <w:t>.</w:t>
      </w:r>
    </w:p>
    <w:p w14:paraId="09DA01E3" w14:textId="5D8C73B6" w:rsidR="00D03517" w:rsidRDefault="00D03517" w:rsidP="00D03517">
      <w:r>
        <w:rPr>
          <w:noProof/>
        </w:rPr>
        <w:lastRenderedPageBreak/>
        <w:drawing>
          <wp:inline distT="0" distB="0" distL="0" distR="0" wp14:anchorId="704001EE" wp14:editId="3DEA5D5D">
            <wp:extent cx="5939790" cy="2474595"/>
            <wp:effectExtent l="0" t="0" r="3810" b="1905"/>
            <wp:docPr id="14846145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14573" name="Picture 148461457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9790" cy="2474595"/>
                    </a:xfrm>
                    <a:prstGeom prst="rect">
                      <a:avLst/>
                    </a:prstGeom>
                  </pic:spPr>
                </pic:pic>
              </a:graphicData>
            </a:graphic>
          </wp:inline>
        </w:drawing>
      </w:r>
    </w:p>
    <w:p w14:paraId="21287FBB" w14:textId="77777777" w:rsidR="00D03517" w:rsidRDefault="00D03517" w:rsidP="00D03517">
      <w:pPr>
        <w:pStyle w:val="BodyText1"/>
      </w:pPr>
      <w:r>
        <w:t xml:space="preserve">Table 3.2. </w:t>
      </w:r>
      <w:r w:rsidRPr="00D03517">
        <w:t>Weekly Log-Returns: 5 Cryptocurrencies (Panel Data).</w:t>
      </w:r>
    </w:p>
    <w:p w14:paraId="320F4D77" w14:textId="0B002F70" w:rsidR="00D03517" w:rsidRDefault="00D03517" w:rsidP="00D03517">
      <w:pPr>
        <w:pStyle w:val="BodyText1"/>
      </w:pPr>
      <w:r>
        <w:t>Source</w:t>
      </w:r>
      <w:r w:rsidRPr="008E0969">
        <w:t xml:space="preserve">: </w:t>
      </w:r>
      <w:r>
        <w:t>Author’s calculations.</w:t>
      </w:r>
    </w:p>
    <w:p w14:paraId="360BC160" w14:textId="77777777" w:rsidR="00D03517" w:rsidRDefault="00D03517" w:rsidP="00D03517">
      <w:pPr>
        <w:pStyle w:val="BodyText1"/>
      </w:pPr>
    </w:p>
    <w:p w14:paraId="18DDC7FA" w14:textId="74B06501" w:rsidR="00D03517" w:rsidRDefault="003B6E78" w:rsidP="00D03517">
      <w:pPr>
        <w:pStyle w:val="BodyText1"/>
      </w:pPr>
      <w:r w:rsidRPr="003B6E78">
        <w:t>The panel specification estimates Model 1 across Bitcoin, Ethereum, Ripple, Litecoin, and Binance Coin using pooled OLS with entity fixed effects and HAC standard errors (</w:t>
      </w:r>
      <w:proofErr w:type="spellStart"/>
      <w:r w:rsidRPr="003B6E78">
        <w:t>maxlags</w:t>
      </w:r>
      <w:proofErr w:type="spellEnd"/>
      <w:r w:rsidRPr="003B6E78">
        <w:t xml:space="preserve">=10). The unbalanced panel has 2,496 observations, with Bitcoin and Litecoin contributing 597 each and the other three contributing 434 each. </w:t>
      </w:r>
      <w:proofErr w:type="spellStart"/>
      <w:r w:rsidRPr="003B6E78">
        <w:t>HalvingWindow</w:t>
      </w:r>
      <w:proofErr w:type="spellEnd"/>
      <w:r w:rsidRPr="003B6E78">
        <w:t xml:space="preserve"> uses Bitcoin's halving dates for all assets, and PostETF is 10 January 2024 for all</w:t>
      </w:r>
      <w:r w:rsidR="00D03517" w:rsidRPr="00D03517">
        <w:t>.</w:t>
      </w:r>
    </w:p>
    <w:p w14:paraId="122D6B52" w14:textId="77777777" w:rsidR="00D03517" w:rsidRDefault="00D03517" w:rsidP="00D03517">
      <w:pPr>
        <w:pStyle w:val="BodyText1"/>
      </w:pPr>
    </w:p>
    <w:p w14:paraId="49C8CC3E" w14:textId="1A9A1A4A" w:rsidR="00D03517" w:rsidRDefault="00D03517" w:rsidP="00D03517">
      <w:pPr>
        <w:pStyle w:val="BodyText1"/>
      </w:pPr>
      <w:r>
        <w:rPr>
          <w:noProof/>
        </w:rPr>
        <w:lastRenderedPageBreak/>
        <w:drawing>
          <wp:inline distT="0" distB="0" distL="0" distR="0" wp14:anchorId="24EF53E3" wp14:editId="0F894F32">
            <wp:extent cx="5939688" cy="3972153"/>
            <wp:effectExtent l="0" t="0" r="4445" b="0"/>
            <wp:docPr id="1738426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637" name="Picture 173842637"/>
                    <pic:cNvPicPr/>
                  </pic:nvPicPr>
                  <pic:blipFill rotWithShape="1">
                    <a:blip r:embed="rId28">
                      <a:extLst>
                        <a:ext uri="{28A0092B-C50C-407E-A947-70E740481C1C}">
                          <a14:useLocalDpi xmlns:a14="http://schemas.microsoft.com/office/drawing/2010/main" val="0"/>
                        </a:ext>
                      </a:extLst>
                    </a:blip>
                    <a:srcRect t="10130" b="10152"/>
                    <a:stretch>
                      <a:fillRect/>
                    </a:stretch>
                  </pic:blipFill>
                  <pic:spPr bwMode="auto">
                    <a:xfrm>
                      <a:off x="0" y="0"/>
                      <a:ext cx="5939790" cy="3972221"/>
                    </a:xfrm>
                    <a:prstGeom prst="rect">
                      <a:avLst/>
                    </a:prstGeom>
                    <a:ln>
                      <a:noFill/>
                    </a:ln>
                    <a:extLst>
                      <a:ext uri="{53640926-AAD7-44D8-BBD7-CCE9431645EC}">
                        <a14:shadowObscured xmlns:a14="http://schemas.microsoft.com/office/drawing/2010/main"/>
                      </a:ext>
                    </a:extLst>
                  </pic:spPr>
                </pic:pic>
              </a:graphicData>
            </a:graphic>
          </wp:inline>
        </w:drawing>
      </w:r>
    </w:p>
    <w:p w14:paraId="7FAC9162" w14:textId="7A070B9F" w:rsidR="00D03517" w:rsidRDefault="00D03517" w:rsidP="00D03517">
      <w:pPr>
        <w:pStyle w:val="BodyText1"/>
      </w:pPr>
      <w:r>
        <w:t xml:space="preserve">Table 3.6. </w:t>
      </w:r>
      <w:r w:rsidRPr="00D03517">
        <w:t>Multi-Cryptocurrency Panel Regression with Fixed Effects (n=2,496).</w:t>
      </w:r>
    </w:p>
    <w:p w14:paraId="1A525BD5" w14:textId="77777777" w:rsidR="00D03517" w:rsidRDefault="00D03517" w:rsidP="00D03517">
      <w:pPr>
        <w:pStyle w:val="BodyText1"/>
      </w:pPr>
      <w:r>
        <w:t>Source</w:t>
      </w:r>
      <w:r w:rsidRPr="008E0969">
        <w:t xml:space="preserve">: </w:t>
      </w:r>
      <w:r>
        <w:t>Author’s calculations.</w:t>
      </w:r>
    </w:p>
    <w:p w14:paraId="2518503D" w14:textId="77777777" w:rsidR="00D03517" w:rsidRDefault="00D03517" w:rsidP="00D03517">
      <w:pPr>
        <w:pStyle w:val="BodyText1"/>
      </w:pPr>
    </w:p>
    <w:p w14:paraId="745B9BEB" w14:textId="15DDCB9C" w:rsidR="00D03517" w:rsidRDefault="003B6E78" w:rsidP="00D03517">
      <w:pPr>
        <w:pStyle w:val="BodyText1"/>
      </w:pPr>
      <w:r w:rsidRPr="003B6E78">
        <w:t xml:space="preserve">The panel produces the strongest evidence for H2 across all specifications. The baseline </w:t>
      </w:r>
      <w:proofErr w:type="spellStart"/>
      <w:r w:rsidRPr="003B6E78">
        <w:t>HalvingWindow</w:t>
      </w:r>
      <w:proofErr w:type="spellEnd"/>
      <w:r w:rsidRPr="003B6E78">
        <w:t xml:space="preserve"> is +0.044 (p &lt; 0.001), a highly significant market-wide halving premium in the pre-ETF period. This is larger than the Bitcoin-only estimate of +0.030, reflecting the tendency of altcoins to amplify Bitcoin's supply-cycle returns. The Halving_x_PostETF interaction is -0.037 (p = 0.001), significant at the 1% level. This substantially strengthens the evidence for H2 relative to the Bitcoin-only weekly model where the same interaction reached only p = 0.104. The total post-ETF halving effect is +0.044 + (-0.037) = +0.007, an 84 percent reduction from the pre-ETF baseline. The halving premium that was significant across the crypto market before the ETF is essentially gone afterward</w:t>
      </w:r>
      <w:r w:rsidR="00D03517" w:rsidRPr="00D03517">
        <w:t>.</w:t>
      </w:r>
    </w:p>
    <w:p w14:paraId="1D0223A0" w14:textId="77777777" w:rsidR="00D03517" w:rsidRDefault="00D03517" w:rsidP="00D03517">
      <w:pPr>
        <w:pStyle w:val="BodyText1"/>
      </w:pPr>
    </w:p>
    <w:p w14:paraId="08EC4834" w14:textId="73351D15" w:rsidR="00D03517" w:rsidRDefault="003B6E78" w:rsidP="00D03517">
      <w:pPr>
        <w:pStyle w:val="BodyText1"/>
      </w:pPr>
      <w:r w:rsidRPr="003B6E78">
        <w:t xml:space="preserve">For H1, the panel is consistent with the Bitcoin-only results. </w:t>
      </w:r>
      <w:proofErr w:type="spellStart"/>
      <w:r w:rsidRPr="003B6E78">
        <w:t>FedRate_x_PostETF</w:t>
      </w:r>
      <w:proofErr w:type="spellEnd"/>
      <w:r w:rsidRPr="003B6E78">
        <w:t xml:space="preserve"> is +0.010 (p = 0.891) and </w:t>
      </w:r>
      <w:proofErr w:type="spellStart"/>
      <w:r w:rsidRPr="003B6E78">
        <w:t>FedBS_x_PostETF</w:t>
      </w:r>
      <w:proofErr w:type="spellEnd"/>
      <w:r w:rsidRPr="003B6E78">
        <w:t xml:space="preserve"> is -0.024 (p = 0.115), both insignificant. The baseline </w:t>
      </w:r>
      <w:proofErr w:type="spellStart"/>
      <w:r w:rsidRPr="003B6E78">
        <w:t>dFedRate</w:t>
      </w:r>
      <w:proofErr w:type="spellEnd"/>
      <w:r w:rsidRPr="003B6E78">
        <w:t xml:space="preserve"> is -0.067 (p = 0.069), marginally significant, but weaker than the Bitcoin-only estimate of -0.160, suggesting rate sensitivity is less pronounced across the broader crypto market</w:t>
      </w:r>
      <w:r w:rsidR="00D03517" w:rsidRPr="00D03517">
        <w:t>.</w:t>
      </w:r>
    </w:p>
    <w:p w14:paraId="4C74E654" w14:textId="77777777" w:rsidR="00D03517" w:rsidRDefault="00D03517" w:rsidP="00D03517">
      <w:pPr>
        <w:pStyle w:val="BodyText1"/>
      </w:pPr>
    </w:p>
    <w:p w14:paraId="2C96D7D0" w14:textId="6E77E816" w:rsidR="00D03517" w:rsidRDefault="003B6E78" w:rsidP="00D03517">
      <w:pPr>
        <w:pStyle w:val="BodyText1"/>
      </w:pPr>
      <w:r w:rsidRPr="003B6E78">
        <w:lastRenderedPageBreak/>
        <w:t xml:space="preserve">The entity fixed effects are all insignificant, meaning cryptocurrency-specific return levels do not differ meaningfully from Bitcoin after controlling for macro and halving effects. The controls gain significance in the larger panel, with R_SP500 at +0.462 (p = 0.001) and </w:t>
      </w:r>
      <w:proofErr w:type="spellStart"/>
      <w:r w:rsidRPr="003B6E78">
        <w:t>dVIX</w:t>
      </w:r>
      <w:proofErr w:type="spellEnd"/>
      <w:r w:rsidRPr="003B6E78">
        <w:t xml:space="preserve"> at -0.005 (p &lt; 0.001), consistent with the broader financial integration of the crypto market</w:t>
      </w:r>
      <w:r w:rsidR="00D03517" w:rsidRPr="00D03517">
        <w:t>.</w:t>
      </w:r>
    </w:p>
    <w:p w14:paraId="347BC215" w14:textId="77777777" w:rsidR="003B6E78" w:rsidRDefault="003B6E78" w:rsidP="00D03517">
      <w:pPr>
        <w:pStyle w:val="BodyText1"/>
      </w:pPr>
    </w:p>
    <w:p w14:paraId="1BB19209" w14:textId="6B3CFAAB" w:rsidR="00D03517" w:rsidRDefault="003B6E78" w:rsidP="00D03517">
      <w:pPr>
        <w:pStyle w:val="BodyText1"/>
      </w:pPr>
      <w:r w:rsidRPr="003B6E78">
        <w:t>The panel R-squared of 0.080 is close to the Bitcoin-only 0.073, showing the specification works similarly across major cryptocurrencies. The 1% significance of the halving interaction, made possible by the fourfold increase in sample size, confirms that the weakening of the halving premium post-ETF is not Bitcoin-specific but a market-wide phenomenon.</w:t>
      </w:r>
    </w:p>
    <w:p w14:paraId="4D8BA92A" w14:textId="4FB0D4BF" w:rsidR="00D03517" w:rsidRDefault="00D03517" w:rsidP="00D03517">
      <w:pPr>
        <w:pStyle w:val="Pealkiri2"/>
      </w:pPr>
      <w:bookmarkStart w:id="21" w:name="_Toc225345704"/>
      <w:r>
        <w:t>3.5</w:t>
      </w:r>
      <w:r w:rsidR="00FB17DD">
        <w:t>.</w:t>
      </w:r>
      <w:r>
        <w:t xml:space="preserve"> Summary of Hypothesis Tests</w:t>
      </w:r>
      <w:bookmarkEnd w:id="21"/>
    </w:p>
    <w:p w14:paraId="5CEDC637" w14:textId="537CFAED" w:rsidR="00D03517" w:rsidRDefault="003B6E78" w:rsidP="00D03517">
      <w:r w:rsidRPr="003B6E78">
        <w:t>Table 3.7 summarises the hypothesis test results across all specifications. Figure 3.3 compares the halving baseline and interaction coefficients across the three main specifications with 95% confidence intervals</w:t>
      </w:r>
      <w:r w:rsidR="00D03517" w:rsidRPr="00D03517">
        <w:t>.</w:t>
      </w:r>
    </w:p>
    <w:p w14:paraId="1139CD63" w14:textId="77777777" w:rsidR="00D03517" w:rsidRDefault="00D03517" w:rsidP="00D03517"/>
    <w:p w14:paraId="3293BF2D" w14:textId="25672ADE" w:rsidR="00D03517" w:rsidRDefault="00D03517" w:rsidP="00D03517">
      <w:r>
        <w:rPr>
          <w:noProof/>
        </w:rPr>
        <w:drawing>
          <wp:inline distT="0" distB="0" distL="0" distR="0" wp14:anchorId="01E45F71" wp14:editId="0B5B0563">
            <wp:extent cx="5937928" cy="1653236"/>
            <wp:effectExtent l="0" t="0" r="5715" b="4445"/>
            <wp:docPr id="84077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71405" name="Picture 840771405"/>
                    <pic:cNvPicPr/>
                  </pic:nvPicPr>
                  <pic:blipFill rotWithShape="1">
                    <a:blip r:embed="rId29" cstate="print">
                      <a:extLst>
                        <a:ext uri="{28A0092B-C50C-407E-A947-70E740481C1C}">
                          <a14:useLocalDpi xmlns:a14="http://schemas.microsoft.com/office/drawing/2010/main" val="0"/>
                        </a:ext>
                      </a:extLst>
                    </a:blip>
                    <a:srcRect t="10222" b="10085"/>
                    <a:stretch>
                      <a:fillRect/>
                    </a:stretch>
                  </pic:blipFill>
                  <pic:spPr bwMode="auto">
                    <a:xfrm>
                      <a:off x="0" y="0"/>
                      <a:ext cx="5939790" cy="1653754"/>
                    </a:xfrm>
                    <a:prstGeom prst="rect">
                      <a:avLst/>
                    </a:prstGeom>
                    <a:ln>
                      <a:noFill/>
                    </a:ln>
                    <a:extLst>
                      <a:ext uri="{53640926-AAD7-44D8-BBD7-CCE9431645EC}">
                        <a14:shadowObscured xmlns:a14="http://schemas.microsoft.com/office/drawing/2010/main"/>
                      </a:ext>
                    </a:extLst>
                  </pic:spPr>
                </pic:pic>
              </a:graphicData>
            </a:graphic>
          </wp:inline>
        </w:drawing>
      </w:r>
    </w:p>
    <w:p w14:paraId="2EFA003C" w14:textId="1A19D2F7" w:rsidR="00D03517" w:rsidRDefault="00D03517" w:rsidP="00D03517">
      <w:pPr>
        <w:pStyle w:val="BodyText1"/>
      </w:pPr>
      <w:r>
        <w:t xml:space="preserve">Table 3.7. </w:t>
      </w:r>
      <w:r w:rsidRPr="00D03517">
        <w:t>Summary of Hypothesis Test Results Across Specifications</w:t>
      </w:r>
      <w:r>
        <w:t>.</w:t>
      </w:r>
    </w:p>
    <w:p w14:paraId="47E7C50E" w14:textId="77777777" w:rsidR="00D03517" w:rsidRDefault="00D03517" w:rsidP="00D03517">
      <w:pPr>
        <w:pStyle w:val="BodyText1"/>
      </w:pPr>
      <w:r>
        <w:t>Source</w:t>
      </w:r>
      <w:r w:rsidRPr="008E0969">
        <w:t xml:space="preserve">: </w:t>
      </w:r>
      <w:r>
        <w:t>Author’s calculations.</w:t>
      </w:r>
    </w:p>
    <w:p w14:paraId="2810C758" w14:textId="77777777" w:rsidR="00D03517" w:rsidRDefault="00D03517" w:rsidP="00D03517"/>
    <w:p w14:paraId="1E276BAE" w14:textId="58FCFB4B" w:rsidR="00D03517" w:rsidRDefault="00D03517" w:rsidP="00D03517">
      <w:r>
        <w:rPr>
          <w:noProof/>
        </w:rPr>
        <w:lastRenderedPageBreak/>
        <w:drawing>
          <wp:inline distT="0" distB="0" distL="0" distR="0" wp14:anchorId="7C4152D2" wp14:editId="20D0F530">
            <wp:extent cx="5939790" cy="2969895"/>
            <wp:effectExtent l="0" t="0" r="3810" b="1905"/>
            <wp:docPr id="2905887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8722" name="Picture 2905887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969895"/>
                    </a:xfrm>
                    <a:prstGeom prst="rect">
                      <a:avLst/>
                    </a:prstGeom>
                  </pic:spPr>
                </pic:pic>
              </a:graphicData>
            </a:graphic>
          </wp:inline>
        </w:drawing>
      </w:r>
    </w:p>
    <w:p w14:paraId="601B1253" w14:textId="23EECA5C" w:rsidR="00D03517" w:rsidRDefault="00D03517" w:rsidP="00D03517">
      <w:pPr>
        <w:pStyle w:val="BodyText1"/>
      </w:pPr>
      <w:r>
        <w:t xml:space="preserve">Figure 3.3. </w:t>
      </w:r>
      <w:r w:rsidRPr="00D03517">
        <w:t>Halving Coefficients Across Specifications (±95% CI).</w:t>
      </w:r>
    </w:p>
    <w:p w14:paraId="099AE1EF" w14:textId="77777777" w:rsidR="00D03517" w:rsidRDefault="00D03517" w:rsidP="00D03517">
      <w:pPr>
        <w:pStyle w:val="BodyText1"/>
      </w:pPr>
      <w:r>
        <w:t>Source</w:t>
      </w:r>
      <w:r w:rsidRPr="008E0969">
        <w:t xml:space="preserve">: </w:t>
      </w:r>
      <w:r>
        <w:t>Author’s calculations.</w:t>
      </w:r>
    </w:p>
    <w:p w14:paraId="21EBDC6D" w14:textId="77777777" w:rsidR="00D03517" w:rsidRDefault="00D03517" w:rsidP="00D03517"/>
    <w:p w14:paraId="1E86792C" w14:textId="66682D6A" w:rsidR="00D03517" w:rsidRDefault="003B6E78" w:rsidP="00D03517">
      <w:r w:rsidRPr="003B6E78">
        <w:t xml:space="preserve">H1 (macro sensitivity increased post-ETF) is not supported at the 5% level in any specification. The weekly interaction terms are insignificant. The monthly </w:t>
      </w:r>
      <w:proofErr w:type="spellStart"/>
      <w:r w:rsidRPr="003B6E78">
        <w:t>FedBS_x_PostETF</w:t>
      </w:r>
      <w:proofErr w:type="spellEnd"/>
      <w:r w:rsidRPr="003B6E78">
        <w:t xml:space="preserve"> (p = 0.093) provides marginal evidence for the balance sheet channel, but the federal funds rate interaction is insignificant across all frequencies and samples</w:t>
      </w:r>
      <w:r w:rsidR="00D03517" w:rsidRPr="00D03517">
        <w:t>.</w:t>
      </w:r>
    </w:p>
    <w:p w14:paraId="548A5C35" w14:textId="77777777" w:rsidR="00D03517" w:rsidRDefault="00D03517" w:rsidP="00D03517"/>
    <w:p w14:paraId="315A1062" w14:textId="59D42E3F" w:rsidR="00D03517" w:rsidRDefault="003B6E78" w:rsidP="00D03517">
      <w:r w:rsidRPr="003B6E78">
        <w:t>H2 (halving effect diminished post-ETF) is supported. The halving premium collapses from a significant baseline (weekly +0.030, p = 0.007; panel +0.044, p &lt; 0.001) to near zero in all post-ETF specifications. The panel produces a significant interaction at the 1% level (-0.037, p = 0.001). The monthly replication yields a near-significant interaction (p = 0.068). The economic magnitude of the halving drop is consistent and large across all specifications, ranging from 84% to 113% of the pre-ETF coefficient</w:t>
      </w:r>
      <w:r w:rsidR="00D03517" w:rsidRPr="00D03517">
        <w:t>.</w:t>
      </w:r>
    </w:p>
    <w:p w14:paraId="26606109" w14:textId="77777777" w:rsidR="00D03517" w:rsidRDefault="00D03517" w:rsidP="00D03517"/>
    <w:p w14:paraId="318AE590" w14:textId="6261E280" w:rsidR="00D03517" w:rsidRDefault="00D03517" w:rsidP="00D03517">
      <w:pPr>
        <w:pStyle w:val="Pealkiri1"/>
      </w:pPr>
      <w:bookmarkStart w:id="22" w:name="_Toc225345705"/>
      <w:r>
        <w:lastRenderedPageBreak/>
        <w:t>4. DISCUSSION AND LIMITATIONS</w:t>
      </w:r>
      <w:bookmarkEnd w:id="22"/>
    </w:p>
    <w:p w14:paraId="76FA595A" w14:textId="3B856046" w:rsidR="00D03517" w:rsidRDefault="003B6E78" w:rsidP="00D03517">
      <w:r w:rsidRPr="003B6E78">
        <w:t>This chapter discusses the findings in relation to existing literature, considers possible explanations, and acknowledges the limitations of the study</w:t>
      </w:r>
      <w:r w:rsidR="00D03517" w:rsidRPr="00D03517">
        <w:t>.</w:t>
      </w:r>
    </w:p>
    <w:p w14:paraId="05B50ABD" w14:textId="4DDE8B9D" w:rsidR="00D03517" w:rsidRDefault="00D03517" w:rsidP="00D03517">
      <w:pPr>
        <w:pStyle w:val="Pealkiri2"/>
      </w:pPr>
      <w:bookmarkStart w:id="23" w:name="_Toc225345706"/>
      <w:r>
        <w:t>4.1</w:t>
      </w:r>
      <w:r w:rsidR="00FB17DD">
        <w:t>.</w:t>
      </w:r>
      <w:r>
        <w:t xml:space="preserve"> Discussion of Findings</w:t>
      </w:r>
      <w:bookmarkEnd w:id="23"/>
    </w:p>
    <w:p w14:paraId="7DD0C15C" w14:textId="5A93BAAE" w:rsidR="00D03517" w:rsidRDefault="003B6E78" w:rsidP="00D03517">
      <w:r w:rsidRPr="003B6E78">
        <w:t>The central finding of this study is that the spot ETF approval did not produce a statistically detectable increase in Bitcoin's macro sensitivity at weekly frequency, but it coincided with the disappearance of the historically significant halving premium across the crypto market. This asymmetric outcome, with H1 not supported but H2 supported, was not what the hypotheses anticipated and requires careful interpretation</w:t>
      </w:r>
      <w:r w:rsidR="00D03517" w:rsidRPr="00D03517">
        <w:t>.</w:t>
      </w:r>
    </w:p>
    <w:p w14:paraId="17FD6F94" w14:textId="77777777" w:rsidR="00D03517" w:rsidRDefault="00D03517" w:rsidP="00D03517"/>
    <w:p w14:paraId="6A3E9058" w14:textId="616448C0" w:rsidR="00D03517" w:rsidRDefault="003B6E78" w:rsidP="00D03517">
      <w:r w:rsidRPr="003B6E78">
        <w:t xml:space="preserve">The non-rejection of the null for H1 can be explained in several ways. First, 114 weekly observations may simply not be enough statistical power to detect moderate changes in regression slope coefficients through interaction terms. The fact that </w:t>
      </w:r>
      <w:proofErr w:type="spellStart"/>
      <w:r w:rsidRPr="003B6E78">
        <w:t>FedBS_x_PostETF</w:t>
      </w:r>
      <w:proofErr w:type="spellEnd"/>
      <w:r w:rsidRPr="003B6E78">
        <w:t xml:space="preserve"> reaches marginal significance at monthly frequency (p = 0.093) suggests a balance sheet channel may exist but is masked by weekly noise. As more post-ETF data becomes available, future replications could resolve this</w:t>
      </w:r>
      <w:r w:rsidR="00D03517" w:rsidRPr="00D03517">
        <w:t>.</w:t>
      </w:r>
    </w:p>
    <w:p w14:paraId="6AF3F48F" w14:textId="77777777" w:rsidR="00D03517" w:rsidRDefault="00D03517" w:rsidP="00D03517"/>
    <w:p w14:paraId="32B6FE01" w14:textId="4D23A375" w:rsidR="00D03517" w:rsidRDefault="003B6E78" w:rsidP="00D03517">
      <w:r w:rsidRPr="003B6E78">
        <w:t>Second, the literature shows that Bitcoin's macro sensitivity started strengthening well before the ETF approval. Karau (2023) places the shift around 2020, and Benigno and Rosa (2023) date the end of the "Bitcoin-macro disconnect" to roughly the same period. If macro integration was already largely complete by January 2024, the ETF approval may have added only a small incremental change, too small to detect with the available data. The Chow test's failure to find a break at either January 2024 or October 2023 (p = 0.467 and p = 0.350) is consistent with this gradual transition view</w:t>
      </w:r>
      <w:r w:rsidR="00D03517" w:rsidRPr="00D03517">
        <w:t>.</w:t>
      </w:r>
    </w:p>
    <w:p w14:paraId="5A1757E3" w14:textId="77777777" w:rsidR="00D03517" w:rsidRDefault="00D03517" w:rsidP="00D03517"/>
    <w:p w14:paraId="54AB3AD9" w14:textId="6C7C2496" w:rsidR="00D03517" w:rsidRDefault="003B6E78" w:rsidP="00D03517">
      <w:r w:rsidRPr="003B6E78">
        <w:t xml:space="preserve">Third, the post-ETF period has been characterised by substantial retail and momentum-driven trading, which may add noise that dilutes the macro signal. If institutional and retail flows react to macro conditions in opposite directions, the net effect on regression coefficients could be weakened even if institutional sensitivity is </w:t>
      </w:r>
      <w:proofErr w:type="gramStart"/>
      <w:r w:rsidRPr="003B6E78">
        <w:t>actually increasing</w:t>
      </w:r>
      <w:proofErr w:type="gramEnd"/>
      <w:r w:rsidR="00D03517" w:rsidRPr="00D03517">
        <w:t>.</w:t>
      </w:r>
    </w:p>
    <w:p w14:paraId="7FB8A24F" w14:textId="77777777" w:rsidR="00D03517" w:rsidRDefault="00D03517" w:rsidP="00D03517"/>
    <w:p w14:paraId="1579A30C" w14:textId="7F5680D6" w:rsidR="00D03517" w:rsidRDefault="003B6E78" w:rsidP="00D03517">
      <w:r w:rsidRPr="003B6E78">
        <w:t xml:space="preserve">The strong support for H2, particularly from the panel specification (Halving_x_PostETF = -0.037, p = 0.001), aligns with multiple strands of the literature. The market efficiency view of Yi et al. (2023) predicts that as Bitcoin matures, publicly known events should be increasingly priced in advance. The attention-driven interpretation of Liu et al. (2025) and </w:t>
      </w:r>
      <w:proofErr w:type="spellStart"/>
      <w:r w:rsidRPr="003B6E78">
        <w:t>Subawa</w:t>
      </w:r>
      <w:proofErr w:type="spellEnd"/>
      <w:r w:rsidRPr="003B6E78">
        <w:t xml:space="preserve"> et al. (2025) suggests halving effects should fade as institutional investors, who are less susceptible to narrative-driven trading, come to dominate. The direct empirical precedent comes from Veloso et al. (2025), who showed the 2024 halving produced the weakest price response of all four cycles. This study extends that finding by showing, in a regression framework, that the halving coefficient is not just smaller but statistically indistinguishable from zero in the post-ETF period, and that this weakening is not limited to Bitcoin but extends across major cryptocurrencies</w:t>
      </w:r>
      <w:r w:rsidR="00D03517" w:rsidRPr="00D03517">
        <w:t>.</w:t>
      </w:r>
    </w:p>
    <w:p w14:paraId="35397CC1" w14:textId="77777777" w:rsidR="00D03517" w:rsidRDefault="00D03517" w:rsidP="00D03517"/>
    <w:p w14:paraId="6C6402A3" w14:textId="09C525A2" w:rsidR="00D03517" w:rsidRDefault="003B6E78" w:rsidP="00D03517">
      <w:r w:rsidRPr="003B6E78">
        <w:t>The panel result is particularly informative because it addresses the power limitation of the Bitcoin-only model. With 2,496 observations across five cryptocurrencies, the interaction reaches p = 0.001, compared to only p = 0.104 in the Bitcoin-only weekly specification. That the halving weakening appears consistently across assets with different market caps, use cases, and investor bases makes it harder to dismiss as coincidence and points to a market-wide structural shift</w:t>
      </w:r>
      <w:r w:rsidR="00D03517" w:rsidRPr="00D03517">
        <w:t>.</w:t>
      </w:r>
    </w:p>
    <w:p w14:paraId="1DA0C67A" w14:textId="77777777" w:rsidR="003B6E78" w:rsidRDefault="003B6E78" w:rsidP="00D03517"/>
    <w:p w14:paraId="1513183F" w14:textId="37FE1DB5" w:rsidR="00D03517" w:rsidRDefault="003B6E78" w:rsidP="00D03517">
      <w:r w:rsidRPr="003B6E78">
        <w:t xml:space="preserve">The M2 robustness check provides additional context. The marginally significant positive coefficient on dM2 (+1.133, p = 0.058) is consistent with the liquidity channel documented by Zhao et al. (2023) and Sarker and Wang (2022), showing that monetary expansion is positively associated with Bitcoin returns. The stability of all core coefficients after adding M2 confirms the results are not driven by omitted liquidity </w:t>
      </w:r>
      <w:proofErr w:type="gramStart"/>
      <w:r w:rsidRPr="003B6E78">
        <w:t>effects.</w:t>
      </w:r>
      <w:r w:rsidR="00D03517" w:rsidRPr="00D03517">
        <w:t>.</w:t>
      </w:r>
      <w:proofErr w:type="gramEnd"/>
    </w:p>
    <w:p w14:paraId="3B697234" w14:textId="010E1C6D" w:rsidR="00D03517" w:rsidRDefault="00D03517" w:rsidP="00D03517">
      <w:pPr>
        <w:pStyle w:val="Pealkiri2"/>
      </w:pPr>
      <w:bookmarkStart w:id="24" w:name="_Toc225345707"/>
      <w:r>
        <w:t>4.2</w:t>
      </w:r>
      <w:r w:rsidR="00FB17DD">
        <w:t>.</w:t>
      </w:r>
      <w:r>
        <w:t xml:space="preserve"> Limitations</w:t>
      </w:r>
      <w:bookmarkEnd w:id="24"/>
    </w:p>
    <w:p w14:paraId="4248FF14" w14:textId="0BE08B1C" w:rsidR="00D03517" w:rsidRDefault="00D03517" w:rsidP="00D03517">
      <w:r w:rsidRPr="00D03517">
        <w:t>Several limitations qualify the interpretation of the results and should be considered when assessing the generalisability of the findings.</w:t>
      </w:r>
    </w:p>
    <w:p w14:paraId="414CE4D0" w14:textId="77777777" w:rsidR="00D03517" w:rsidRDefault="00D03517" w:rsidP="00D03517"/>
    <w:p w14:paraId="28AAB4AB" w14:textId="737012E7" w:rsidR="00D03517" w:rsidRDefault="00D03517" w:rsidP="00D03517">
      <w:r w:rsidRPr="00D03517">
        <w:t xml:space="preserve">The most fundamental limitation concerns the identification of the halving interaction effect. There are exactly three Bitcoin halvings within the sample period, July 2016, May 2020, and April 2024, and the Halving_x_PostETF interaction coefficient is identified exclusively from the third of these events, which is the only halving occurring in the post-ETF period. The regression coefficient </w:t>
      </w:r>
      <w:r w:rsidRPr="00D03517">
        <w:lastRenderedPageBreak/>
        <w:t>beta_7 therefore compares one post-ETF halving cycle against two pre-ETF halving cycles. While this is an inherent feature of the available data rather than a modelling error, it means that the finding of a diminished halving effect is identified from a single post-ETF event and cannot be verified against additional post-ETF halvings until approximately 2028.</w:t>
      </w:r>
    </w:p>
    <w:p w14:paraId="5C1CB35E" w14:textId="77777777" w:rsidR="00D03517" w:rsidRDefault="00D03517" w:rsidP="00D03517"/>
    <w:p w14:paraId="0607D859" w14:textId="0D1C9D0D" w:rsidR="00D03517" w:rsidRDefault="003B6E78" w:rsidP="00D03517">
      <w:r w:rsidRPr="003B6E78">
        <w:t>The short post-ETF observation window compounds this concern. With only 114 weekly observations (about 27 months), statistical power for detecting moderate changes through interaction terms is limited. The insignificant H1 interactions may reflect a real absence of effect or just the inability to detect a genuine but moderate change. The monthly robustness results, where the balance sheet interaction reaches p = 0.093, suggest the second interpretation cannot be ruled out</w:t>
      </w:r>
      <w:r w:rsidR="00D03517" w:rsidRPr="00D03517">
        <w:t>.</w:t>
      </w:r>
    </w:p>
    <w:p w14:paraId="03ED8CEE" w14:textId="77777777" w:rsidR="00D03517" w:rsidRDefault="00D03517" w:rsidP="00D03517"/>
    <w:p w14:paraId="158BE58D" w14:textId="70371CB3" w:rsidR="00D03517" w:rsidRDefault="003B6E78" w:rsidP="00D03517">
      <w:r w:rsidRPr="003B6E78">
        <w:t xml:space="preserve">The timing overlap between PostETF and </w:t>
      </w:r>
      <w:proofErr w:type="spellStart"/>
      <w:r w:rsidRPr="003B6E78">
        <w:t>HalvingWindow</w:t>
      </w:r>
      <w:proofErr w:type="spellEnd"/>
      <w:r w:rsidRPr="003B6E78">
        <w:t xml:space="preserve"> also creates challenges. The April 2024 halving happened only three months after the January 2024 ETF approval, so the fourth halving falls entirely within the PostETF = 1 period. This produces a VIF of 3.57 for the interaction, which is below the critical threshold of 10 but still enough to increase standard errors and reduce power. This collinearity is structural and cannot be resolved with different model specifications</w:t>
      </w:r>
      <w:r w:rsidR="00D03517" w:rsidRPr="00D03517">
        <w:t>.</w:t>
      </w:r>
    </w:p>
    <w:p w14:paraId="0DD73400" w14:textId="77777777" w:rsidR="00D03517" w:rsidRDefault="00D03517" w:rsidP="00D03517"/>
    <w:p w14:paraId="5DC9680F" w14:textId="51CF4648" w:rsidR="00D03517" w:rsidRDefault="003B6E78" w:rsidP="00D03517">
      <w:r w:rsidRPr="003B6E78">
        <w:t>The panel uses Bitcoin's halving dates for all five cryptocurrencies. This is reasonable given the documented tendency of the crypto market to follow Bitcoin's supply cycle, but it is possible the panel results reflect Bitcoin's influence on altcoin returns rather than an independent altcoin response to halvings. The fixed effects control for average return levels but not for differences in halving sensitivity across assets</w:t>
      </w:r>
      <w:r w:rsidR="00D03517" w:rsidRPr="00D03517">
        <w:t>.</w:t>
      </w:r>
    </w:p>
    <w:p w14:paraId="0CCE9E65" w14:textId="77777777" w:rsidR="00D03517" w:rsidRDefault="00D03517" w:rsidP="00D03517"/>
    <w:p w14:paraId="11162C52" w14:textId="0BA989EB" w:rsidR="00D03517" w:rsidRDefault="003B6E78" w:rsidP="00D03517">
      <w:r w:rsidRPr="003B6E78">
        <w:t>It is also worth noting that the models leave out Bitcoin-specific factors such as network hash rate, miner revenue, on-chain volume, and stablecoin market cap. These could potentially act as confounders, particularly around halvings when miner capitulation can cause price shocks unrelated to macro variables. The RESET test shows no functional form problems (p = 0.471), but the linear specification may miss threshold or regime-switching dynamics. Future research could apply Markov-switching or threshold regression models (Buthelezi, 2025; Aloui et al., 2024) to the same data</w:t>
      </w:r>
      <w:r w:rsidR="00D03517" w:rsidRPr="00D03517">
        <w:t>.</w:t>
      </w:r>
    </w:p>
    <w:p w14:paraId="06E9A438" w14:textId="77777777" w:rsidR="00D03517" w:rsidRDefault="00D03517" w:rsidP="00D03517"/>
    <w:p w14:paraId="5DC2068F" w14:textId="62990697" w:rsidR="00D03517" w:rsidRDefault="003B6E78" w:rsidP="00D03517">
      <w:r w:rsidRPr="003B6E78">
        <w:lastRenderedPageBreak/>
        <w:t>Finally, the non-normal residuals (Jarque-Bera p &lt; 0.001) are expected for financial data and do not invalidate OLS in the full 598-observation sample, where the central limit theorem applies. However, for the 114-observation post-ETF sub-sample, inference may be less precise and confidence intervals should be interpreted carefully</w:t>
      </w:r>
      <w:r w:rsidR="00D03517" w:rsidRPr="00D03517">
        <w:t>.</w:t>
      </w:r>
    </w:p>
    <w:p w14:paraId="10B0AD5F" w14:textId="77777777" w:rsidR="00D03517" w:rsidRDefault="00D03517" w:rsidP="00D03517"/>
    <w:p w14:paraId="10C6C502" w14:textId="6F2EB25A" w:rsidR="00D03517" w:rsidRDefault="00D8186D" w:rsidP="00D8186D">
      <w:pPr>
        <w:pStyle w:val="Pealkiri1"/>
        <w:rPr>
          <w:lang w:val="et-EE"/>
        </w:rPr>
      </w:pPr>
      <w:bookmarkStart w:id="25" w:name="_Toc225345708"/>
      <w:r>
        <w:rPr>
          <w:lang w:val="et-EE"/>
        </w:rPr>
        <w:t>CONCLUSION</w:t>
      </w:r>
      <w:bookmarkEnd w:id="25"/>
    </w:p>
    <w:p w14:paraId="73250FED" w14:textId="56999505" w:rsidR="00D8186D" w:rsidRDefault="003B6E78" w:rsidP="00D8186D">
      <w:pPr>
        <w:rPr>
          <w:lang w:val="et-EE"/>
        </w:rPr>
      </w:pPr>
      <w:r w:rsidRPr="003B6E78">
        <w:rPr>
          <w:lang w:val="et-EE"/>
        </w:rPr>
        <w:t>This study examined whether the spot Bitcoin ETF approval in January 2024 represents a structural break in Bitcoin's macro sensitivity and whether it has changed the halving cycle's effect on cryptocurrency returns. Two hypotheses were tested using OLS with Newey-West HAC standard errors on 598 weekly observations from July 2014 to March 2026</w:t>
      </w:r>
      <w:r w:rsidR="00D8186D" w:rsidRPr="00D8186D">
        <w:rPr>
          <w:lang w:val="et-EE"/>
        </w:rPr>
        <w:t>.</w:t>
      </w:r>
    </w:p>
    <w:p w14:paraId="51202AFC" w14:textId="77777777" w:rsidR="00D8186D" w:rsidRDefault="00D8186D" w:rsidP="00D8186D">
      <w:pPr>
        <w:rPr>
          <w:lang w:val="et-EE"/>
        </w:rPr>
      </w:pPr>
    </w:p>
    <w:p w14:paraId="49573062" w14:textId="0E4A00BC" w:rsidR="00D8186D" w:rsidRDefault="003B6E78" w:rsidP="00D8186D">
      <w:pPr>
        <w:rPr>
          <w:lang w:val="et-EE"/>
        </w:rPr>
      </w:pPr>
      <w:r w:rsidRPr="003B6E78">
        <w:rPr>
          <w:lang w:val="et-EE"/>
        </w:rPr>
        <w:t>The first hypothesis, that macro variables have a stronger association with weekly Bitcoin returns post-ETF, is not supported at the 5% level. The interaction terms for the federal funds rate and Fed balance sheet are both insignificant. The Chow test does not detect a break at the ETF date (p = 0.467). Monthly robustness analysis provides marginal evidence for a stronger balance sheet channel (p = 0.093), suggesting the effect may exist but is not detectable at weekly frequency with the available post-ETF data.</w:t>
      </w:r>
    </w:p>
    <w:p w14:paraId="7BFDFE2F" w14:textId="77777777" w:rsidR="00D8186D" w:rsidRDefault="00D8186D" w:rsidP="00D8186D">
      <w:pPr>
        <w:rPr>
          <w:lang w:val="et-EE"/>
        </w:rPr>
      </w:pPr>
    </w:p>
    <w:p w14:paraId="37FDFA56" w14:textId="0F356400" w:rsidR="00D8186D" w:rsidRDefault="003B6E78" w:rsidP="00D8186D">
      <w:pPr>
        <w:rPr>
          <w:lang w:val="et-EE"/>
        </w:rPr>
      </w:pPr>
      <w:r w:rsidRPr="003B6E78">
        <w:rPr>
          <w:lang w:val="et-EE"/>
        </w:rPr>
        <w:t>The second hypothesis, that the halving premium has diminished post-ETF, is supported. The pre-ETF halving coefficient is positive and highly significant (+0.030, p = 0.007 in the Bitcoin-only model; +0.044, p &lt; 0.001 in the panel), while the total post-ETF halving effect collapses to near zero across all specifications. The multi-cryptocurrency panel provides the strongest evidence with a halving interaction of -0.037 (p = 0.001), confirming that the weakening extends across major cryptocurrencies. This is consistent with the market efficiency hypothesis (Yi et al., 2023), the attention-based interpretation of halvings (Liu et al., 2025), and the observation that the 2024 halving produced the weakest price response of any cycle (Veloso et al., 2025)</w:t>
      </w:r>
      <w:r w:rsidR="00D8186D" w:rsidRPr="00D8186D">
        <w:rPr>
          <w:lang w:val="et-EE"/>
        </w:rPr>
        <w:t>.</w:t>
      </w:r>
    </w:p>
    <w:p w14:paraId="447EFF72" w14:textId="77777777" w:rsidR="00D8186D" w:rsidRDefault="00D8186D" w:rsidP="00D8186D">
      <w:pPr>
        <w:rPr>
          <w:lang w:val="et-EE"/>
        </w:rPr>
      </w:pPr>
    </w:p>
    <w:p w14:paraId="28D52510" w14:textId="2415355B" w:rsidR="00D8186D" w:rsidRDefault="003B6E78" w:rsidP="00D8186D">
      <w:pPr>
        <w:rPr>
          <w:lang w:val="et-EE"/>
        </w:rPr>
      </w:pPr>
      <w:r w:rsidRPr="003B6E78">
        <w:rPr>
          <w:lang w:val="et-EE"/>
        </w:rPr>
        <w:lastRenderedPageBreak/>
        <w:t>The main contribution of this thesis is a unified test that includes both the ETF dummy and the halving interaction within a single weekly regression spanning 2014 to 2026. The results suggest that the ETF did not amplify macro sensitivity through the channels tested here, but it coincided with what appears to be a fundamental change in the halving mechanism's role. The halving cycle, historically one of the most reliable predictors of positive Bitcoin returns, no longer has a significant effect in the post-institutional market</w:t>
      </w:r>
      <w:r w:rsidR="00D8186D" w:rsidRPr="00D8186D">
        <w:rPr>
          <w:lang w:val="et-EE"/>
        </w:rPr>
        <w:t>.</w:t>
      </w:r>
    </w:p>
    <w:p w14:paraId="76E839AF" w14:textId="77777777" w:rsidR="00D8186D" w:rsidRDefault="00D8186D" w:rsidP="00D8186D">
      <w:pPr>
        <w:rPr>
          <w:lang w:val="et-EE"/>
        </w:rPr>
      </w:pPr>
    </w:p>
    <w:p w14:paraId="36B7C202" w14:textId="28489A9A" w:rsidR="00D8186D" w:rsidRDefault="003B6E78" w:rsidP="00D8186D">
      <w:pPr>
        <w:rPr>
          <w:lang w:val="et-EE"/>
        </w:rPr>
      </w:pPr>
      <w:r w:rsidRPr="003B6E78">
        <w:rPr>
          <w:lang w:val="et-EE"/>
        </w:rPr>
        <w:t>For practitioners, this means that extrapolating past halving-cycle patterns into the post-ETF era may be unreliable. As the market deepens and institutional exposure grows, predictable supply events are likely to be priced in earlier, reducing the opportunity for systematic post-halving returns</w:t>
      </w:r>
      <w:r w:rsidR="00D8186D" w:rsidRPr="00D8186D">
        <w:rPr>
          <w:lang w:val="et-EE"/>
        </w:rPr>
        <w:t>.</w:t>
      </w:r>
    </w:p>
    <w:p w14:paraId="58252A4E" w14:textId="77777777" w:rsidR="00D8186D" w:rsidRDefault="00D8186D" w:rsidP="00D8186D">
      <w:pPr>
        <w:rPr>
          <w:lang w:val="et-EE"/>
        </w:rPr>
      </w:pPr>
    </w:p>
    <w:p w14:paraId="1FB3F897" w14:textId="49ED3C33" w:rsidR="00834B05" w:rsidRPr="00857BB5" w:rsidRDefault="003B6E78" w:rsidP="00D8186D">
      <w:pPr>
        <w:rPr>
          <w:lang w:val="et-EE"/>
        </w:rPr>
        <w:sectPr w:rsidR="00834B05" w:rsidRPr="00857BB5" w:rsidSect="002E44B0">
          <w:pgSz w:w="11906" w:h="16838"/>
          <w:pgMar w:top="1418" w:right="851" w:bottom="1418" w:left="1701" w:header="708" w:footer="708" w:gutter="0"/>
          <w:cols w:space="708"/>
          <w:docGrid w:linePitch="360"/>
        </w:sectPr>
      </w:pPr>
      <w:r w:rsidRPr="003B6E78">
        <w:rPr>
          <w:lang w:val="et-EE"/>
        </w:rPr>
        <w:t>Several directions for future research emerge from this work. The most pressing is the short post-ETF sample. Repeating this analysis after the next halving, expected in 2028, would help determine whether the halving weakening is permanent or specific to the 2024 cycle. Regime-switching or threshold models could also capture nonlinear dynamics that a linear interaction specification might miss. Finally, including on-chain variables such as hash rate, miner outflows, and exchange reserves would allow a more precise separation of halving effects into supply-driven and attention-driven components</w:t>
      </w:r>
      <w:r w:rsidR="00D8186D" w:rsidRPr="00D8186D">
        <w:rPr>
          <w:lang w:val="et-EE"/>
        </w:rPr>
        <w:t>.</w:t>
      </w:r>
    </w:p>
    <w:p w14:paraId="2D2DE9C7" w14:textId="055FAF5D" w:rsidR="006B6C27" w:rsidRPr="00D06A13" w:rsidRDefault="00B71BBE" w:rsidP="00025A6F">
      <w:pPr>
        <w:pStyle w:val="Pealkiri1"/>
        <w:rPr>
          <w:lang w:val="et-EE"/>
        </w:rPr>
      </w:pPr>
      <w:bookmarkStart w:id="26" w:name="_Toc225345709"/>
      <w:r w:rsidRPr="00D06A13">
        <w:rPr>
          <w:lang w:val="et-EE"/>
        </w:rPr>
        <w:lastRenderedPageBreak/>
        <w:t>LIST OF REFERENCES</w:t>
      </w:r>
      <w:bookmarkEnd w:id="26"/>
    </w:p>
    <w:p w14:paraId="31848543" w14:textId="43F91795" w:rsidR="003367B9" w:rsidRDefault="00E17C2E" w:rsidP="003367B9">
      <w:pPr>
        <w:pStyle w:val="Kasutatudallikateloetelu"/>
        <w:rPr>
          <w:lang w:val="et-EE"/>
        </w:rPr>
      </w:pPr>
      <w:r w:rsidRPr="00E17C2E">
        <w:rPr>
          <w:lang w:val="et-EE"/>
        </w:rPr>
        <w:t xml:space="preserve">Aloui, D., Zouaoui, R., Rachdi, H., Guesmi, K., &amp; Yarovaya, L. (2024). The impact of ECB's quantitative easing on cryptocurrency markets during times of crisis. </w:t>
      </w:r>
      <w:r w:rsidRPr="003367B9">
        <w:rPr>
          <w:i/>
          <w:iCs/>
          <w:lang w:val="et-EE"/>
        </w:rPr>
        <w:t>Research in International Business and Finance, 69</w:t>
      </w:r>
      <w:r w:rsidRPr="00E17C2E">
        <w:rPr>
          <w:lang w:val="et-EE"/>
        </w:rPr>
        <w:t xml:space="preserve">. </w:t>
      </w:r>
      <w:r>
        <w:rPr>
          <w:lang w:val="et-EE"/>
        </w:rPr>
        <w:fldChar w:fldCharType="begin"/>
      </w:r>
      <w:r>
        <w:rPr>
          <w:lang w:val="et-EE"/>
        </w:rPr>
        <w:instrText>HYPERLINK "</w:instrText>
      </w:r>
      <w:r w:rsidRPr="00E17C2E">
        <w:rPr>
          <w:lang w:val="et-EE"/>
        </w:rPr>
        <w:instrText>https://doi.org/10.1016/j.ribaf.2023.102203</w:instrText>
      </w:r>
      <w:r>
        <w:rPr>
          <w:lang w:val="et-EE"/>
        </w:rPr>
        <w:instrText>"</w:instrText>
      </w:r>
      <w:r>
        <w:rPr>
          <w:lang w:val="et-EE"/>
        </w:rPr>
        <w:fldChar w:fldCharType="separate"/>
      </w:r>
      <w:r w:rsidRPr="00E653D8">
        <w:rPr>
          <w:rStyle w:val="Hyperlink"/>
          <w:lang w:val="et-EE"/>
        </w:rPr>
        <w:t>https://doi.org/10.1016/j.ribaf.2023.102203</w:t>
      </w:r>
      <w:r>
        <w:rPr>
          <w:lang w:val="et-EE"/>
        </w:rPr>
        <w:fldChar w:fldCharType="end"/>
      </w:r>
    </w:p>
    <w:p w14:paraId="6846E5AE" w14:textId="4B49B691" w:rsidR="00E17C2E" w:rsidRDefault="00E17C2E" w:rsidP="003367B9">
      <w:pPr>
        <w:pStyle w:val="Kasutatudallikateloetelu"/>
        <w:rPr>
          <w:lang w:val="et-EE"/>
        </w:rPr>
      </w:pPr>
      <w:r w:rsidRPr="00E17C2E">
        <w:rPr>
          <w:lang w:val="et-EE"/>
        </w:rPr>
        <w:t xml:space="preserve">Babalos, V., Bouri, E., &amp; Gupta, R. (2025). Does the introduction of US spot Bitcoin ETFs affect spot returns and volatility of major cryptocurrencies? </w:t>
      </w:r>
      <w:r w:rsidRPr="003367B9">
        <w:rPr>
          <w:i/>
          <w:iCs/>
          <w:lang w:val="et-EE"/>
        </w:rPr>
        <w:t>The Quarterly Review of Economics and Finance, 102</w:t>
      </w:r>
      <w:r w:rsidRPr="00E17C2E">
        <w:rPr>
          <w:lang w:val="et-EE"/>
        </w:rPr>
        <w:t xml:space="preserve">. </w:t>
      </w:r>
      <w:r>
        <w:rPr>
          <w:lang w:val="et-EE"/>
        </w:rPr>
        <w:fldChar w:fldCharType="begin"/>
      </w:r>
      <w:r>
        <w:rPr>
          <w:lang w:val="et-EE"/>
        </w:rPr>
        <w:instrText>HYPERLINK "</w:instrText>
      </w:r>
      <w:r w:rsidRPr="00E17C2E">
        <w:rPr>
          <w:lang w:val="et-EE"/>
        </w:rPr>
        <w:instrText>https://doi.org/10.1016/j.qref.2025.102006</w:instrText>
      </w:r>
      <w:r>
        <w:rPr>
          <w:lang w:val="et-EE"/>
        </w:rPr>
        <w:instrText>"</w:instrText>
      </w:r>
      <w:r>
        <w:rPr>
          <w:lang w:val="et-EE"/>
        </w:rPr>
        <w:fldChar w:fldCharType="separate"/>
      </w:r>
      <w:r w:rsidRPr="00E653D8">
        <w:rPr>
          <w:rStyle w:val="Hyperlink"/>
          <w:lang w:val="et-EE"/>
        </w:rPr>
        <w:t>https://doi.org/10.1016/j.qref.2025.102006</w:t>
      </w:r>
      <w:r>
        <w:rPr>
          <w:lang w:val="et-EE"/>
        </w:rPr>
        <w:fldChar w:fldCharType="end"/>
      </w:r>
    </w:p>
    <w:p w14:paraId="740092DE" w14:textId="683D2C1D" w:rsidR="00E17C2E" w:rsidRDefault="00E17C2E" w:rsidP="00E17C2E">
      <w:pPr>
        <w:pStyle w:val="Kasutatudallikateloetelu"/>
        <w:rPr>
          <w:lang w:val="et-EE"/>
        </w:rPr>
      </w:pPr>
      <w:r w:rsidRPr="00E17C2E">
        <w:rPr>
          <w:lang w:val="et-EE"/>
        </w:rPr>
        <w:t xml:space="preserve">Bai, J., &amp; Perron, P. (1998). Estimating and testing linear models with multiple structural changes. </w:t>
      </w:r>
      <w:r w:rsidRPr="003367B9">
        <w:rPr>
          <w:i/>
          <w:iCs/>
          <w:lang w:val="et-EE"/>
        </w:rPr>
        <w:t>Econometrica, 66(1)</w:t>
      </w:r>
      <w:r w:rsidRPr="00E17C2E">
        <w:rPr>
          <w:lang w:val="et-EE"/>
        </w:rPr>
        <w:t xml:space="preserve">, 47–78. </w:t>
      </w:r>
      <w:r>
        <w:rPr>
          <w:lang w:val="et-EE"/>
        </w:rPr>
        <w:fldChar w:fldCharType="begin"/>
      </w:r>
      <w:r>
        <w:rPr>
          <w:lang w:val="et-EE"/>
        </w:rPr>
        <w:instrText>HYPERLINK "</w:instrText>
      </w:r>
      <w:r w:rsidRPr="00E17C2E">
        <w:rPr>
          <w:lang w:val="et-EE"/>
        </w:rPr>
        <w:instrText>https://doi.org/10.2307/2998540</w:instrText>
      </w:r>
      <w:r>
        <w:rPr>
          <w:lang w:val="et-EE"/>
        </w:rPr>
        <w:instrText>"</w:instrText>
      </w:r>
      <w:r>
        <w:rPr>
          <w:lang w:val="et-EE"/>
        </w:rPr>
        <w:fldChar w:fldCharType="separate"/>
      </w:r>
      <w:r w:rsidRPr="00E653D8">
        <w:rPr>
          <w:rStyle w:val="Hyperlink"/>
          <w:lang w:val="et-EE"/>
        </w:rPr>
        <w:t>https://doi.org/10.2307/2998540</w:t>
      </w:r>
      <w:r>
        <w:rPr>
          <w:lang w:val="et-EE"/>
        </w:rPr>
        <w:fldChar w:fldCharType="end"/>
      </w:r>
    </w:p>
    <w:p w14:paraId="4C5ABE6B" w14:textId="3FFB70F7" w:rsidR="00E17C2E" w:rsidRDefault="00E17C2E" w:rsidP="00E17C2E">
      <w:pPr>
        <w:pStyle w:val="Kasutatudallikateloetelu"/>
        <w:rPr>
          <w:lang w:val="et-EE"/>
        </w:rPr>
      </w:pPr>
      <w:r w:rsidRPr="00E17C2E">
        <w:rPr>
          <w:lang w:val="et-EE"/>
        </w:rPr>
        <w:t xml:space="preserve">Bakry, W., Rashid, A., Al-Mohamad, S., &amp; El-Kanj, N. (2021). Bitcoin and portfolio diversification: A portfolio optimization approach. </w:t>
      </w:r>
      <w:r w:rsidRPr="003367B9">
        <w:rPr>
          <w:i/>
          <w:iCs/>
          <w:lang w:val="et-EE"/>
        </w:rPr>
        <w:t>Journal of Risk and Financial Management, 14(7),</w:t>
      </w:r>
      <w:r w:rsidRPr="00E17C2E">
        <w:rPr>
          <w:lang w:val="et-EE"/>
        </w:rPr>
        <w:t xml:space="preserve"> 282. </w:t>
      </w:r>
      <w:r>
        <w:rPr>
          <w:lang w:val="et-EE"/>
        </w:rPr>
        <w:fldChar w:fldCharType="begin"/>
      </w:r>
      <w:r>
        <w:rPr>
          <w:lang w:val="et-EE"/>
        </w:rPr>
        <w:instrText>HYPERLINK "</w:instrText>
      </w:r>
      <w:r w:rsidRPr="00E17C2E">
        <w:rPr>
          <w:lang w:val="et-EE"/>
        </w:rPr>
        <w:instrText>https://doi.org/10.3390/jrfm14070282</w:instrText>
      </w:r>
      <w:r>
        <w:rPr>
          <w:lang w:val="et-EE"/>
        </w:rPr>
        <w:instrText>"</w:instrText>
      </w:r>
      <w:r>
        <w:rPr>
          <w:lang w:val="et-EE"/>
        </w:rPr>
        <w:fldChar w:fldCharType="separate"/>
      </w:r>
      <w:r w:rsidRPr="00E653D8">
        <w:rPr>
          <w:rStyle w:val="Hyperlink"/>
          <w:lang w:val="et-EE"/>
        </w:rPr>
        <w:t>https://doi.org/10.3390/jrfm14070282</w:t>
      </w:r>
      <w:r>
        <w:rPr>
          <w:lang w:val="et-EE"/>
        </w:rPr>
        <w:fldChar w:fldCharType="end"/>
      </w:r>
    </w:p>
    <w:p w14:paraId="0791328C" w14:textId="77E5FC9C" w:rsidR="00E17C2E" w:rsidRDefault="00E17C2E" w:rsidP="00E17C2E">
      <w:pPr>
        <w:pStyle w:val="Kasutatudallikateloetelu"/>
        <w:rPr>
          <w:lang w:val="et-EE"/>
        </w:rPr>
      </w:pPr>
      <w:r w:rsidRPr="00E17C2E">
        <w:rPr>
          <w:lang w:val="et-EE"/>
        </w:rPr>
        <w:t xml:space="preserve">Benigno, G., &amp; Rosa, C. (2023). </w:t>
      </w:r>
      <w:r w:rsidRPr="003367B9">
        <w:rPr>
          <w:i/>
          <w:iCs/>
          <w:lang w:val="et-EE"/>
        </w:rPr>
        <w:t>The Bitcoin–macro disconnect</w:t>
      </w:r>
      <w:r w:rsidRPr="00E17C2E">
        <w:rPr>
          <w:lang w:val="et-EE"/>
        </w:rPr>
        <w:t xml:space="preserve"> (Staff Report No. 1052). Federal Reserve Bank of New York. </w:t>
      </w:r>
      <w:r>
        <w:rPr>
          <w:lang w:val="et-EE"/>
        </w:rPr>
        <w:fldChar w:fldCharType="begin"/>
      </w:r>
      <w:r>
        <w:rPr>
          <w:lang w:val="et-EE"/>
        </w:rPr>
        <w:instrText>HYPERLINK "</w:instrText>
      </w:r>
      <w:r w:rsidRPr="00E17C2E">
        <w:rPr>
          <w:lang w:val="et-EE"/>
        </w:rPr>
        <w:instrText>https://www.newyorkfed.org/research/staff_reports/sr1052</w:instrText>
      </w:r>
      <w:r>
        <w:rPr>
          <w:lang w:val="et-EE"/>
        </w:rPr>
        <w:instrText>"</w:instrText>
      </w:r>
      <w:r>
        <w:rPr>
          <w:lang w:val="et-EE"/>
        </w:rPr>
        <w:fldChar w:fldCharType="separate"/>
      </w:r>
      <w:r w:rsidRPr="00E653D8">
        <w:rPr>
          <w:rStyle w:val="Hyperlink"/>
          <w:lang w:val="et-EE"/>
        </w:rPr>
        <w:t>https://www.newyorkfed.org/research/staff_reports/sr1052</w:t>
      </w:r>
      <w:r>
        <w:rPr>
          <w:lang w:val="et-EE"/>
        </w:rPr>
        <w:fldChar w:fldCharType="end"/>
      </w:r>
    </w:p>
    <w:p w14:paraId="43336ADC" w14:textId="76BFCEA2" w:rsidR="00E17C2E" w:rsidRDefault="00E17C2E" w:rsidP="00E17C2E">
      <w:pPr>
        <w:pStyle w:val="Kasutatudallikateloetelu"/>
        <w:rPr>
          <w:lang w:val="et-EE"/>
        </w:rPr>
      </w:pPr>
      <w:r w:rsidRPr="00E17C2E">
        <w:rPr>
          <w:lang w:val="et-EE"/>
        </w:rPr>
        <w:t xml:space="preserve">Boan, D., Pham, H., &amp; Nguyen Thanh, B. (2021). Price discovery in the cryptocurrency market: Evidence from institutional activity. </w:t>
      </w:r>
      <w:r w:rsidRPr="003367B9">
        <w:rPr>
          <w:i/>
          <w:iCs/>
          <w:lang w:val="et-EE"/>
        </w:rPr>
        <w:t>Journal of Industrial and Business Economics, 49(1),</w:t>
      </w:r>
      <w:r w:rsidRPr="00E17C2E">
        <w:rPr>
          <w:lang w:val="et-EE"/>
        </w:rPr>
        <w:t xml:space="preserve"> 111–131. </w:t>
      </w:r>
      <w:r>
        <w:rPr>
          <w:lang w:val="et-EE"/>
        </w:rPr>
        <w:fldChar w:fldCharType="begin"/>
      </w:r>
      <w:r>
        <w:rPr>
          <w:lang w:val="et-EE"/>
        </w:rPr>
        <w:instrText>HYPERLINK "</w:instrText>
      </w:r>
      <w:r w:rsidRPr="00E17C2E">
        <w:rPr>
          <w:lang w:val="et-EE"/>
        </w:rPr>
        <w:instrText>https://doi.org/10.1007/s40812-021-00202-0</w:instrText>
      </w:r>
      <w:r>
        <w:rPr>
          <w:lang w:val="et-EE"/>
        </w:rPr>
        <w:instrText>"</w:instrText>
      </w:r>
      <w:r>
        <w:rPr>
          <w:lang w:val="et-EE"/>
        </w:rPr>
        <w:fldChar w:fldCharType="separate"/>
      </w:r>
      <w:r w:rsidRPr="00E653D8">
        <w:rPr>
          <w:rStyle w:val="Hyperlink"/>
          <w:lang w:val="et-EE"/>
        </w:rPr>
        <w:t>https://doi.org/10.1007/s40812-021-00202-0</w:t>
      </w:r>
      <w:r>
        <w:rPr>
          <w:lang w:val="et-EE"/>
        </w:rPr>
        <w:fldChar w:fldCharType="end"/>
      </w:r>
    </w:p>
    <w:p w14:paraId="56F3C125" w14:textId="479ED061" w:rsidR="00E17C2E" w:rsidRDefault="00E17C2E" w:rsidP="00E17C2E">
      <w:pPr>
        <w:pStyle w:val="Kasutatudallikateloetelu"/>
        <w:rPr>
          <w:lang w:val="et-EE"/>
        </w:rPr>
      </w:pPr>
      <w:r w:rsidRPr="00E17C2E">
        <w:rPr>
          <w:lang w:val="et-EE"/>
        </w:rPr>
        <w:t xml:space="preserve">Bouri, E., Kristoufek, L., &amp; Azoury, N. (2022). Bitcoin and S&amp;P500: Co-movements of high-order moments in the time-frequency domain. </w:t>
      </w:r>
      <w:r w:rsidRPr="003367B9">
        <w:rPr>
          <w:i/>
          <w:iCs/>
          <w:lang w:val="et-EE"/>
        </w:rPr>
        <w:t>PLOS ONE, 17(11)</w:t>
      </w:r>
      <w:r w:rsidRPr="00E17C2E">
        <w:rPr>
          <w:lang w:val="et-EE"/>
        </w:rPr>
        <w:t xml:space="preserve">, e0277924. </w:t>
      </w:r>
      <w:r>
        <w:rPr>
          <w:lang w:val="et-EE"/>
        </w:rPr>
        <w:fldChar w:fldCharType="begin"/>
      </w:r>
      <w:r>
        <w:rPr>
          <w:lang w:val="et-EE"/>
        </w:rPr>
        <w:instrText>HYPERLINK "</w:instrText>
      </w:r>
      <w:r w:rsidRPr="00E17C2E">
        <w:rPr>
          <w:lang w:val="et-EE"/>
        </w:rPr>
        <w:instrText>https://doi.org/10.1371/journal.pone.0277924</w:instrText>
      </w:r>
      <w:r>
        <w:rPr>
          <w:lang w:val="et-EE"/>
        </w:rPr>
        <w:instrText>"</w:instrText>
      </w:r>
      <w:r>
        <w:rPr>
          <w:lang w:val="et-EE"/>
        </w:rPr>
        <w:fldChar w:fldCharType="separate"/>
      </w:r>
      <w:r w:rsidRPr="00E653D8">
        <w:rPr>
          <w:rStyle w:val="Hyperlink"/>
          <w:lang w:val="et-EE"/>
        </w:rPr>
        <w:t>https://doi.org/10.1371/journal.pone.0277924</w:t>
      </w:r>
      <w:r>
        <w:rPr>
          <w:lang w:val="et-EE"/>
        </w:rPr>
        <w:fldChar w:fldCharType="end"/>
      </w:r>
    </w:p>
    <w:p w14:paraId="6B5CC418" w14:textId="7169CCC2" w:rsidR="00E17C2E" w:rsidRDefault="00E17C2E" w:rsidP="00E17C2E">
      <w:pPr>
        <w:pStyle w:val="Kasutatudallikateloetelu"/>
        <w:rPr>
          <w:lang w:val="et-EE"/>
        </w:rPr>
      </w:pPr>
      <w:r w:rsidRPr="00E17C2E">
        <w:rPr>
          <w:lang w:val="et-EE"/>
        </w:rPr>
        <w:t xml:space="preserve">Buthelezi, E. M. (2025). Cryptocurrency responses to U.S. monetary policy shocks: A data-driven exploration of price and volatility patterns. </w:t>
      </w:r>
      <w:r w:rsidRPr="003367B9">
        <w:rPr>
          <w:i/>
          <w:iCs/>
          <w:lang w:val="et-EE"/>
        </w:rPr>
        <w:t xml:space="preserve">The American Economist, 70(1), </w:t>
      </w:r>
      <w:r w:rsidRPr="003367B9">
        <w:rPr>
          <w:lang w:val="et-EE"/>
        </w:rPr>
        <w:t>94–119</w:t>
      </w:r>
      <w:r w:rsidRPr="003367B9">
        <w:rPr>
          <w:i/>
          <w:iCs/>
          <w:lang w:val="et-EE"/>
        </w:rPr>
        <w:t>.</w:t>
      </w:r>
      <w:r w:rsidRPr="00E17C2E">
        <w:rPr>
          <w:lang w:val="et-EE"/>
        </w:rPr>
        <w:t xml:space="preserve"> </w:t>
      </w:r>
      <w:r>
        <w:rPr>
          <w:lang w:val="et-EE"/>
        </w:rPr>
        <w:fldChar w:fldCharType="begin"/>
      </w:r>
      <w:r>
        <w:rPr>
          <w:lang w:val="et-EE"/>
        </w:rPr>
        <w:instrText>HYPERLINK "</w:instrText>
      </w:r>
      <w:r w:rsidRPr="00E17C2E">
        <w:rPr>
          <w:lang w:val="et-EE"/>
        </w:rPr>
        <w:instrText>https://doi.org/10.1177/05694345241269036</w:instrText>
      </w:r>
      <w:r>
        <w:rPr>
          <w:lang w:val="et-EE"/>
        </w:rPr>
        <w:instrText>"</w:instrText>
      </w:r>
      <w:r>
        <w:rPr>
          <w:lang w:val="et-EE"/>
        </w:rPr>
        <w:fldChar w:fldCharType="separate"/>
      </w:r>
      <w:r w:rsidRPr="00E653D8">
        <w:rPr>
          <w:rStyle w:val="Hyperlink"/>
          <w:lang w:val="et-EE"/>
        </w:rPr>
        <w:t>https://doi.org/10.1177/05694345241269036</w:t>
      </w:r>
      <w:r>
        <w:rPr>
          <w:lang w:val="et-EE"/>
        </w:rPr>
        <w:fldChar w:fldCharType="end"/>
      </w:r>
    </w:p>
    <w:p w14:paraId="2090297B" w14:textId="745C08BE" w:rsidR="00E17C2E" w:rsidRDefault="00E17C2E" w:rsidP="00E17C2E">
      <w:pPr>
        <w:pStyle w:val="Kasutatudallikateloetelu"/>
        <w:rPr>
          <w:lang w:val="et-EE"/>
        </w:rPr>
      </w:pPr>
      <w:r w:rsidRPr="00E17C2E">
        <w:rPr>
          <w:lang w:val="et-EE"/>
        </w:rPr>
        <w:t>Che, N., Copestake, A., Furceri, D., &amp; Terracciano, T. (2023).</w:t>
      </w:r>
      <w:r w:rsidRPr="003367B9">
        <w:rPr>
          <w:i/>
          <w:iCs/>
          <w:lang w:val="et-EE"/>
        </w:rPr>
        <w:t xml:space="preserve"> The crypto cycle and US monetary policy</w:t>
      </w:r>
      <w:r w:rsidRPr="00E17C2E">
        <w:rPr>
          <w:lang w:val="et-EE"/>
        </w:rPr>
        <w:t xml:space="preserve"> (IMF Working Paper No. 2023/163). International Monetary Fund. </w:t>
      </w:r>
      <w:r>
        <w:rPr>
          <w:lang w:val="et-EE"/>
        </w:rPr>
        <w:fldChar w:fldCharType="begin"/>
      </w:r>
      <w:r>
        <w:rPr>
          <w:lang w:val="et-EE"/>
        </w:rPr>
        <w:instrText>HYPERLINK "</w:instrText>
      </w:r>
      <w:r w:rsidRPr="00E17C2E">
        <w:rPr>
          <w:lang w:val="et-EE"/>
        </w:rPr>
        <w:instrText>https://doi.org/10.5089/9798400245411.001</w:instrText>
      </w:r>
      <w:r>
        <w:rPr>
          <w:lang w:val="et-EE"/>
        </w:rPr>
        <w:instrText>"</w:instrText>
      </w:r>
      <w:r>
        <w:rPr>
          <w:lang w:val="et-EE"/>
        </w:rPr>
        <w:fldChar w:fldCharType="separate"/>
      </w:r>
      <w:r w:rsidRPr="00E653D8">
        <w:rPr>
          <w:rStyle w:val="Hyperlink"/>
          <w:lang w:val="et-EE"/>
        </w:rPr>
        <w:t>https://doi.org/10.5089/9798400245411.001</w:t>
      </w:r>
      <w:r>
        <w:rPr>
          <w:lang w:val="et-EE"/>
        </w:rPr>
        <w:fldChar w:fldCharType="end"/>
      </w:r>
    </w:p>
    <w:p w14:paraId="0740DA06" w14:textId="19A56EDD" w:rsidR="00E17C2E" w:rsidRDefault="00E17C2E" w:rsidP="00E17C2E">
      <w:pPr>
        <w:pStyle w:val="Kasutatudallikateloetelu"/>
        <w:rPr>
          <w:lang w:val="et-EE"/>
        </w:rPr>
      </w:pPr>
      <w:r w:rsidRPr="00E17C2E">
        <w:rPr>
          <w:lang w:val="et-EE"/>
        </w:rPr>
        <w:t xml:space="preserve">Choi, S., &amp; Shin, J. (2022). Bitcoin: An inflation hedge but not a safe haven. </w:t>
      </w:r>
      <w:r w:rsidRPr="003367B9">
        <w:rPr>
          <w:i/>
          <w:iCs/>
          <w:lang w:val="et-EE"/>
        </w:rPr>
        <w:t>Finance Research Letters, 46</w:t>
      </w:r>
      <w:r w:rsidRPr="00E17C2E">
        <w:rPr>
          <w:lang w:val="et-EE"/>
        </w:rPr>
        <w:t xml:space="preserve">. </w:t>
      </w:r>
      <w:r>
        <w:rPr>
          <w:lang w:val="et-EE"/>
        </w:rPr>
        <w:fldChar w:fldCharType="begin"/>
      </w:r>
      <w:r>
        <w:rPr>
          <w:lang w:val="et-EE"/>
        </w:rPr>
        <w:instrText>HYPERLINK "</w:instrText>
      </w:r>
      <w:r w:rsidRPr="00E17C2E">
        <w:rPr>
          <w:lang w:val="et-EE"/>
        </w:rPr>
        <w:instrText>https://doi.org/10.1016/j.frl.2021.102379</w:instrText>
      </w:r>
      <w:r>
        <w:rPr>
          <w:lang w:val="et-EE"/>
        </w:rPr>
        <w:instrText>"</w:instrText>
      </w:r>
      <w:r>
        <w:rPr>
          <w:lang w:val="et-EE"/>
        </w:rPr>
        <w:fldChar w:fldCharType="separate"/>
      </w:r>
      <w:r w:rsidRPr="00E653D8">
        <w:rPr>
          <w:rStyle w:val="Hyperlink"/>
          <w:lang w:val="et-EE"/>
        </w:rPr>
        <w:t>https://doi.org/10.1016/j.frl.2021.102379</w:t>
      </w:r>
      <w:r>
        <w:rPr>
          <w:lang w:val="et-EE"/>
        </w:rPr>
        <w:fldChar w:fldCharType="end"/>
      </w:r>
    </w:p>
    <w:p w14:paraId="07AB822A" w14:textId="3AA8A237" w:rsidR="00E17C2E" w:rsidRDefault="00E17C2E" w:rsidP="00E17C2E">
      <w:pPr>
        <w:pStyle w:val="Kasutatudallikateloetelu"/>
        <w:rPr>
          <w:lang w:val="et-EE"/>
        </w:rPr>
      </w:pPr>
      <w:r w:rsidRPr="00E17C2E">
        <w:rPr>
          <w:lang w:val="et-EE"/>
        </w:rPr>
        <w:lastRenderedPageBreak/>
        <w:t xml:space="preserve">Chow, G. C. (1960). Tests of equality between sets of coefficients in two linear regressions. </w:t>
      </w:r>
      <w:r w:rsidRPr="003367B9">
        <w:rPr>
          <w:i/>
          <w:iCs/>
          <w:lang w:val="et-EE"/>
        </w:rPr>
        <w:t>Econometrica, 28(3)</w:t>
      </w:r>
      <w:r w:rsidRPr="00E17C2E">
        <w:rPr>
          <w:lang w:val="et-EE"/>
        </w:rPr>
        <w:t xml:space="preserve">, 591–605. </w:t>
      </w:r>
      <w:r>
        <w:rPr>
          <w:lang w:val="et-EE"/>
        </w:rPr>
        <w:fldChar w:fldCharType="begin"/>
      </w:r>
      <w:r>
        <w:rPr>
          <w:lang w:val="et-EE"/>
        </w:rPr>
        <w:instrText>HYPERLINK "</w:instrText>
      </w:r>
      <w:r w:rsidRPr="00E17C2E">
        <w:rPr>
          <w:lang w:val="et-EE"/>
        </w:rPr>
        <w:instrText>https://doi.org/10.2307/1910133</w:instrText>
      </w:r>
      <w:r>
        <w:rPr>
          <w:lang w:val="et-EE"/>
        </w:rPr>
        <w:instrText>"</w:instrText>
      </w:r>
      <w:r>
        <w:rPr>
          <w:lang w:val="et-EE"/>
        </w:rPr>
        <w:fldChar w:fldCharType="separate"/>
      </w:r>
      <w:r w:rsidRPr="00E653D8">
        <w:rPr>
          <w:rStyle w:val="Hyperlink"/>
          <w:lang w:val="et-EE"/>
        </w:rPr>
        <w:t>https://doi.org/10.2307/1910133</w:t>
      </w:r>
      <w:r>
        <w:rPr>
          <w:lang w:val="et-EE"/>
        </w:rPr>
        <w:fldChar w:fldCharType="end"/>
      </w:r>
    </w:p>
    <w:p w14:paraId="36C55164" w14:textId="4AD02E30" w:rsidR="00E17C2E" w:rsidRDefault="00E17C2E" w:rsidP="00E17C2E">
      <w:pPr>
        <w:pStyle w:val="Kasutatudallikateloetelu"/>
        <w:rPr>
          <w:lang w:val="et-EE"/>
        </w:rPr>
      </w:pPr>
      <w:r w:rsidRPr="00E17C2E">
        <w:rPr>
          <w:lang w:val="et-EE"/>
        </w:rPr>
        <w:t xml:space="preserve">Corbet, S., Meegan, A., Larkin, C., Lucey, B., &amp; Yarovaya, L. (2018). Exploring the dynamic relationships between cryptocurrencies and other financial assets. </w:t>
      </w:r>
      <w:r w:rsidRPr="003367B9">
        <w:rPr>
          <w:i/>
          <w:iCs/>
          <w:lang w:val="et-EE"/>
        </w:rPr>
        <w:t>Economics Letters, 165</w:t>
      </w:r>
      <w:r w:rsidRPr="00E17C2E">
        <w:rPr>
          <w:lang w:val="et-EE"/>
        </w:rPr>
        <w:t xml:space="preserve">, 28–34. </w:t>
      </w:r>
      <w:r>
        <w:rPr>
          <w:lang w:val="et-EE"/>
        </w:rPr>
        <w:fldChar w:fldCharType="begin"/>
      </w:r>
      <w:r>
        <w:rPr>
          <w:lang w:val="et-EE"/>
        </w:rPr>
        <w:instrText>HYPERLINK "</w:instrText>
      </w:r>
      <w:r w:rsidRPr="00E17C2E">
        <w:rPr>
          <w:lang w:val="et-EE"/>
        </w:rPr>
        <w:instrText>https://doi.org/10.1016/j.econlet.2018.01.004</w:instrText>
      </w:r>
      <w:r>
        <w:rPr>
          <w:lang w:val="et-EE"/>
        </w:rPr>
        <w:instrText>"</w:instrText>
      </w:r>
      <w:r>
        <w:rPr>
          <w:lang w:val="et-EE"/>
        </w:rPr>
        <w:fldChar w:fldCharType="separate"/>
      </w:r>
      <w:r w:rsidRPr="00E653D8">
        <w:rPr>
          <w:rStyle w:val="Hyperlink"/>
          <w:lang w:val="et-EE"/>
        </w:rPr>
        <w:t>https://doi.org/10.1016/j.econlet.2018.01.004</w:t>
      </w:r>
      <w:r>
        <w:rPr>
          <w:lang w:val="et-EE"/>
        </w:rPr>
        <w:fldChar w:fldCharType="end"/>
      </w:r>
    </w:p>
    <w:p w14:paraId="73F097DD" w14:textId="381C12D5" w:rsidR="00E17C2E" w:rsidRDefault="00E17C2E" w:rsidP="00E17C2E">
      <w:pPr>
        <w:pStyle w:val="Kasutatudallikateloetelu"/>
        <w:rPr>
          <w:lang w:val="et-EE"/>
        </w:rPr>
      </w:pPr>
      <w:r w:rsidRPr="00E17C2E">
        <w:rPr>
          <w:lang w:val="et-EE"/>
        </w:rPr>
        <w:t xml:space="preserve">Elsayed, A. H., &amp; Sousa, R. M. (2022). International monetary policy and cryptocurrency markets: Dynamic and spillover effects. </w:t>
      </w:r>
      <w:r w:rsidRPr="003367B9">
        <w:rPr>
          <w:i/>
          <w:iCs/>
          <w:lang w:val="et-EE"/>
        </w:rPr>
        <w:t>The European Journal of Finance, 30(16)</w:t>
      </w:r>
      <w:r w:rsidRPr="00E17C2E">
        <w:rPr>
          <w:lang w:val="et-EE"/>
        </w:rPr>
        <w:t xml:space="preserve">, 1855–1875. </w:t>
      </w:r>
      <w:r>
        <w:rPr>
          <w:lang w:val="et-EE"/>
        </w:rPr>
        <w:fldChar w:fldCharType="begin"/>
      </w:r>
      <w:r>
        <w:rPr>
          <w:lang w:val="et-EE"/>
        </w:rPr>
        <w:instrText>HYPERLINK "</w:instrText>
      </w:r>
      <w:r w:rsidRPr="00E17C2E">
        <w:rPr>
          <w:lang w:val="et-EE"/>
        </w:rPr>
        <w:instrText>https://doi.org/10.1080/1351847X.2022.2068375</w:instrText>
      </w:r>
      <w:r>
        <w:rPr>
          <w:lang w:val="et-EE"/>
        </w:rPr>
        <w:instrText>"</w:instrText>
      </w:r>
      <w:r>
        <w:rPr>
          <w:lang w:val="et-EE"/>
        </w:rPr>
        <w:fldChar w:fldCharType="separate"/>
      </w:r>
      <w:r w:rsidRPr="00E653D8">
        <w:rPr>
          <w:rStyle w:val="Hyperlink"/>
          <w:lang w:val="et-EE"/>
        </w:rPr>
        <w:t>https://doi.org/10.1080/1351847X.2022.2068375</w:t>
      </w:r>
      <w:r>
        <w:rPr>
          <w:lang w:val="et-EE"/>
        </w:rPr>
        <w:fldChar w:fldCharType="end"/>
      </w:r>
    </w:p>
    <w:p w14:paraId="0CF27A2F" w14:textId="385EE41D" w:rsidR="00E17C2E" w:rsidRDefault="00E17C2E" w:rsidP="00E17C2E">
      <w:pPr>
        <w:pStyle w:val="Kasutatudallikateloetelu"/>
        <w:rPr>
          <w:lang w:val="et-EE"/>
        </w:rPr>
      </w:pPr>
      <w:r w:rsidRPr="00E17C2E">
        <w:rPr>
          <w:lang w:val="et-EE"/>
        </w:rPr>
        <w:t xml:space="preserve">Fabus, J., Kremenova, I., Stalmasekova, N., &amp; Kvasnicova-Galovicova, T. (2024). An empirical examination of Bitcoin's halving effects: Assessing cryptocurrency sustainability within the landscape of financial technologies. </w:t>
      </w:r>
      <w:r w:rsidRPr="003367B9">
        <w:rPr>
          <w:i/>
          <w:iCs/>
          <w:lang w:val="et-EE"/>
        </w:rPr>
        <w:t>Journal of Risk and Financial Management, 17</w:t>
      </w:r>
      <w:r w:rsidRPr="00E17C2E">
        <w:rPr>
          <w:lang w:val="et-EE"/>
        </w:rPr>
        <w:t xml:space="preserve">(6), 229. </w:t>
      </w:r>
      <w:r>
        <w:rPr>
          <w:lang w:val="et-EE"/>
        </w:rPr>
        <w:fldChar w:fldCharType="begin"/>
      </w:r>
      <w:r>
        <w:rPr>
          <w:lang w:val="et-EE"/>
        </w:rPr>
        <w:instrText>HYPERLINK "</w:instrText>
      </w:r>
      <w:r w:rsidRPr="00E17C2E">
        <w:rPr>
          <w:lang w:val="et-EE"/>
        </w:rPr>
        <w:instrText>https://doi.org/10.3390/jrfm17060229</w:instrText>
      </w:r>
      <w:r>
        <w:rPr>
          <w:lang w:val="et-EE"/>
        </w:rPr>
        <w:instrText>"</w:instrText>
      </w:r>
      <w:r>
        <w:rPr>
          <w:lang w:val="et-EE"/>
        </w:rPr>
        <w:fldChar w:fldCharType="separate"/>
      </w:r>
      <w:r w:rsidRPr="00E653D8">
        <w:rPr>
          <w:rStyle w:val="Hyperlink"/>
          <w:lang w:val="et-EE"/>
        </w:rPr>
        <w:t>https://doi.org/10.3390/jrfm17060229</w:t>
      </w:r>
      <w:r>
        <w:rPr>
          <w:lang w:val="et-EE"/>
        </w:rPr>
        <w:fldChar w:fldCharType="end"/>
      </w:r>
    </w:p>
    <w:p w14:paraId="430C02BB" w14:textId="1C122083" w:rsidR="00E17C2E" w:rsidRDefault="00E17C2E" w:rsidP="00E17C2E">
      <w:pPr>
        <w:pStyle w:val="Kasutatudallikateloetelu"/>
        <w:rPr>
          <w:lang w:val="et-EE"/>
        </w:rPr>
      </w:pPr>
      <w:r w:rsidRPr="00E17C2E">
        <w:rPr>
          <w:lang w:val="et-EE"/>
        </w:rPr>
        <w:t xml:space="preserve">Gu, C., Lv, B., Liu, Y., &amp; Peng, G. (2021). The impact of quantitative easing on cryptocurrency. </w:t>
      </w:r>
      <w:r w:rsidRPr="003367B9">
        <w:rPr>
          <w:i/>
          <w:iCs/>
          <w:lang w:val="et-EE"/>
        </w:rPr>
        <w:t>International Journal of Economics and Financial Issues, 11</w:t>
      </w:r>
      <w:r w:rsidRPr="00E17C2E">
        <w:rPr>
          <w:lang w:val="et-EE"/>
        </w:rPr>
        <w:t xml:space="preserve">(4), 27–34. </w:t>
      </w:r>
      <w:r>
        <w:rPr>
          <w:lang w:val="et-EE"/>
        </w:rPr>
        <w:fldChar w:fldCharType="begin"/>
      </w:r>
      <w:r>
        <w:rPr>
          <w:lang w:val="et-EE"/>
        </w:rPr>
        <w:instrText>HYPERLINK "</w:instrText>
      </w:r>
      <w:r w:rsidRPr="00E17C2E">
        <w:rPr>
          <w:lang w:val="et-EE"/>
        </w:rPr>
        <w:instrText>https://ideas.repec.org/a/eco/journ1/2021-04-4.html</w:instrText>
      </w:r>
      <w:r>
        <w:rPr>
          <w:lang w:val="et-EE"/>
        </w:rPr>
        <w:instrText>"</w:instrText>
      </w:r>
      <w:r>
        <w:rPr>
          <w:lang w:val="et-EE"/>
        </w:rPr>
        <w:fldChar w:fldCharType="separate"/>
      </w:r>
      <w:r w:rsidRPr="00E653D8">
        <w:rPr>
          <w:rStyle w:val="Hyperlink"/>
          <w:lang w:val="et-EE"/>
        </w:rPr>
        <w:t>https://ideas.repec.org/a/eco/journ1/2021-04-4.html</w:t>
      </w:r>
      <w:r>
        <w:rPr>
          <w:lang w:val="et-EE"/>
        </w:rPr>
        <w:fldChar w:fldCharType="end"/>
      </w:r>
    </w:p>
    <w:p w14:paraId="40A9BBD2" w14:textId="13F90845" w:rsidR="00E17C2E" w:rsidRDefault="00E17C2E" w:rsidP="00E17C2E">
      <w:pPr>
        <w:pStyle w:val="Kasutatudallikateloetelu"/>
        <w:rPr>
          <w:lang w:val="et-EE"/>
        </w:rPr>
      </w:pPr>
      <w:r w:rsidRPr="00E17C2E">
        <w:rPr>
          <w:lang w:val="et-EE"/>
        </w:rPr>
        <w:t xml:space="preserve">Guliyev, T., &amp; Ahmadova, A. (2025). From flows to value: Cointegration between Bitcoin spot ETF assets and Bitcoin price. </w:t>
      </w:r>
      <w:r w:rsidRPr="003367B9">
        <w:rPr>
          <w:i/>
          <w:iCs/>
          <w:lang w:val="et-EE"/>
        </w:rPr>
        <w:t>Ledger, 10</w:t>
      </w:r>
      <w:r w:rsidRPr="00E17C2E">
        <w:rPr>
          <w:lang w:val="et-EE"/>
        </w:rPr>
        <w:t xml:space="preserve">, 154–172. </w:t>
      </w:r>
      <w:r>
        <w:rPr>
          <w:lang w:val="et-EE"/>
        </w:rPr>
        <w:fldChar w:fldCharType="begin"/>
      </w:r>
      <w:r>
        <w:rPr>
          <w:lang w:val="et-EE"/>
        </w:rPr>
        <w:instrText>HYPERLINK "</w:instrText>
      </w:r>
      <w:r w:rsidRPr="00E17C2E">
        <w:rPr>
          <w:lang w:val="et-EE"/>
        </w:rPr>
        <w:instrText>https://doi.org/10.5195/ledger.2025.393</w:instrText>
      </w:r>
      <w:r>
        <w:rPr>
          <w:lang w:val="et-EE"/>
        </w:rPr>
        <w:instrText>"</w:instrText>
      </w:r>
      <w:r>
        <w:rPr>
          <w:lang w:val="et-EE"/>
        </w:rPr>
        <w:fldChar w:fldCharType="separate"/>
      </w:r>
      <w:r w:rsidRPr="00E653D8">
        <w:rPr>
          <w:rStyle w:val="Hyperlink"/>
          <w:lang w:val="et-EE"/>
        </w:rPr>
        <w:t>https://doi.org/10.5195/ledger.2025.393</w:t>
      </w:r>
      <w:r>
        <w:rPr>
          <w:lang w:val="et-EE"/>
        </w:rPr>
        <w:fldChar w:fldCharType="end"/>
      </w:r>
    </w:p>
    <w:p w14:paraId="6A1B2D39" w14:textId="5F04A117" w:rsidR="00E17C2E" w:rsidRDefault="00E17C2E" w:rsidP="00E17C2E">
      <w:pPr>
        <w:pStyle w:val="Kasutatudallikateloetelu"/>
        <w:rPr>
          <w:lang w:val="et-EE"/>
        </w:rPr>
      </w:pPr>
      <w:r w:rsidRPr="00E17C2E">
        <w:rPr>
          <w:lang w:val="et-EE"/>
        </w:rPr>
        <w:t xml:space="preserve">Hernandez, J. A., Hasan, M. Z., &amp; McIver, R. P. (2023). Bitcoin, gold, and the VIX: Short- and long-term effects of economic policy uncertainty. </w:t>
      </w:r>
      <w:r w:rsidRPr="00D67385">
        <w:rPr>
          <w:i/>
          <w:iCs/>
          <w:lang w:val="et-EE"/>
        </w:rPr>
        <w:t>Applied Economics Letters, 30</w:t>
      </w:r>
      <w:r w:rsidRPr="00E17C2E">
        <w:rPr>
          <w:lang w:val="et-EE"/>
        </w:rPr>
        <w:t xml:space="preserve">(6), 761–765. </w:t>
      </w:r>
      <w:r>
        <w:rPr>
          <w:lang w:val="et-EE"/>
        </w:rPr>
        <w:fldChar w:fldCharType="begin"/>
      </w:r>
      <w:r>
        <w:rPr>
          <w:lang w:val="et-EE"/>
        </w:rPr>
        <w:instrText>HYPERLINK "</w:instrText>
      </w:r>
      <w:r w:rsidRPr="00E17C2E">
        <w:rPr>
          <w:lang w:val="et-EE"/>
        </w:rPr>
        <w:instrText>https://doi.org/10.1080/13504851.2021.2018125</w:instrText>
      </w:r>
      <w:r>
        <w:rPr>
          <w:lang w:val="et-EE"/>
        </w:rPr>
        <w:instrText>"</w:instrText>
      </w:r>
      <w:r>
        <w:rPr>
          <w:lang w:val="et-EE"/>
        </w:rPr>
        <w:fldChar w:fldCharType="separate"/>
      </w:r>
      <w:r w:rsidRPr="00E653D8">
        <w:rPr>
          <w:rStyle w:val="Hyperlink"/>
          <w:lang w:val="et-EE"/>
        </w:rPr>
        <w:t>https://doi.org/10.1080/13504851.2021.2018125</w:t>
      </w:r>
      <w:r>
        <w:rPr>
          <w:lang w:val="et-EE"/>
        </w:rPr>
        <w:fldChar w:fldCharType="end"/>
      </w:r>
    </w:p>
    <w:p w14:paraId="75FC85ED" w14:textId="2540831D" w:rsidR="00E17C2E" w:rsidRDefault="00E17C2E" w:rsidP="00E17C2E">
      <w:pPr>
        <w:pStyle w:val="Kasutatudallikateloetelu"/>
        <w:rPr>
          <w:lang w:val="et-EE"/>
        </w:rPr>
      </w:pPr>
      <w:r w:rsidRPr="00E17C2E">
        <w:rPr>
          <w:lang w:val="et-EE"/>
        </w:rPr>
        <w:t xml:space="preserve">Hong, Y., Feng, H., Wang, Y., &amp; Li, B. (2025). </w:t>
      </w:r>
      <w:r w:rsidRPr="00D67385">
        <w:rPr>
          <w:i/>
          <w:iCs/>
          <w:lang w:val="et-EE"/>
        </w:rPr>
        <w:t>The impact of Bitcoin ETF approval on Bitcoin's hedging properties against traditional assets</w:t>
      </w:r>
      <w:r w:rsidRPr="00E17C2E">
        <w:rPr>
          <w:lang w:val="et-EE"/>
        </w:rPr>
        <w:t xml:space="preserve">. arXiv. </w:t>
      </w:r>
      <w:r>
        <w:rPr>
          <w:lang w:val="et-EE"/>
        </w:rPr>
        <w:fldChar w:fldCharType="begin"/>
      </w:r>
      <w:r>
        <w:rPr>
          <w:lang w:val="et-EE"/>
        </w:rPr>
        <w:instrText>HYPERLINK "</w:instrText>
      </w:r>
      <w:r w:rsidRPr="00E17C2E">
        <w:rPr>
          <w:lang w:val="et-EE"/>
        </w:rPr>
        <w:instrText>https://doi.org/10.48550/arXiv.2512.12815</w:instrText>
      </w:r>
      <w:r>
        <w:rPr>
          <w:lang w:val="et-EE"/>
        </w:rPr>
        <w:instrText>"</w:instrText>
      </w:r>
      <w:r>
        <w:rPr>
          <w:lang w:val="et-EE"/>
        </w:rPr>
        <w:fldChar w:fldCharType="separate"/>
      </w:r>
      <w:r w:rsidRPr="00E653D8">
        <w:rPr>
          <w:rStyle w:val="Hyperlink"/>
          <w:lang w:val="et-EE"/>
        </w:rPr>
        <w:t>https://doi.org/10.48550/arXiv.2512.12815</w:t>
      </w:r>
      <w:r>
        <w:rPr>
          <w:lang w:val="et-EE"/>
        </w:rPr>
        <w:fldChar w:fldCharType="end"/>
      </w:r>
    </w:p>
    <w:p w14:paraId="75E8D255" w14:textId="2EDD36C0" w:rsidR="00E17C2E" w:rsidRDefault="00E17C2E" w:rsidP="00E17C2E">
      <w:pPr>
        <w:pStyle w:val="Kasutatudallikateloetelu"/>
        <w:rPr>
          <w:lang w:val="et-EE"/>
        </w:rPr>
      </w:pPr>
      <w:r w:rsidRPr="00E17C2E">
        <w:rPr>
          <w:lang w:val="et-EE"/>
        </w:rPr>
        <w:t xml:space="preserve">Karau, S. (2023). </w:t>
      </w:r>
      <w:r w:rsidRPr="00D67385">
        <w:rPr>
          <w:i/>
          <w:iCs/>
          <w:lang w:val="et-EE"/>
        </w:rPr>
        <w:t>Monetary policy and Bitcoin. Journal of International Money and Finance, 137</w:t>
      </w:r>
      <w:r w:rsidRPr="00E17C2E">
        <w:rPr>
          <w:lang w:val="et-EE"/>
        </w:rPr>
        <w:t xml:space="preserve">. </w:t>
      </w:r>
      <w:r>
        <w:rPr>
          <w:lang w:val="et-EE"/>
        </w:rPr>
        <w:fldChar w:fldCharType="begin"/>
      </w:r>
      <w:r>
        <w:rPr>
          <w:lang w:val="et-EE"/>
        </w:rPr>
        <w:instrText>HYPERLINK "</w:instrText>
      </w:r>
      <w:r w:rsidRPr="00E17C2E">
        <w:rPr>
          <w:lang w:val="et-EE"/>
        </w:rPr>
        <w:instrText>https://doi.org/10.1016/j.jimonfin.2023.102880</w:instrText>
      </w:r>
      <w:r>
        <w:rPr>
          <w:lang w:val="et-EE"/>
        </w:rPr>
        <w:instrText>"</w:instrText>
      </w:r>
      <w:r>
        <w:rPr>
          <w:lang w:val="et-EE"/>
        </w:rPr>
        <w:fldChar w:fldCharType="separate"/>
      </w:r>
      <w:r w:rsidRPr="00E653D8">
        <w:rPr>
          <w:rStyle w:val="Hyperlink"/>
          <w:lang w:val="et-EE"/>
        </w:rPr>
        <w:t>https://doi.org/10.1016/j.jimonfin.2023.102880</w:t>
      </w:r>
      <w:r>
        <w:rPr>
          <w:lang w:val="et-EE"/>
        </w:rPr>
        <w:fldChar w:fldCharType="end"/>
      </w:r>
    </w:p>
    <w:p w14:paraId="03F34138" w14:textId="494585D8" w:rsidR="00E17C2E" w:rsidRDefault="00E17C2E" w:rsidP="00E17C2E">
      <w:pPr>
        <w:pStyle w:val="Kasutatudallikateloetelu"/>
        <w:rPr>
          <w:lang w:val="et-EE"/>
        </w:rPr>
      </w:pPr>
      <w:r w:rsidRPr="00E17C2E">
        <w:rPr>
          <w:lang w:val="et-EE"/>
        </w:rPr>
        <w:t xml:space="preserve">Kia, K., Song, V. Y., &amp; Xu, K. (2025). Price discovery in Bitcoin ETF market. </w:t>
      </w:r>
      <w:r w:rsidRPr="00D67385">
        <w:rPr>
          <w:i/>
          <w:iCs/>
          <w:lang w:val="et-EE"/>
        </w:rPr>
        <w:t>The Financial Review</w:t>
      </w:r>
      <w:r w:rsidRPr="00E17C2E">
        <w:rPr>
          <w:lang w:val="et-EE"/>
        </w:rPr>
        <w:t xml:space="preserve">. Advance online publication. </w:t>
      </w:r>
      <w:r>
        <w:rPr>
          <w:lang w:val="et-EE"/>
        </w:rPr>
        <w:fldChar w:fldCharType="begin"/>
      </w:r>
      <w:r>
        <w:rPr>
          <w:lang w:val="et-EE"/>
        </w:rPr>
        <w:instrText>HYPERLINK "</w:instrText>
      </w:r>
      <w:r w:rsidRPr="00E17C2E">
        <w:rPr>
          <w:lang w:val="et-EE"/>
        </w:rPr>
        <w:instrText>https://doi.org/10.1111/fire.70026</w:instrText>
      </w:r>
      <w:r>
        <w:rPr>
          <w:lang w:val="et-EE"/>
        </w:rPr>
        <w:instrText>"</w:instrText>
      </w:r>
      <w:r>
        <w:rPr>
          <w:lang w:val="et-EE"/>
        </w:rPr>
        <w:fldChar w:fldCharType="separate"/>
      </w:r>
      <w:r w:rsidRPr="00E653D8">
        <w:rPr>
          <w:rStyle w:val="Hyperlink"/>
          <w:lang w:val="et-EE"/>
        </w:rPr>
        <w:t>https://doi.org/10.1111/fire.70026</w:t>
      </w:r>
      <w:r>
        <w:rPr>
          <w:lang w:val="et-EE"/>
        </w:rPr>
        <w:fldChar w:fldCharType="end"/>
      </w:r>
    </w:p>
    <w:p w14:paraId="6AEACB60" w14:textId="1F68A8FD" w:rsidR="00E17C2E" w:rsidRDefault="00E17C2E" w:rsidP="00E17C2E">
      <w:pPr>
        <w:pStyle w:val="Kasutatudallikateloetelu"/>
        <w:rPr>
          <w:lang w:val="et-EE"/>
        </w:rPr>
      </w:pPr>
      <w:r w:rsidRPr="00E17C2E">
        <w:rPr>
          <w:lang w:val="et-EE"/>
        </w:rPr>
        <w:t xml:space="preserve">Lashkaripour, M. (2024). Some stylized facts about Bitcoin halving. </w:t>
      </w:r>
      <w:r w:rsidRPr="00D67385">
        <w:rPr>
          <w:i/>
          <w:iCs/>
          <w:lang w:val="et-EE"/>
        </w:rPr>
        <w:t>Finance Research Letters, 69.</w:t>
      </w:r>
      <w:r w:rsidRPr="00E17C2E">
        <w:rPr>
          <w:lang w:val="et-EE"/>
        </w:rPr>
        <w:t xml:space="preserve"> </w:t>
      </w:r>
      <w:r>
        <w:rPr>
          <w:lang w:val="et-EE"/>
        </w:rPr>
        <w:fldChar w:fldCharType="begin"/>
      </w:r>
      <w:r>
        <w:rPr>
          <w:lang w:val="et-EE"/>
        </w:rPr>
        <w:instrText>HYPERLINK "</w:instrText>
      </w:r>
      <w:r w:rsidRPr="00E17C2E">
        <w:rPr>
          <w:lang w:val="et-EE"/>
        </w:rPr>
        <w:instrText>https://doi.org/10.1016/j.frl.2024.106198</w:instrText>
      </w:r>
      <w:r>
        <w:rPr>
          <w:lang w:val="et-EE"/>
        </w:rPr>
        <w:instrText>"</w:instrText>
      </w:r>
      <w:r>
        <w:rPr>
          <w:lang w:val="et-EE"/>
        </w:rPr>
        <w:fldChar w:fldCharType="separate"/>
      </w:r>
      <w:r w:rsidRPr="00E653D8">
        <w:rPr>
          <w:rStyle w:val="Hyperlink"/>
          <w:lang w:val="et-EE"/>
        </w:rPr>
        <w:t>https://doi.org/10.1016/j.frl.2024.106198</w:t>
      </w:r>
      <w:r>
        <w:rPr>
          <w:lang w:val="et-EE"/>
        </w:rPr>
        <w:fldChar w:fldCharType="end"/>
      </w:r>
    </w:p>
    <w:p w14:paraId="4B25A501" w14:textId="16AFBA9B" w:rsidR="00E17C2E" w:rsidRDefault="00E17C2E" w:rsidP="00E17C2E">
      <w:pPr>
        <w:pStyle w:val="Kasutatudallikateloetelu"/>
        <w:rPr>
          <w:lang w:val="et-EE"/>
        </w:rPr>
      </w:pPr>
      <w:r w:rsidRPr="00E17C2E">
        <w:rPr>
          <w:lang w:val="et-EE"/>
        </w:rPr>
        <w:t xml:space="preserve">Lin, M., Liu, Y., &amp; Sheng, V. N. K. (2025). Analysis of the impact of macroeconomic factors on cryptocurrency returns: Based on a quantile regression study. </w:t>
      </w:r>
      <w:r w:rsidRPr="00D67385">
        <w:rPr>
          <w:i/>
          <w:iCs/>
          <w:lang w:val="et-EE"/>
        </w:rPr>
        <w:t>International Review of Economics &amp; Finance, 97.</w:t>
      </w:r>
      <w:r w:rsidRPr="00E17C2E">
        <w:rPr>
          <w:lang w:val="et-EE"/>
        </w:rPr>
        <w:t xml:space="preserve"> </w:t>
      </w:r>
      <w:r>
        <w:rPr>
          <w:lang w:val="et-EE"/>
        </w:rPr>
        <w:fldChar w:fldCharType="begin"/>
      </w:r>
      <w:r>
        <w:rPr>
          <w:lang w:val="et-EE"/>
        </w:rPr>
        <w:instrText>HYPERLINK "</w:instrText>
      </w:r>
      <w:r w:rsidRPr="00E17C2E">
        <w:rPr>
          <w:lang w:val="et-EE"/>
        </w:rPr>
        <w:instrText>https://doi.org/10.1016/j.iref.2024.103757</w:instrText>
      </w:r>
      <w:r>
        <w:rPr>
          <w:lang w:val="et-EE"/>
        </w:rPr>
        <w:instrText>"</w:instrText>
      </w:r>
      <w:r>
        <w:rPr>
          <w:lang w:val="et-EE"/>
        </w:rPr>
        <w:fldChar w:fldCharType="separate"/>
      </w:r>
      <w:r w:rsidRPr="00E653D8">
        <w:rPr>
          <w:rStyle w:val="Hyperlink"/>
          <w:lang w:val="et-EE"/>
        </w:rPr>
        <w:t>https://doi.org/10.1016/j.iref.2024.103757</w:t>
      </w:r>
      <w:r>
        <w:rPr>
          <w:lang w:val="et-EE"/>
        </w:rPr>
        <w:fldChar w:fldCharType="end"/>
      </w:r>
    </w:p>
    <w:p w14:paraId="00004B26" w14:textId="6C77BAED" w:rsidR="00E17C2E" w:rsidRDefault="00E17C2E" w:rsidP="00E17C2E">
      <w:pPr>
        <w:pStyle w:val="Kasutatudallikateloetelu"/>
        <w:rPr>
          <w:lang w:val="et-EE"/>
        </w:rPr>
      </w:pPr>
      <w:r w:rsidRPr="00E17C2E">
        <w:rPr>
          <w:lang w:val="et-EE"/>
        </w:rPr>
        <w:lastRenderedPageBreak/>
        <w:t xml:space="preserve">Liu, S., &amp; Yang, C. (2024). Spot cryptocurrency ETFs: Crypto investment products or stepping stones toward tokenization. </w:t>
      </w:r>
      <w:r w:rsidRPr="00D67385">
        <w:rPr>
          <w:i/>
          <w:iCs/>
          <w:lang w:val="et-EE"/>
        </w:rPr>
        <w:t>Finance Research Letters, 69.</w:t>
      </w:r>
      <w:r w:rsidRPr="00E17C2E">
        <w:rPr>
          <w:lang w:val="et-EE"/>
        </w:rPr>
        <w:t xml:space="preserve"> </w:t>
      </w:r>
      <w:r>
        <w:rPr>
          <w:lang w:val="et-EE"/>
        </w:rPr>
        <w:fldChar w:fldCharType="begin"/>
      </w:r>
      <w:r>
        <w:rPr>
          <w:lang w:val="et-EE"/>
        </w:rPr>
        <w:instrText>HYPERLINK "</w:instrText>
      </w:r>
      <w:r w:rsidRPr="00E17C2E">
        <w:rPr>
          <w:lang w:val="et-EE"/>
        </w:rPr>
        <w:instrText>https://doi.org/10.1016/j.frl.2024.106150</w:instrText>
      </w:r>
      <w:r>
        <w:rPr>
          <w:lang w:val="et-EE"/>
        </w:rPr>
        <w:instrText>"</w:instrText>
      </w:r>
      <w:r>
        <w:rPr>
          <w:lang w:val="et-EE"/>
        </w:rPr>
        <w:fldChar w:fldCharType="separate"/>
      </w:r>
      <w:r w:rsidRPr="00E653D8">
        <w:rPr>
          <w:rStyle w:val="Hyperlink"/>
          <w:lang w:val="et-EE"/>
        </w:rPr>
        <w:t>https://doi.org/10.1016/j.frl.2024.106150</w:t>
      </w:r>
      <w:r>
        <w:rPr>
          <w:lang w:val="et-EE"/>
        </w:rPr>
        <w:fldChar w:fldCharType="end"/>
      </w:r>
    </w:p>
    <w:p w14:paraId="26A2BEA7" w14:textId="7EE52944" w:rsidR="00E17C2E" w:rsidRDefault="00E17C2E" w:rsidP="00E17C2E">
      <w:pPr>
        <w:pStyle w:val="Kasutatudallikateloetelu"/>
        <w:rPr>
          <w:lang w:val="et-EE"/>
        </w:rPr>
      </w:pPr>
      <w:r w:rsidRPr="00E17C2E">
        <w:rPr>
          <w:lang w:val="et-EE"/>
        </w:rPr>
        <w:t xml:space="preserve">Liu, W., Zhao, X., Li, W., &amp; Wang, Y. (2025). The effect of the cryptocurrency halving event. </w:t>
      </w:r>
      <w:r w:rsidRPr="00D67385">
        <w:rPr>
          <w:i/>
          <w:iCs/>
          <w:lang w:val="et-EE"/>
        </w:rPr>
        <w:t>Pacific-Basin Finance Journal, 94</w:t>
      </w:r>
      <w:r w:rsidRPr="00E17C2E">
        <w:rPr>
          <w:lang w:val="et-EE"/>
        </w:rPr>
        <w:t xml:space="preserve">, 102913. </w:t>
      </w:r>
      <w:r>
        <w:rPr>
          <w:lang w:val="et-EE"/>
        </w:rPr>
        <w:fldChar w:fldCharType="begin"/>
      </w:r>
      <w:r>
        <w:rPr>
          <w:lang w:val="et-EE"/>
        </w:rPr>
        <w:instrText>HYPERLINK "</w:instrText>
      </w:r>
      <w:r w:rsidRPr="00E17C2E">
        <w:rPr>
          <w:lang w:val="et-EE"/>
        </w:rPr>
        <w:instrText>https://doi.org/10.1016/j.pacfin.2025.102913</w:instrText>
      </w:r>
      <w:r>
        <w:rPr>
          <w:lang w:val="et-EE"/>
        </w:rPr>
        <w:instrText>"</w:instrText>
      </w:r>
      <w:r>
        <w:rPr>
          <w:lang w:val="et-EE"/>
        </w:rPr>
        <w:fldChar w:fldCharType="separate"/>
      </w:r>
      <w:r w:rsidRPr="00E653D8">
        <w:rPr>
          <w:rStyle w:val="Hyperlink"/>
          <w:lang w:val="et-EE"/>
        </w:rPr>
        <w:t>https://doi.org/10.1016/j.pacfin.2025.102913</w:t>
      </w:r>
      <w:r>
        <w:rPr>
          <w:lang w:val="et-EE"/>
        </w:rPr>
        <w:fldChar w:fldCharType="end"/>
      </w:r>
    </w:p>
    <w:p w14:paraId="53D9C39D" w14:textId="15CD51D7" w:rsidR="00E17C2E" w:rsidRDefault="00E17C2E" w:rsidP="00E17C2E">
      <w:pPr>
        <w:pStyle w:val="Kasutatudallikateloetelu"/>
        <w:rPr>
          <w:lang w:val="et-EE"/>
        </w:rPr>
      </w:pPr>
      <w:r w:rsidRPr="00E17C2E">
        <w:rPr>
          <w:lang w:val="et-EE"/>
        </w:rPr>
        <w:t xml:space="preserve">Liu, Y., &amp; Tsyvinski, A. (2021). Risks and returns of cryptocurrency. </w:t>
      </w:r>
      <w:r w:rsidRPr="00D67385">
        <w:rPr>
          <w:i/>
          <w:iCs/>
          <w:lang w:val="et-EE"/>
        </w:rPr>
        <w:t>The Review of Financial Studies, 34(6)</w:t>
      </w:r>
      <w:r w:rsidRPr="00E17C2E">
        <w:rPr>
          <w:lang w:val="et-EE"/>
        </w:rPr>
        <w:t xml:space="preserve">, 2689–2727. </w:t>
      </w:r>
      <w:r>
        <w:rPr>
          <w:lang w:val="et-EE"/>
        </w:rPr>
        <w:fldChar w:fldCharType="begin"/>
      </w:r>
      <w:r>
        <w:rPr>
          <w:lang w:val="et-EE"/>
        </w:rPr>
        <w:instrText>HYPERLINK "</w:instrText>
      </w:r>
      <w:r w:rsidRPr="00E17C2E">
        <w:rPr>
          <w:lang w:val="et-EE"/>
        </w:rPr>
        <w:instrText>https://doi.org/10.1093/rfs/hhaa113</w:instrText>
      </w:r>
      <w:r>
        <w:rPr>
          <w:lang w:val="et-EE"/>
        </w:rPr>
        <w:instrText>"</w:instrText>
      </w:r>
      <w:r>
        <w:rPr>
          <w:lang w:val="et-EE"/>
        </w:rPr>
        <w:fldChar w:fldCharType="separate"/>
      </w:r>
      <w:r w:rsidRPr="00E653D8">
        <w:rPr>
          <w:rStyle w:val="Hyperlink"/>
          <w:lang w:val="et-EE"/>
        </w:rPr>
        <w:t>https://doi.org/10.1093/rfs/hhaa113</w:t>
      </w:r>
      <w:r>
        <w:rPr>
          <w:lang w:val="et-EE"/>
        </w:rPr>
        <w:fldChar w:fldCharType="end"/>
      </w:r>
    </w:p>
    <w:p w14:paraId="3912F43B" w14:textId="45A1FBBD" w:rsidR="00E17C2E" w:rsidRDefault="00E17C2E" w:rsidP="00E17C2E">
      <w:pPr>
        <w:pStyle w:val="Kasutatudallikateloetelu"/>
        <w:rPr>
          <w:lang w:val="et-EE"/>
        </w:rPr>
      </w:pPr>
      <w:r w:rsidRPr="00E17C2E">
        <w:rPr>
          <w:lang w:val="et-EE"/>
        </w:rPr>
        <w:t xml:space="preserve">Liu, Y., Tsyvinski, A., &amp; Wu, X. (2022). Common risk factors in cryptocurrency. </w:t>
      </w:r>
      <w:r w:rsidRPr="00D67385">
        <w:rPr>
          <w:i/>
          <w:iCs/>
          <w:lang w:val="et-EE"/>
        </w:rPr>
        <w:t>The Journal of Finance, 77(2)</w:t>
      </w:r>
      <w:r w:rsidRPr="00E17C2E">
        <w:rPr>
          <w:lang w:val="et-EE"/>
        </w:rPr>
        <w:t xml:space="preserve">, 1133–1177. </w:t>
      </w:r>
      <w:r>
        <w:rPr>
          <w:lang w:val="et-EE"/>
        </w:rPr>
        <w:fldChar w:fldCharType="begin"/>
      </w:r>
      <w:r>
        <w:rPr>
          <w:lang w:val="et-EE"/>
        </w:rPr>
        <w:instrText>HYPERLINK "</w:instrText>
      </w:r>
      <w:r w:rsidRPr="00E17C2E">
        <w:rPr>
          <w:lang w:val="et-EE"/>
        </w:rPr>
        <w:instrText>https://doi.org/10.1111/jofi.13119</w:instrText>
      </w:r>
      <w:r>
        <w:rPr>
          <w:lang w:val="et-EE"/>
        </w:rPr>
        <w:instrText>"</w:instrText>
      </w:r>
      <w:r>
        <w:rPr>
          <w:lang w:val="et-EE"/>
        </w:rPr>
        <w:fldChar w:fldCharType="separate"/>
      </w:r>
      <w:r w:rsidRPr="00E653D8">
        <w:rPr>
          <w:rStyle w:val="Hyperlink"/>
          <w:lang w:val="et-EE"/>
        </w:rPr>
        <w:t>https://doi.org/10.1111/jofi.13119</w:t>
      </w:r>
      <w:r>
        <w:rPr>
          <w:lang w:val="et-EE"/>
        </w:rPr>
        <w:fldChar w:fldCharType="end"/>
      </w:r>
    </w:p>
    <w:p w14:paraId="52A55218" w14:textId="6B2D05C2" w:rsidR="003367B9" w:rsidRDefault="003367B9" w:rsidP="00E17C2E">
      <w:pPr>
        <w:pStyle w:val="Kasutatudallikateloetelu"/>
        <w:rPr>
          <w:lang w:val="et-EE"/>
        </w:rPr>
      </w:pPr>
      <w:r w:rsidRPr="003367B9">
        <w:rPr>
          <w:lang w:val="et-EE"/>
        </w:rPr>
        <w:t xml:space="preserve">Lyocsa, S., Molnar, P., Plihal, T., &amp; Siranova, M. (2020). Impact of macroeconomic news, regulation and hacking exchange markets on the volatility of Bitcoin. </w:t>
      </w:r>
      <w:r w:rsidRPr="00D67385">
        <w:rPr>
          <w:i/>
          <w:iCs/>
          <w:lang w:val="et-EE"/>
        </w:rPr>
        <w:t>Journal of Economic Dynamics and Control, 119</w:t>
      </w:r>
      <w:r w:rsidRPr="003367B9">
        <w:rPr>
          <w:lang w:val="et-EE"/>
        </w:rPr>
        <w:t xml:space="preserve">. </w:t>
      </w:r>
      <w:r>
        <w:rPr>
          <w:lang w:val="et-EE"/>
        </w:rPr>
        <w:fldChar w:fldCharType="begin"/>
      </w:r>
      <w:r>
        <w:rPr>
          <w:lang w:val="et-EE"/>
        </w:rPr>
        <w:instrText>HYPERLINK "</w:instrText>
      </w:r>
      <w:r w:rsidRPr="003367B9">
        <w:rPr>
          <w:lang w:val="et-EE"/>
        </w:rPr>
        <w:instrText>https://doi.org/10.1016/j.jedc.2020.103980</w:instrText>
      </w:r>
      <w:r>
        <w:rPr>
          <w:lang w:val="et-EE"/>
        </w:rPr>
        <w:instrText>"</w:instrText>
      </w:r>
      <w:r>
        <w:rPr>
          <w:lang w:val="et-EE"/>
        </w:rPr>
        <w:fldChar w:fldCharType="separate"/>
      </w:r>
      <w:r w:rsidRPr="00E653D8">
        <w:rPr>
          <w:rStyle w:val="Hyperlink"/>
          <w:lang w:val="et-EE"/>
        </w:rPr>
        <w:t>https://doi.org/10.1016/j.jedc.2020.103980</w:t>
      </w:r>
      <w:r>
        <w:rPr>
          <w:lang w:val="et-EE"/>
        </w:rPr>
        <w:fldChar w:fldCharType="end"/>
      </w:r>
    </w:p>
    <w:p w14:paraId="3979A5CE" w14:textId="3D955CBD" w:rsidR="003367B9" w:rsidRDefault="003367B9" w:rsidP="00E17C2E">
      <w:pPr>
        <w:pStyle w:val="Kasutatudallikateloetelu"/>
        <w:rPr>
          <w:lang w:val="et-EE"/>
        </w:rPr>
      </w:pPr>
      <w:r w:rsidRPr="003367B9">
        <w:rPr>
          <w:lang w:val="et-EE"/>
        </w:rPr>
        <w:t xml:space="preserve">Ma, C., Tian, Y., Hsiao, S., &amp; Deng, L. (2022). Monetary policy shocks and Bitcoin prices. </w:t>
      </w:r>
      <w:r w:rsidRPr="00D67385">
        <w:rPr>
          <w:i/>
          <w:iCs/>
          <w:lang w:val="et-EE"/>
        </w:rPr>
        <w:t>Research in International Business and Finance, 62</w:t>
      </w:r>
      <w:r w:rsidRPr="003367B9">
        <w:rPr>
          <w:lang w:val="et-EE"/>
        </w:rPr>
        <w:t xml:space="preserve">. </w:t>
      </w:r>
      <w:r>
        <w:rPr>
          <w:lang w:val="et-EE"/>
        </w:rPr>
        <w:fldChar w:fldCharType="begin"/>
      </w:r>
      <w:r>
        <w:rPr>
          <w:lang w:val="et-EE"/>
        </w:rPr>
        <w:instrText>HYPERLINK "</w:instrText>
      </w:r>
      <w:r w:rsidRPr="003367B9">
        <w:rPr>
          <w:lang w:val="et-EE"/>
        </w:rPr>
        <w:instrText>https://doi.org/10.1016/j.ribaf.2022.101711</w:instrText>
      </w:r>
      <w:r>
        <w:rPr>
          <w:lang w:val="et-EE"/>
        </w:rPr>
        <w:instrText>"</w:instrText>
      </w:r>
      <w:r>
        <w:rPr>
          <w:lang w:val="et-EE"/>
        </w:rPr>
        <w:fldChar w:fldCharType="separate"/>
      </w:r>
      <w:r w:rsidRPr="00E653D8">
        <w:rPr>
          <w:rStyle w:val="Hyperlink"/>
          <w:lang w:val="et-EE"/>
        </w:rPr>
        <w:t>https://doi.org/10.1016/j.ribaf.2022.101711</w:t>
      </w:r>
      <w:r>
        <w:rPr>
          <w:lang w:val="et-EE"/>
        </w:rPr>
        <w:fldChar w:fldCharType="end"/>
      </w:r>
    </w:p>
    <w:p w14:paraId="7DBC2F83" w14:textId="10899A27" w:rsidR="003367B9" w:rsidRDefault="003367B9" w:rsidP="00E17C2E">
      <w:pPr>
        <w:pStyle w:val="Kasutatudallikateloetelu"/>
        <w:rPr>
          <w:lang w:val="et-EE"/>
        </w:rPr>
      </w:pPr>
      <w:r w:rsidRPr="003367B9">
        <w:rPr>
          <w:lang w:val="et-EE"/>
        </w:rPr>
        <w:t xml:space="preserve">Marti, R., &amp; Reimat, A. (2025). Bitcoin and global stock portfolio: Dynamics across short and long-term horizons. </w:t>
      </w:r>
      <w:r w:rsidRPr="00D67385">
        <w:rPr>
          <w:i/>
          <w:iCs/>
          <w:lang w:val="et-EE"/>
        </w:rPr>
        <w:t>Finance Research Letters</w:t>
      </w:r>
      <w:r w:rsidRPr="003367B9">
        <w:rPr>
          <w:lang w:val="et-EE"/>
        </w:rPr>
        <w:t xml:space="preserve">. Advance online publication. </w:t>
      </w:r>
      <w:r>
        <w:rPr>
          <w:lang w:val="et-EE"/>
        </w:rPr>
        <w:fldChar w:fldCharType="begin"/>
      </w:r>
      <w:r>
        <w:rPr>
          <w:lang w:val="et-EE"/>
        </w:rPr>
        <w:instrText>HYPERLINK "</w:instrText>
      </w:r>
      <w:r w:rsidRPr="003367B9">
        <w:rPr>
          <w:lang w:val="et-EE"/>
        </w:rPr>
        <w:instrText>https://doi.org/10.1016/j.frl.2025.108918</w:instrText>
      </w:r>
      <w:r>
        <w:rPr>
          <w:lang w:val="et-EE"/>
        </w:rPr>
        <w:instrText>"</w:instrText>
      </w:r>
      <w:r>
        <w:rPr>
          <w:lang w:val="et-EE"/>
        </w:rPr>
        <w:fldChar w:fldCharType="separate"/>
      </w:r>
      <w:r w:rsidRPr="00E653D8">
        <w:rPr>
          <w:rStyle w:val="Hyperlink"/>
          <w:lang w:val="et-EE"/>
        </w:rPr>
        <w:t>https://doi.org/10.1016/j.frl.2025.108918</w:t>
      </w:r>
      <w:r>
        <w:rPr>
          <w:lang w:val="et-EE"/>
        </w:rPr>
        <w:fldChar w:fldCharType="end"/>
      </w:r>
    </w:p>
    <w:p w14:paraId="13B68DCC" w14:textId="1F93BB7A" w:rsidR="003367B9" w:rsidRDefault="003367B9" w:rsidP="00E17C2E">
      <w:pPr>
        <w:pStyle w:val="Kasutatudallikateloetelu"/>
        <w:rPr>
          <w:lang w:val="et-EE"/>
        </w:rPr>
      </w:pPr>
      <w:r w:rsidRPr="003367B9">
        <w:rPr>
          <w:lang w:val="et-EE"/>
        </w:rPr>
        <w:t xml:space="preserve">Mohamad, A. (2025). Do Bitcoin ETFs lead price discovery following their introduction in the Bitcoin market? </w:t>
      </w:r>
      <w:r w:rsidRPr="00D67385">
        <w:rPr>
          <w:i/>
          <w:iCs/>
          <w:lang w:val="et-EE"/>
        </w:rPr>
        <w:t>Computational Economics</w:t>
      </w:r>
      <w:r w:rsidRPr="003367B9">
        <w:rPr>
          <w:lang w:val="et-EE"/>
        </w:rPr>
        <w:t>,</w:t>
      </w:r>
      <w:r w:rsidRPr="00D67385">
        <w:rPr>
          <w:i/>
          <w:iCs/>
          <w:lang w:val="et-EE"/>
        </w:rPr>
        <w:t xml:space="preserve"> 66,</w:t>
      </w:r>
      <w:r w:rsidRPr="003367B9">
        <w:rPr>
          <w:lang w:val="et-EE"/>
        </w:rPr>
        <w:t xml:space="preserve"> 947–969. </w:t>
      </w:r>
      <w:r>
        <w:rPr>
          <w:lang w:val="et-EE"/>
        </w:rPr>
        <w:fldChar w:fldCharType="begin"/>
      </w:r>
      <w:r>
        <w:rPr>
          <w:lang w:val="et-EE"/>
        </w:rPr>
        <w:instrText>HYPERLINK "</w:instrText>
      </w:r>
      <w:r w:rsidRPr="003367B9">
        <w:rPr>
          <w:lang w:val="et-EE"/>
        </w:rPr>
        <w:instrText>https://doi.org/10.1007/s10614-025-10998-x</w:instrText>
      </w:r>
      <w:r>
        <w:rPr>
          <w:lang w:val="et-EE"/>
        </w:rPr>
        <w:instrText>"</w:instrText>
      </w:r>
      <w:r>
        <w:rPr>
          <w:lang w:val="et-EE"/>
        </w:rPr>
        <w:fldChar w:fldCharType="separate"/>
      </w:r>
      <w:r w:rsidRPr="00E653D8">
        <w:rPr>
          <w:rStyle w:val="Hyperlink"/>
          <w:lang w:val="et-EE"/>
        </w:rPr>
        <w:t>https://doi.org/10.1007/s10614-025-10998-x</w:t>
      </w:r>
      <w:r>
        <w:rPr>
          <w:lang w:val="et-EE"/>
        </w:rPr>
        <w:fldChar w:fldCharType="end"/>
      </w:r>
    </w:p>
    <w:p w14:paraId="6334EC09" w14:textId="41CBCB2B" w:rsidR="003367B9" w:rsidRDefault="003367B9" w:rsidP="00E17C2E">
      <w:pPr>
        <w:pStyle w:val="Kasutatudallikateloetelu"/>
        <w:rPr>
          <w:lang w:val="et-EE"/>
        </w:rPr>
      </w:pPr>
      <w:r w:rsidRPr="003367B9">
        <w:rPr>
          <w:lang w:val="et-EE"/>
        </w:rPr>
        <w:t xml:space="preserve">Newey, W. K., &amp; West, K. D. (1987). A simple, positive semi-definite, heteroskedasticity and autocorrelation consistent covariance matrix. </w:t>
      </w:r>
      <w:r w:rsidRPr="00D67385">
        <w:rPr>
          <w:i/>
          <w:iCs/>
          <w:lang w:val="et-EE"/>
        </w:rPr>
        <w:t>Econometrica, 55</w:t>
      </w:r>
      <w:r w:rsidRPr="003367B9">
        <w:rPr>
          <w:lang w:val="et-EE"/>
        </w:rPr>
        <w:t xml:space="preserve">(3), 703–708. </w:t>
      </w:r>
      <w:r>
        <w:rPr>
          <w:lang w:val="et-EE"/>
        </w:rPr>
        <w:fldChar w:fldCharType="begin"/>
      </w:r>
      <w:r>
        <w:rPr>
          <w:lang w:val="et-EE"/>
        </w:rPr>
        <w:instrText>HYPERLINK "</w:instrText>
      </w:r>
      <w:r w:rsidRPr="003367B9">
        <w:rPr>
          <w:lang w:val="et-EE"/>
        </w:rPr>
        <w:instrText>https://doi.org/10.2307/1913610</w:instrText>
      </w:r>
      <w:r>
        <w:rPr>
          <w:lang w:val="et-EE"/>
        </w:rPr>
        <w:instrText>"</w:instrText>
      </w:r>
      <w:r>
        <w:rPr>
          <w:lang w:val="et-EE"/>
        </w:rPr>
        <w:fldChar w:fldCharType="separate"/>
      </w:r>
      <w:r w:rsidRPr="00E653D8">
        <w:rPr>
          <w:rStyle w:val="Hyperlink"/>
          <w:lang w:val="et-EE"/>
        </w:rPr>
        <w:t>https://doi.org/10.2307/1913610</w:t>
      </w:r>
      <w:r>
        <w:rPr>
          <w:lang w:val="et-EE"/>
        </w:rPr>
        <w:fldChar w:fldCharType="end"/>
      </w:r>
    </w:p>
    <w:p w14:paraId="3AFD45E1" w14:textId="5373D605" w:rsidR="003367B9" w:rsidRDefault="003367B9" w:rsidP="00E17C2E">
      <w:pPr>
        <w:pStyle w:val="Kasutatudallikateloetelu"/>
        <w:rPr>
          <w:lang w:val="et-EE"/>
        </w:rPr>
      </w:pPr>
      <w:r w:rsidRPr="003367B9">
        <w:rPr>
          <w:lang w:val="et-EE"/>
        </w:rPr>
        <w:t xml:space="preserve">Nguyen, K. Q. (2022). The correlation between the stock market and Bitcoin during COVID-19 and other uncertainty periods. </w:t>
      </w:r>
      <w:r w:rsidRPr="00D67385">
        <w:rPr>
          <w:i/>
          <w:iCs/>
          <w:lang w:val="et-EE"/>
        </w:rPr>
        <w:t>Finance Research Letters, 46</w:t>
      </w:r>
      <w:r w:rsidRPr="003367B9">
        <w:rPr>
          <w:lang w:val="et-EE"/>
        </w:rPr>
        <w:t xml:space="preserve">. </w:t>
      </w:r>
      <w:r>
        <w:rPr>
          <w:lang w:val="et-EE"/>
        </w:rPr>
        <w:fldChar w:fldCharType="begin"/>
      </w:r>
      <w:r>
        <w:rPr>
          <w:lang w:val="et-EE"/>
        </w:rPr>
        <w:instrText>HYPERLINK "</w:instrText>
      </w:r>
      <w:r w:rsidRPr="003367B9">
        <w:rPr>
          <w:lang w:val="et-EE"/>
        </w:rPr>
        <w:instrText>https://doi.org/10.1016/j.frl.2021.102284</w:instrText>
      </w:r>
      <w:r>
        <w:rPr>
          <w:lang w:val="et-EE"/>
        </w:rPr>
        <w:instrText>"</w:instrText>
      </w:r>
      <w:r>
        <w:rPr>
          <w:lang w:val="et-EE"/>
        </w:rPr>
        <w:fldChar w:fldCharType="separate"/>
      </w:r>
      <w:r w:rsidRPr="00E653D8">
        <w:rPr>
          <w:rStyle w:val="Hyperlink"/>
          <w:lang w:val="et-EE"/>
        </w:rPr>
        <w:t>https://doi.org/10.1016/j.frl.2021.102284</w:t>
      </w:r>
      <w:r>
        <w:rPr>
          <w:lang w:val="et-EE"/>
        </w:rPr>
        <w:fldChar w:fldCharType="end"/>
      </w:r>
    </w:p>
    <w:p w14:paraId="6B5D5344" w14:textId="67111F66" w:rsidR="003367B9" w:rsidRDefault="003367B9" w:rsidP="00E17C2E">
      <w:pPr>
        <w:pStyle w:val="Kasutatudallikateloetelu"/>
        <w:rPr>
          <w:lang w:val="et-EE"/>
        </w:rPr>
      </w:pPr>
      <w:r w:rsidRPr="003367B9">
        <w:rPr>
          <w:lang w:val="et-EE"/>
        </w:rPr>
        <w:t xml:space="preserve">Ramsey, J. B. (1969). Tests for specification errors in classical linear least-squares regression analysis. </w:t>
      </w:r>
      <w:r w:rsidRPr="00D67385">
        <w:rPr>
          <w:i/>
          <w:iCs/>
          <w:lang w:val="et-EE"/>
        </w:rPr>
        <w:t>Journal of the Royal Statistical Society: Series B (Methodological), 31</w:t>
      </w:r>
      <w:r w:rsidRPr="003367B9">
        <w:rPr>
          <w:lang w:val="et-EE"/>
        </w:rPr>
        <w:t xml:space="preserve">(2), 350–371. </w:t>
      </w:r>
      <w:r>
        <w:rPr>
          <w:lang w:val="et-EE"/>
        </w:rPr>
        <w:fldChar w:fldCharType="begin"/>
      </w:r>
      <w:r>
        <w:rPr>
          <w:lang w:val="et-EE"/>
        </w:rPr>
        <w:instrText>HYPERLINK "</w:instrText>
      </w:r>
      <w:r w:rsidRPr="003367B9">
        <w:rPr>
          <w:lang w:val="et-EE"/>
        </w:rPr>
        <w:instrText>https://doi.org/10.1111/j.2517-6161.1969.tb00796.x</w:instrText>
      </w:r>
      <w:r>
        <w:rPr>
          <w:lang w:val="et-EE"/>
        </w:rPr>
        <w:instrText>"</w:instrText>
      </w:r>
      <w:r>
        <w:rPr>
          <w:lang w:val="et-EE"/>
        </w:rPr>
        <w:fldChar w:fldCharType="separate"/>
      </w:r>
      <w:r w:rsidRPr="00E653D8">
        <w:rPr>
          <w:rStyle w:val="Hyperlink"/>
          <w:lang w:val="et-EE"/>
        </w:rPr>
        <w:t>https://doi.org/10.1111/j.2517-6161.1969.tb00796.x</w:t>
      </w:r>
      <w:r>
        <w:rPr>
          <w:lang w:val="et-EE"/>
        </w:rPr>
        <w:fldChar w:fldCharType="end"/>
      </w:r>
    </w:p>
    <w:p w14:paraId="2E91DB5D" w14:textId="71B031E7" w:rsidR="003367B9" w:rsidRDefault="003367B9" w:rsidP="00E17C2E">
      <w:pPr>
        <w:pStyle w:val="Kasutatudallikateloetelu"/>
        <w:rPr>
          <w:lang w:val="et-EE"/>
        </w:rPr>
      </w:pPr>
      <w:r w:rsidRPr="003367B9">
        <w:rPr>
          <w:lang w:val="et-EE"/>
        </w:rPr>
        <w:lastRenderedPageBreak/>
        <w:t xml:space="preserve">Sarker, P. K., &amp; Wang, L. (2022). Co-movement and Granger causality between Bitcoin and M2, inflation and economic policy uncertainty: Evidence from the U.K. and Japan. </w:t>
      </w:r>
      <w:r w:rsidRPr="00D67385">
        <w:rPr>
          <w:i/>
          <w:iCs/>
          <w:lang w:val="et-EE"/>
        </w:rPr>
        <w:t>Heliyon, 8</w:t>
      </w:r>
      <w:r w:rsidRPr="003367B9">
        <w:rPr>
          <w:lang w:val="et-EE"/>
        </w:rPr>
        <w:t xml:space="preserve">(10), e11178. </w:t>
      </w:r>
      <w:r>
        <w:rPr>
          <w:lang w:val="et-EE"/>
        </w:rPr>
        <w:fldChar w:fldCharType="begin"/>
      </w:r>
      <w:r>
        <w:rPr>
          <w:lang w:val="et-EE"/>
        </w:rPr>
        <w:instrText>HYPERLINK "</w:instrText>
      </w:r>
      <w:r w:rsidRPr="003367B9">
        <w:rPr>
          <w:lang w:val="et-EE"/>
        </w:rPr>
        <w:instrText>https://doi.org/10.1016/j.heliyon.2022.e11178</w:instrText>
      </w:r>
      <w:r>
        <w:rPr>
          <w:lang w:val="et-EE"/>
        </w:rPr>
        <w:instrText>"</w:instrText>
      </w:r>
      <w:r>
        <w:rPr>
          <w:lang w:val="et-EE"/>
        </w:rPr>
        <w:fldChar w:fldCharType="separate"/>
      </w:r>
      <w:r w:rsidRPr="00E653D8">
        <w:rPr>
          <w:rStyle w:val="Hyperlink"/>
          <w:lang w:val="et-EE"/>
        </w:rPr>
        <w:t>https://doi.org/10.1016/j.heliyon.2022.e11178</w:t>
      </w:r>
      <w:r>
        <w:rPr>
          <w:lang w:val="et-EE"/>
        </w:rPr>
        <w:fldChar w:fldCharType="end"/>
      </w:r>
    </w:p>
    <w:p w14:paraId="6EAF3BA9" w14:textId="73087ED2" w:rsidR="003367B9" w:rsidRDefault="003367B9" w:rsidP="00E17C2E">
      <w:pPr>
        <w:pStyle w:val="Kasutatudallikateloetelu"/>
        <w:rPr>
          <w:lang w:val="et-EE"/>
        </w:rPr>
      </w:pPr>
      <w:r w:rsidRPr="003367B9">
        <w:rPr>
          <w:lang w:val="et-EE"/>
        </w:rPr>
        <w:t xml:space="preserve">Subawa, N. S., Mimaki, C. A., Mahendra, I. M. O., &amp; Utami, M. S. M. (2025). Bitcoin halving: How effective is it in driving cryptocurrency market dynamics? </w:t>
      </w:r>
      <w:r w:rsidRPr="00D67385">
        <w:rPr>
          <w:i/>
          <w:iCs/>
          <w:lang w:val="et-EE"/>
        </w:rPr>
        <w:t>Journal of Risk and Financial Management, 19</w:t>
      </w:r>
      <w:r w:rsidRPr="003367B9">
        <w:rPr>
          <w:lang w:val="et-EE"/>
        </w:rPr>
        <w:t xml:space="preserve">(1), 2. </w:t>
      </w:r>
      <w:r>
        <w:rPr>
          <w:lang w:val="et-EE"/>
        </w:rPr>
        <w:fldChar w:fldCharType="begin"/>
      </w:r>
      <w:r>
        <w:rPr>
          <w:lang w:val="et-EE"/>
        </w:rPr>
        <w:instrText>HYPERLINK "</w:instrText>
      </w:r>
      <w:r w:rsidRPr="003367B9">
        <w:rPr>
          <w:lang w:val="et-EE"/>
        </w:rPr>
        <w:instrText>https://doi.org/10.3390/jrfm19010002</w:instrText>
      </w:r>
      <w:r>
        <w:rPr>
          <w:lang w:val="et-EE"/>
        </w:rPr>
        <w:instrText>"</w:instrText>
      </w:r>
      <w:r>
        <w:rPr>
          <w:lang w:val="et-EE"/>
        </w:rPr>
        <w:fldChar w:fldCharType="separate"/>
      </w:r>
      <w:r w:rsidRPr="00E653D8">
        <w:rPr>
          <w:rStyle w:val="Hyperlink"/>
          <w:lang w:val="et-EE"/>
        </w:rPr>
        <w:t>https://doi.org/10.3390/jrfm19010002</w:t>
      </w:r>
      <w:r>
        <w:rPr>
          <w:lang w:val="et-EE"/>
        </w:rPr>
        <w:fldChar w:fldCharType="end"/>
      </w:r>
    </w:p>
    <w:p w14:paraId="75803CC1" w14:textId="257DD9D0" w:rsidR="003367B9" w:rsidRDefault="003367B9" w:rsidP="00E17C2E">
      <w:pPr>
        <w:pStyle w:val="Kasutatudallikateloetelu"/>
        <w:rPr>
          <w:lang w:val="et-EE"/>
        </w:rPr>
      </w:pPr>
      <w:r w:rsidRPr="003367B9">
        <w:rPr>
          <w:lang w:val="et-EE"/>
        </w:rPr>
        <w:t xml:space="preserve">Veloso, V., Gatsios, R. C., Magnani, V. M., &amp; Lima, F. G. (2025). Is Bitcoin's market maturing? Cumulative abnormal returns and volatility in the 2024 halving and past cycles. </w:t>
      </w:r>
      <w:r w:rsidRPr="00D67385">
        <w:rPr>
          <w:i/>
          <w:iCs/>
          <w:lang w:val="et-EE"/>
        </w:rPr>
        <w:t>Journal of Risk and Financial Management, 18(5)</w:t>
      </w:r>
      <w:r w:rsidRPr="003367B9">
        <w:rPr>
          <w:lang w:val="et-EE"/>
        </w:rPr>
        <w:t xml:space="preserve">, 242. </w:t>
      </w:r>
      <w:r>
        <w:rPr>
          <w:lang w:val="et-EE"/>
        </w:rPr>
        <w:fldChar w:fldCharType="begin"/>
      </w:r>
      <w:r>
        <w:rPr>
          <w:lang w:val="et-EE"/>
        </w:rPr>
        <w:instrText>HYPERLINK "</w:instrText>
      </w:r>
      <w:r w:rsidRPr="003367B9">
        <w:rPr>
          <w:lang w:val="et-EE"/>
        </w:rPr>
        <w:instrText>https://doi.org/10.3390/jrfm18050242</w:instrText>
      </w:r>
      <w:r>
        <w:rPr>
          <w:lang w:val="et-EE"/>
        </w:rPr>
        <w:instrText>"</w:instrText>
      </w:r>
      <w:r>
        <w:rPr>
          <w:lang w:val="et-EE"/>
        </w:rPr>
        <w:fldChar w:fldCharType="separate"/>
      </w:r>
      <w:r w:rsidRPr="00E653D8">
        <w:rPr>
          <w:rStyle w:val="Hyperlink"/>
          <w:lang w:val="et-EE"/>
        </w:rPr>
        <w:t>https://doi.org/10.3390/jrfm18050242</w:t>
      </w:r>
      <w:r>
        <w:rPr>
          <w:lang w:val="et-EE"/>
        </w:rPr>
        <w:fldChar w:fldCharType="end"/>
      </w:r>
    </w:p>
    <w:p w14:paraId="4D0A26D8" w14:textId="36F70163" w:rsidR="003367B9" w:rsidRDefault="003367B9" w:rsidP="00E17C2E">
      <w:pPr>
        <w:pStyle w:val="Kasutatudallikateloetelu"/>
        <w:rPr>
          <w:lang w:val="et-EE"/>
        </w:rPr>
      </w:pPr>
      <w:r w:rsidRPr="003367B9">
        <w:rPr>
          <w:lang w:val="et-EE"/>
        </w:rPr>
        <w:t xml:space="preserve">Wooldridge, J. M. (2010). </w:t>
      </w:r>
      <w:r w:rsidRPr="00D67385">
        <w:rPr>
          <w:i/>
          <w:iCs/>
          <w:lang w:val="et-EE"/>
        </w:rPr>
        <w:t>Econometric analysis of cross section and panel data</w:t>
      </w:r>
      <w:r w:rsidRPr="003367B9">
        <w:rPr>
          <w:lang w:val="et-EE"/>
        </w:rPr>
        <w:t xml:space="preserve"> (2nd ed.). MIT Press.</w:t>
      </w:r>
    </w:p>
    <w:p w14:paraId="5453DBD3" w14:textId="613858BB" w:rsidR="003367B9" w:rsidRDefault="003367B9" w:rsidP="00E17C2E">
      <w:pPr>
        <w:pStyle w:val="Kasutatudallikateloetelu"/>
        <w:rPr>
          <w:lang w:val="et-EE"/>
        </w:rPr>
      </w:pPr>
      <w:r w:rsidRPr="003367B9">
        <w:rPr>
          <w:lang w:val="et-EE"/>
        </w:rPr>
        <w:t>Wu, D. (2025</w:t>
      </w:r>
      <w:r w:rsidRPr="00D67385">
        <w:rPr>
          <w:i/>
          <w:iCs/>
          <w:lang w:val="et-EE"/>
        </w:rPr>
        <w:t>). Institutional adoption and correlation dynamics: Bitcoin's evolving role in financial markets</w:t>
      </w:r>
      <w:r w:rsidRPr="003367B9">
        <w:rPr>
          <w:lang w:val="et-EE"/>
        </w:rPr>
        <w:t xml:space="preserve">. arXiv. </w:t>
      </w:r>
      <w:r>
        <w:rPr>
          <w:lang w:val="et-EE"/>
        </w:rPr>
        <w:fldChar w:fldCharType="begin"/>
      </w:r>
      <w:r>
        <w:rPr>
          <w:lang w:val="et-EE"/>
        </w:rPr>
        <w:instrText>HYPERLINK "</w:instrText>
      </w:r>
      <w:r w:rsidRPr="003367B9">
        <w:rPr>
          <w:lang w:val="et-EE"/>
        </w:rPr>
        <w:instrText>https://arxiv.org/abs/2501.09911</w:instrText>
      </w:r>
      <w:r>
        <w:rPr>
          <w:lang w:val="et-EE"/>
        </w:rPr>
        <w:instrText>"</w:instrText>
      </w:r>
      <w:r>
        <w:rPr>
          <w:lang w:val="et-EE"/>
        </w:rPr>
        <w:fldChar w:fldCharType="separate"/>
      </w:r>
      <w:r w:rsidRPr="00E653D8">
        <w:rPr>
          <w:rStyle w:val="Hyperlink"/>
          <w:lang w:val="et-EE"/>
        </w:rPr>
        <w:t>https://arxiv.org/abs/2501.09911</w:t>
      </w:r>
      <w:r>
        <w:rPr>
          <w:lang w:val="et-EE"/>
        </w:rPr>
        <w:fldChar w:fldCharType="end"/>
      </w:r>
    </w:p>
    <w:p w14:paraId="0E1930ED" w14:textId="568771EA" w:rsidR="003367B9" w:rsidRDefault="003367B9" w:rsidP="00E17C2E">
      <w:pPr>
        <w:pStyle w:val="Kasutatudallikateloetelu"/>
        <w:rPr>
          <w:lang w:val="et-EE"/>
        </w:rPr>
      </w:pPr>
      <w:r w:rsidRPr="003367B9">
        <w:rPr>
          <w:lang w:val="et-EE"/>
        </w:rPr>
        <w:t xml:space="preserve">Yi, E., Yang, B., Jeong, M., Sohn, S., &amp; Ahn, K. (2023). Market efficiency of cryptocurrency: Evidence from the Bitcoin market. </w:t>
      </w:r>
      <w:r w:rsidRPr="00D67385">
        <w:rPr>
          <w:i/>
          <w:iCs/>
          <w:lang w:val="et-EE"/>
        </w:rPr>
        <w:t>Scientific Reports, 13</w:t>
      </w:r>
      <w:r w:rsidRPr="003367B9">
        <w:rPr>
          <w:lang w:val="et-EE"/>
        </w:rPr>
        <w:t xml:space="preserve">, 4789. </w:t>
      </w:r>
      <w:r>
        <w:rPr>
          <w:lang w:val="et-EE"/>
        </w:rPr>
        <w:fldChar w:fldCharType="begin"/>
      </w:r>
      <w:r>
        <w:rPr>
          <w:lang w:val="et-EE"/>
        </w:rPr>
        <w:instrText>HYPERLINK "</w:instrText>
      </w:r>
      <w:r w:rsidRPr="003367B9">
        <w:rPr>
          <w:lang w:val="et-EE"/>
        </w:rPr>
        <w:instrText>https://doi.org/10.1038/s41598-023-31618-4</w:instrText>
      </w:r>
      <w:r>
        <w:rPr>
          <w:lang w:val="et-EE"/>
        </w:rPr>
        <w:instrText>"</w:instrText>
      </w:r>
      <w:r>
        <w:rPr>
          <w:lang w:val="et-EE"/>
        </w:rPr>
        <w:fldChar w:fldCharType="separate"/>
      </w:r>
      <w:r w:rsidRPr="00E653D8">
        <w:rPr>
          <w:rStyle w:val="Hyperlink"/>
          <w:lang w:val="et-EE"/>
        </w:rPr>
        <w:t>https://doi.org/10.1038/s41598-023-31618-4</w:t>
      </w:r>
      <w:r>
        <w:rPr>
          <w:lang w:val="et-EE"/>
        </w:rPr>
        <w:fldChar w:fldCharType="end"/>
      </w:r>
    </w:p>
    <w:p w14:paraId="4E3AC508" w14:textId="6343460E" w:rsidR="003367B9" w:rsidRDefault="003367B9" w:rsidP="00E17C2E">
      <w:pPr>
        <w:pStyle w:val="Kasutatudallikateloetelu"/>
        <w:rPr>
          <w:lang w:val="et-EE"/>
        </w:rPr>
      </w:pPr>
      <w:r w:rsidRPr="003367B9">
        <w:rPr>
          <w:lang w:val="et-EE"/>
        </w:rPr>
        <w:t>Zhao, Y., Zhang, M., Pei, Z., &amp; Nan, J. (2023). The effects of quantitative easing on Bitcoin prices</w:t>
      </w:r>
      <w:r w:rsidRPr="00D67385">
        <w:rPr>
          <w:lang w:val="et-EE"/>
        </w:rPr>
        <w:t>.</w:t>
      </w:r>
      <w:r w:rsidRPr="00D67385">
        <w:rPr>
          <w:i/>
          <w:iCs/>
          <w:lang w:val="et-EE"/>
        </w:rPr>
        <w:t xml:space="preserve"> Finance Research Letters, 57</w:t>
      </w:r>
      <w:r w:rsidRPr="003367B9">
        <w:rPr>
          <w:lang w:val="et-EE"/>
        </w:rPr>
        <w:t xml:space="preserve">. </w:t>
      </w:r>
      <w:r>
        <w:rPr>
          <w:lang w:val="et-EE"/>
        </w:rPr>
        <w:fldChar w:fldCharType="begin"/>
      </w:r>
      <w:r>
        <w:rPr>
          <w:lang w:val="et-EE"/>
        </w:rPr>
        <w:instrText>HYPERLINK "</w:instrText>
      </w:r>
      <w:r w:rsidRPr="003367B9">
        <w:rPr>
          <w:lang w:val="et-EE"/>
        </w:rPr>
        <w:instrText>https://doi.org/10.1016/j.frl.2023.104206</w:instrText>
      </w:r>
      <w:r>
        <w:rPr>
          <w:lang w:val="et-EE"/>
        </w:rPr>
        <w:instrText>"</w:instrText>
      </w:r>
      <w:r>
        <w:rPr>
          <w:lang w:val="et-EE"/>
        </w:rPr>
        <w:fldChar w:fldCharType="separate"/>
      </w:r>
      <w:r w:rsidRPr="00E653D8">
        <w:rPr>
          <w:rStyle w:val="Hyperlink"/>
          <w:lang w:val="et-EE"/>
        </w:rPr>
        <w:t>https://doi.org/10.1016/j.frl.2023.104206</w:t>
      </w:r>
      <w:r>
        <w:rPr>
          <w:lang w:val="et-EE"/>
        </w:rPr>
        <w:fldChar w:fldCharType="end"/>
      </w:r>
    </w:p>
    <w:p w14:paraId="666DF9E8" w14:textId="77777777" w:rsidR="003367B9" w:rsidRPr="003367B9" w:rsidRDefault="003367B9" w:rsidP="00E17C2E">
      <w:pPr>
        <w:pStyle w:val="Kasutatudallikateloetelu"/>
        <w:rPr>
          <w:lang w:val="et-EE"/>
        </w:rPr>
      </w:pPr>
    </w:p>
    <w:p w14:paraId="2C4AAD7C" w14:textId="77777777" w:rsidR="00E17C2E" w:rsidRDefault="00E17C2E" w:rsidP="00E17C2E">
      <w:pPr>
        <w:pStyle w:val="Kasutatudallikateloetelu"/>
        <w:rPr>
          <w:lang w:val="et-EE"/>
        </w:rPr>
      </w:pPr>
    </w:p>
    <w:p w14:paraId="3316439E" w14:textId="77777777" w:rsidR="00E17C2E" w:rsidRPr="00D06A13" w:rsidRDefault="00E17C2E" w:rsidP="00E17C2E">
      <w:pPr>
        <w:pStyle w:val="Kasutatudallikateloetelu"/>
        <w:rPr>
          <w:lang w:val="et-EE"/>
        </w:rPr>
      </w:pPr>
    </w:p>
    <w:p w14:paraId="6084ACD5" w14:textId="77777777" w:rsidR="009F44A8" w:rsidRPr="00D06A13" w:rsidRDefault="009F44A8" w:rsidP="00025A6F">
      <w:pPr>
        <w:rPr>
          <w:lang w:val="et-EE"/>
        </w:rPr>
        <w:sectPr w:rsidR="009F44A8" w:rsidRPr="00D06A13" w:rsidSect="002E44B0">
          <w:pgSz w:w="11906" w:h="16838"/>
          <w:pgMar w:top="1418" w:right="851" w:bottom="1418" w:left="1701" w:header="708" w:footer="708" w:gutter="0"/>
          <w:cols w:space="708"/>
          <w:docGrid w:linePitch="360"/>
        </w:sectPr>
      </w:pPr>
    </w:p>
    <w:p w14:paraId="279E139D" w14:textId="4DD2DEE3" w:rsidR="00F105F3" w:rsidRPr="00D67385" w:rsidRDefault="009A50D7" w:rsidP="00D67385">
      <w:pPr>
        <w:pStyle w:val="Pealkiri1"/>
        <w:rPr>
          <w:lang w:val="ru-RU"/>
        </w:rPr>
        <w:sectPr w:rsidR="00F105F3" w:rsidRPr="00D67385" w:rsidSect="002E44B0">
          <w:pgSz w:w="11906" w:h="16838"/>
          <w:pgMar w:top="1418" w:right="851" w:bottom="1418" w:left="1701" w:header="708" w:footer="708" w:gutter="0"/>
          <w:cols w:space="708"/>
          <w:docGrid w:linePitch="360"/>
        </w:sectPr>
      </w:pPr>
      <w:bookmarkStart w:id="27" w:name="_Toc225345710"/>
      <w:r w:rsidRPr="00E17C2E">
        <w:rPr>
          <w:lang w:val="et-EE"/>
        </w:rPr>
        <w:lastRenderedPageBreak/>
        <w:t>APPENDICES</w:t>
      </w:r>
      <w:bookmarkEnd w:id="27"/>
    </w:p>
    <w:p w14:paraId="417A9F2D" w14:textId="1F03F514" w:rsidR="00F105F3" w:rsidRPr="00D67385" w:rsidRDefault="00F105F3" w:rsidP="00025A6F">
      <w:pPr>
        <w:pStyle w:val="Tavatekst"/>
        <w:rPr>
          <w:highlight w:val="yellow"/>
          <w:lang w:val="ru-RU"/>
        </w:rPr>
        <w:sectPr w:rsidR="00F105F3" w:rsidRPr="00D67385" w:rsidSect="002E44B0">
          <w:pgSz w:w="11906" w:h="16838"/>
          <w:pgMar w:top="1418" w:right="851" w:bottom="1418" w:left="1701" w:header="708" w:footer="708" w:gutter="0"/>
          <w:cols w:space="708"/>
          <w:docGrid w:linePitch="360"/>
        </w:sectPr>
      </w:pPr>
    </w:p>
    <w:p w14:paraId="64AA3595" w14:textId="6E3A7DA1" w:rsidR="00E56EE8" w:rsidRPr="00D67385" w:rsidRDefault="00E56EE8" w:rsidP="00025A6F">
      <w:pPr>
        <w:pStyle w:val="Tabelijooniseallikasmrkus"/>
        <w:rPr>
          <w:lang w:val="ru-RU"/>
        </w:rPr>
      </w:pPr>
    </w:p>
    <w:p w14:paraId="4AE04808" w14:textId="77777777" w:rsidR="00EE0D3B" w:rsidRPr="008E0969" w:rsidRDefault="00EE0D3B" w:rsidP="00025A6F">
      <w:pPr>
        <w:sectPr w:rsidR="00EE0D3B" w:rsidRPr="008E0969" w:rsidSect="002E44B0">
          <w:pgSz w:w="11906" w:h="16838"/>
          <w:pgMar w:top="1418" w:right="851" w:bottom="1418" w:left="1701" w:header="708" w:footer="708" w:gutter="0"/>
          <w:cols w:space="708"/>
          <w:docGrid w:linePitch="360"/>
        </w:sectPr>
      </w:pPr>
    </w:p>
    <w:p w14:paraId="537CF36D" w14:textId="402DAE7D" w:rsidR="00EE0D3B" w:rsidRPr="008E0969" w:rsidRDefault="00AB56DB" w:rsidP="00025A6F">
      <w:pPr>
        <w:pStyle w:val="Pealkiri2"/>
      </w:pPr>
      <w:bookmarkStart w:id="28" w:name="_Toc225345714"/>
      <w:r>
        <w:lastRenderedPageBreak/>
        <w:t>Appendix</w:t>
      </w:r>
      <w:r w:rsidR="00642A0A" w:rsidRPr="008E0969">
        <w:t xml:space="preserve"> 4</w:t>
      </w:r>
      <w:r w:rsidR="00EE0D3B" w:rsidRPr="008E0969">
        <w:t xml:space="preserve">. </w:t>
      </w:r>
      <w:r w:rsidR="003259A9" w:rsidRPr="003259A9">
        <w:t xml:space="preserve">Non-exclusive licence </w:t>
      </w:r>
      <w:r w:rsidR="00EE0D3B" w:rsidRPr="008E0969">
        <w:rPr>
          <w:highlight w:val="red"/>
        </w:rPr>
        <w:t>/</w:t>
      </w:r>
      <w:r w:rsidR="003259A9" w:rsidRPr="003259A9">
        <w:rPr>
          <w:highlight w:val="red"/>
        </w:rPr>
        <w:t xml:space="preserve">added only in case of a graduation thesis as the last appendix </w:t>
      </w:r>
      <w:r w:rsidR="00EE0D3B" w:rsidRPr="008E0969">
        <w:rPr>
          <w:highlight w:val="red"/>
        </w:rPr>
        <w:t>/</w:t>
      </w:r>
      <w:bookmarkEnd w:id="28"/>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50CAA2E7"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77777777" w:rsidR="0004772E" w:rsidRPr="006D4F50" w:rsidRDefault="0004772E" w:rsidP="00025A6F">
      <w:r w:rsidRPr="006D4F50">
        <w:t>(supervisor</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 xml:space="preserve">to be reproduced for the purposes of preservation and electronic publication of the graduation thesis, incl. to be entered in the digital collection of the library of Tallinn University of Technology until expiry of the term of </w:t>
      </w:r>
      <w:proofErr w:type="gramStart"/>
      <w:r w:rsidRPr="005F3CC1">
        <w:t>copyright;</w:t>
      </w:r>
      <w:proofErr w:type="gramEnd"/>
    </w:p>
    <w:p w14:paraId="583CA075" w14:textId="77777777" w:rsidR="0004772E" w:rsidRPr="005F3CC1" w:rsidRDefault="0004772E" w:rsidP="00025A6F"/>
    <w:p w14:paraId="28E49B25" w14:textId="77777777" w:rsidR="0004772E" w:rsidRPr="005F3CC1" w:rsidRDefault="0004772E" w:rsidP="00025A6F">
      <w:r w:rsidRPr="005F3CC1">
        <w:lastRenderedPageBreak/>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77777777" w:rsidR="0004772E" w:rsidRPr="006D4F50" w:rsidRDefault="0004772E" w:rsidP="00025A6F">
      <w:r w:rsidRPr="005F3CC1">
        <w:t>3. I confirm that granting the non-exclusive licence does not infringe other persons'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0E564" w14:textId="77777777" w:rsidR="00D6303E" w:rsidRDefault="00D6303E" w:rsidP="00025A6F">
      <w:r>
        <w:separator/>
      </w:r>
    </w:p>
  </w:endnote>
  <w:endnote w:type="continuationSeparator" w:id="0">
    <w:p w14:paraId="0150AF51" w14:textId="77777777" w:rsidR="00D6303E" w:rsidRDefault="00D6303E" w:rsidP="00025A6F">
      <w:r>
        <w:continuationSeparator/>
      </w:r>
    </w:p>
  </w:endnote>
  <w:endnote w:type="continuationNotice" w:id="1">
    <w:p w14:paraId="4BA58A30" w14:textId="77777777" w:rsidR="00D6303E" w:rsidRDefault="00D6303E"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33BAD" w14:textId="77777777" w:rsidR="00D6303E" w:rsidRDefault="00D6303E" w:rsidP="00025A6F">
      <w:r>
        <w:separator/>
      </w:r>
    </w:p>
  </w:footnote>
  <w:footnote w:type="continuationSeparator" w:id="0">
    <w:p w14:paraId="403E3371" w14:textId="77777777" w:rsidR="00D6303E" w:rsidRDefault="00D6303E" w:rsidP="00025A6F">
      <w:r>
        <w:continuationSeparator/>
      </w:r>
    </w:p>
  </w:footnote>
  <w:footnote w:type="continuationNotice" w:id="1">
    <w:p w14:paraId="4AC048E7" w14:textId="77777777" w:rsidR="00D6303E" w:rsidRDefault="00D6303E" w:rsidP="00025A6F"/>
  </w:footnote>
  <w:footnote w:id="2">
    <w:p w14:paraId="5FD9EA6F" w14:textId="5DF760E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student's application for restriction on access to the graduation thesis that has been signed by the school's dean, except in case of the university's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364D7"/>
    <w:rsid w:val="00040416"/>
    <w:rsid w:val="00040A85"/>
    <w:rsid w:val="0004217C"/>
    <w:rsid w:val="000433F3"/>
    <w:rsid w:val="00043975"/>
    <w:rsid w:val="00044930"/>
    <w:rsid w:val="0004581A"/>
    <w:rsid w:val="0004772E"/>
    <w:rsid w:val="0005024C"/>
    <w:rsid w:val="0005181A"/>
    <w:rsid w:val="00052246"/>
    <w:rsid w:val="00053EE8"/>
    <w:rsid w:val="000549CC"/>
    <w:rsid w:val="00054D09"/>
    <w:rsid w:val="00056914"/>
    <w:rsid w:val="00057665"/>
    <w:rsid w:val="00063326"/>
    <w:rsid w:val="00063C7A"/>
    <w:rsid w:val="00065D7F"/>
    <w:rsid w:val="0006677B"/>
    <w:rsid w:val="00070101"/>
    <w:rsid w:val="00074316"/>
    <w:rsid w:val="00074D7E"/>
    <w:rsid w:val="00075CB6"/>
    <w:rsid w:val="0008190E"/>
    <w:rsid w:val="0008626A"/>
    <w:rsid w:val="0008643B"/>
    <w:rsid w:val="00087959"/>
    <w:rsid w:val="00087F84"/>
    <w:rsid w:val="00091608"/>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5C65"/>
    <w:rsid w:val="000D6054"/>
    <w:rsid w:val="000E0FAF"/>
    <w:rsid w:val="000F05D2"/>
    <w:rsid w:val="000F0A91"/>
    <w:rsid w:val="000F2B4C"/>
    <w:rsid w:val="000F4996"/>
    <w:rsid w:val="000F60B8"/>
    <w:rsid w:val="00101206"/>
    <w:rsid w:val="00105057"/>
    <w:rsid w:val="0010788E"/>
    <w:rsid w:val="0011287E"/>
    <w:rsid w:val="00112F1D"/>
    <w:rsid w:val="00114273"/>
    <w:rsid w:val="0011656B"/>
    <w:rsid w:val="00122BF6"/>
    <w:rsid w:val="0012746F"/>
    <w:rsid w:val="00132069"/>
    <w:rsid w:val="00132564"/>
    <w:rsid w:val="001342A5"/>
    <w:rsid w:val="001353B3"/>
    <w:rsid w:val="0013637B"/>
    <w:rsid w:val="00136F66"/>
    <w:rsid w:val="001371A6"/>
    <w:rsid w:val="00142D62"/>
    <w:rsid w:val="00145208"/>
    <w:rsid w:val="00147F2C"/>
    <w:rsid w:val="001506D7"/>
    <w:rsid w:val="00151362"/>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033C"/>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61C"/>
    <w:rsid w:val="00294B2F"/>
    <w:rsid w:val="00295D86"/>
    <w:rsid w:val="002A0139"/>
    <w:rsid w:val="002A0DE3"/>
    <w:rsid w:val="002A15C3"/>
    <w:rsid w:val="002A2F83"/>
    <w:rsid w:val="002A5B95"/>
    <w:rsid w:val="002A6E7C"/>
    <w:rsid w:val="002B0836"/>
    <w:rsid w:val="002B19D5"/>
    <w:rsid w:val="002C0C2E"/>
    <w:rsid w:val="002C10CA"/>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2B3C"/>
    <w:rsid w:val="00334B98"/>
    <w:rsid w:val="003355F0"/>
    <w:rsid w:val="00335CC7"/>
    <w:rsid w:val="003367B9"/>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6E78"/>
    <w:rsid w:val="003B7479"/>
    <w:rsid w:val="003C0848"/>
    <w:rsid w:val="003C27EC"/>
    <w:rsid w:val="003C639B"/>
    <w:rsid w:val="003C65C6"/>
    <w:rsid w:val="003D0413"/>
    <w:rsid w:val="003D5EEF"/>
    <w:rsid w:val="003D60B6"/>
    <w:rsid w:val="003D76FF"/>
    <w:rsid w:val="003D7837"/>
    <w:rsid w:val="003D7D39"/>
    <w:rsid w:val="003E22A8"/>
    <w:rsid w:val="003E4AC7"/>
    <w:rsid w:val="003E6D43"/>
    <w:rsid w:val="003E752E"/>
    <w:rsid w:val="003F3C22"/>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381"/>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1FF9"/>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1020"/>
    <w:rsid w:val="004A22CC"/>
    <w:rsid w:val="004A2C15"/>
    <w:rsid w:val="004A2F91"/>
    <w:rsid w:val="004A4C27"/>
    <w:rsid w:val="004A54B0"/>
    <w:rsid w:val="004A5CB4"/>
    <w:rsid w:val="004A7447"/>
    <w:rsid w:val="004A750B"/>
    <w:rsid w:val="004A7CB6"/>
    <w:rsid w:val="004B0D86"/>
    <w:rsid w:val="004B66C7"/>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111"/>
    <w:rsid w:val="004F6BB0"/>
    <w:rsid w:val="00500008"/>
    <w:rsid w:val="00502EF2"/>
    <w:rsid w:val="00503EDE"/>
    <w:rsid w:val="005133DB"/>
    <w:rsid w:val="00513E07"/>
    <w:rsid w:val="005143D3"/>
    <w:rsid w:val="00520ECF"/>
    <w:rsid w:val="00522866"/>
    <w:rsid w:val="00523434"/>
    <w:rsid w:val="00524AA9"/>
    <w:rsid w:val="00525477"/>
    <w:rsid w:val="005259AB"/>
    <w:rsid w:val="00531F90"/>
    <w:rsid w:val="00535839"/>
    <w:rsid w:val="00536955"/>
    <w:rsid w:val="00537FE7"/>
    <w:rsid w:val="00542E98"/>
    <w:rsid w:val="005445B1"/>
    <w:rsid w:val="00552130"/>
    <w:rsid w:val="00552A4D"/>
    <w:rsid w:val="00554180"/>
    <w:rsid w:val="0055533E"/>
    <w:rsid w:val="00555343"/>
    <w:rsid w:val="00556AA9"/>
    <w:rsid w:val="0055749A"/>
    <w:rsid w:val="00560A22"/>
    <w:rsid w:val="00561995"/>
    <w:rsid w:val="00563253"/>
    <w:rsid w:val="005658E3"/>
    <w:rsid w:val="00566149"/>
    <w:rsid w:val="00570C5A"/>
    <w:rsid w:val="00572007"/>
    <w:rsid w:val="00572DC1"/>
    <w:rsid w:val="005747AF"/>
    <w:rsid w:val="0057746C"/>
    <w:rsid w:val="005801C1"/>
    <w:rsid w:val="00580F7D"/>
    <w:rsid w:val="00581930"/>
    <w:rsid w:val="00581A45"/>
    <w:rsid w:val="0058224D"/>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1153"/>
    <w:rsid w:val="005C3D04"/>
    <w:rsid w:val="005C3EE8"/>
    <w:rsid w:val="005C4C9F"/>
    <w:rsid w:val="005C708C"/>
    <w:rsid w:val="005D00D4"/>
    <w:rsid w:val="005D69FB"/>
    <w:rsid w:val="005D7CC2"/>
    <w:rsid w:val="005E0D4C"/>
    <w:rsid w:val="005E5D84"/>
    <w:rsid w:val="005E5D9A"/>
    <w:rsid w:val="005F1C32"/>
    <w:rsid w:val="005F2A3D"/>
    <w:rsid w:val="005F4632"/>
    <w:rsid w:val="005F4644"/>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1071"/>
    <w:rsid w:val="00642A0A"/>
    <w:rsid w:val="00642CF3"/>
    <w:rsid w:val="0064412C"/>
    <w:rsid w:val="00644C11"/>
    <w:rsid w:val="0064599C"/>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B79BE"/>
    <w:rsid w:val="006C36D2"/>
    <w:rsid w:val="006C609D"/>
    <w:rsid w:val="006D09DA"/>
    <w:rsid w:val="006D20EA"/>
    <w:rsid w:val="006D23EB"/>
    <w:rsid w:val="006D382E"/>
    <w:rsid w:val="006D5E84"/>
    <w:rsid w:val="006E2862"/>
    <w:rsid w:val="006E2887"/>
    <w:rsid w:val="006E3D24"/>
    <w:rsid w:val="006E5C47"/>
    <w:rsid w:val="006F334E"/>
    <w:rsid w:val="006F4D4C"/>
    <w:rsid w:val="00700340"/>
    <w:rsid w:val="00705FEE"/>
    <w:rsid w:val="0071090B"/>
    <w:rsid w:val="0071380C"/>
    <w:rsid w:val="00720AB4"/>
    <w:rsid w:val="00723FAD"/>
    <w:rsid w:val="00724700"/>
    <w:rsid w:val="00724B0F"/>
    <w:rsid w:val="00726072"/>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3A01"/>
    <w:rsid w:val="007671FF"/>
    <w:rsid w:val="00771653"/>
    <w:rsid w:val="00774F98"/>
    <w:rsid w:val="00776C78"/>
    <w:rsid w:val="00777852"/>
    <w:rsid w:val="00780620"/>
    <w:rsid w:val="007815EF"/>
    <w:rsid w:val="007821DE"/>
    <w:rsid w:val="00783A8C"/>
    <w:rsid w:val="00783FE5"/>
    <w:rsid w:val="00784D88"/>
    <w:rsid w:val="00785359"/>
    <w:rsid w:val="00785737"/>
    <w:rsid w:val="00791533"/>
    <w:rsid w:val="00791AF2"/>
    <w:rsid w:val="00794851"/>
    <w:rsid w:val="00794899"/>
    <w:rsid w:val="007954D6"/>
    <w:rsid w:val="00796504"/>
    <w:rsid w:val="00797306"/>
    <w:rsid w:val="007A304C"/>
    <w:rsid w:val="007A557F"/>
    <w:rsid w:val="007A5E79"/>
    <w:rsid w:val="007A6293"/>
    <w:rsid w:val="007A63B1"/>
    <w:rsid w:val="007A6A59"/>
    <w:rsid w:val="007A74B7"/>
    <w:rsid w:val="007A7AE8"/>
    <w:rsid w:val="007B1EC0"/>
    <w:rsid w:val="007B20E7"/>
    <w:rsid w:val="007B2254"/>
    <w:rsid w:val="007B3228"/>
    <w:rsid w:val="007B47F5"/>
    <w:rsid w:val="007B5B9F"/>
    <w:rsid w:val="007C08E9"/>
    <w:rsid w:val="007C4D96"/>
    <w:rsid w:val="007C54D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7F4FCD"/>
    <w:rsid w:val="007F66FE"/>
    <w:rsid w:val="00803627"/>
    <w:rsid w:val="00806460"/>
    <w:rsid w:val="00806970"/>
    <w:rsid w:val="00811F55"/>
    <w:rsid w:val="0081534A"/>
    <w:rsid w:val="00817BEF"/>
    <w:rsid w:val="00822354"/>
    <w:rsid w:val="00824312"/>
    <w:rsid w:val="00824691"/>
    <w:rsid w:val="00824A97"/>
    <w:rsid w:val="00827CD8"/>
    <w:rsid w:val="008325AB"/>
    <w:rsid w:val="008347EE"/>
    <w:rsid w:val="00834B05"/>
    <w:rsid w:val="0083789E"/>
    <w:rsid w:val="00840287"/>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023"/>
    <w:rsid w:val="008704D8"/>
    <w:rsid w:val="00870B1F"/>
    <w:rsid w:val="008752C1"/>
    <w:rsid w:val="00875E8F"/>
    <w:rsid w:val="008776C3"/>
    <w:rsid w:val="00880E1E"/>
    <w:rsid w:val="008828F5"/>
    <w:rsid w:val="00883CF1"/>
    <w:rsid w:val="008911ED"/>
    <w:rsid w:val="00892A35"/>
    <w:rsid w:val="00892F2D"/>
    <w:rsid w:val="00893065"/>
    <w:rsid w:val="008937FE"/>
    <w:rsid w:val="008A0887"/>
    <w:rsid w:val="008A0F9C"/>
    <w:rsid w:val="008A1CE0"/>
    <w:rsid w:val="008A2558"/>
    <w:rsid w:val="008A2FB0"/>
    <w:rsid w:val="008A31E1"/>
    <w:rsid w:val="008A45EC"/>
    <w:rsid w:val="008A4687"/>
    <w:rsid w:val="008A4903"/>
    <w:rsid w:val="008A51D9"/>
    <w:rsid w:val="008B04CB"/>
    <w:rsid w:val="008B05C0"/>
    <w:rsid w:val="008B0C0B"/>
    <w:rsid w:val="008B24B4"/>
    <w:rsid w:val="008B24BE"/>
    <w:rsid w:val="008B60C1"/>
    <w:rsid w:val="008B6AB2"/>
    <w:rsid w:val="008B6B8C"/>
    <w:rsid w:val="008B6C55"/>
    <w:rsid w:val="008C0077"/>
    <w:rsid w:val="008C1A9E"/>
    <w:rsid w:val="008C2643"/>
    <w:rsid w:val="008C4C1F"/>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07775"/>
    <w:rsid w:val="00910B25"/>
    <w:rsid w:val="00910D13"/>
    <w:rsid w:val="00911DF8"/>
    <w:rsid w:val="00912DE1"/>
    <w:rsid w:val="00913F6C"/>
    <w:rsid w:val="00915C5D"/>
    <w:rsid w:val="00915D10"/>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90DCD"/>
    <w:rsid w:val="00990F70"/>
    <w:rsid w:val="00993DE6"/>
    <w:rsid w:val="00995590"/>
    <w:rsid w:val="00997743"/>
    <w:rsid w:val="009A0017"/>
    <w:rsid w:val="009A3143"/>
    <w:rsid w:val="009A3A21"/>
    <w:rsid w:val="009A4F6F"/>
    <w:rsid w:val="009A50D7"/>
    <w:rsid w:val="009A54D1"/>
    <w:rsid w:val="009B1FED"/>
    <w:rsid w:val="009B567D"/>
    <w:rsid w:val="009B5777"/>
    <w:rsid w:val="009C05C7"/>
    <w:rsid w:val="009C356E"/>
    <w:rsid w:val="009C3B64"/>
    <w:rsid w:val="009C69D2"/>
    <w:rsid w:val="009C74B7"/>
    <w:rsid w:val="009D1336"/>
    <w:rsid w:val="009D222F"/>
    <w:rsid w:val="009D22E9"/>
    <w:rsid w:val="009D2756"/>
    <w:rsid w:val="009D4744"/>
    <w:rsid w:val="009D4C98"/>
    <w:rsid w:val="009D6F08"/>
    <w:rsid w:val="009E2268"/>
    <w:rsid w:val="009E357E"/>
    <w:rsid w:val="009E48D2"/>
    <w:rsid w:val="009F17E0"/>
    <w:rsid w:val="009F1F1A"/>
    <w:rsid w:val="009F44A8"/>
    <w:rsid w:val="009F5B68"/>
    <w:rsid w:val="00A0018B"/>
    <w:rsid w:val="00A018BB"/>
    <w:rsid w:val="00A0218D"/>
    <w:rsid w:val="00A04482"/>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5139"/>
    <w:rsid w:val="00A372FF"/>
    <w:rsid w:val="00A41543"/>
    <w:rsid w:val="00A41E57"/>
    <w:rsid w:val="00A446F8"/>
    <w:rsid w:val="00A4739B"/>
    <w:rsid w:val="00A50F77"/>
    <w:rsid w:val="00A51A7D"/>
    <w:rsid w:val="00A5215E"/>
    <w:rsid w:val="00A52AEE"/>
    <w:rsid w:val="00A54567"/>
    <w:rsid w:val="00A55336"/>
    <w:rsid w:val="00A553A8"/>
    <w:rsid w:val="00A57805"/>
    <w:rsid w:val="00A57886"/>
    <w:rsid w:val="00A607E9"/>
    <w:rsid w:val="00A62B98"/>
    <w:rsid w:val="00A630C0"/>
    <w:rsid w:val="00A63C65"/>
    <w:rsid w:val="00A644BE"/>
    <w:rsid w:val="00A64882"/>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491"/>
    <w:rsid w:val="00A97E69"/>
    <w:rsid w:val="00AA0D56"/>
    <w:rsid w:val="00AA62BD"/>
    <w:rsid w:val="00AB49E4"/>
    <w:rsid w:val="00AB4B82"/>
    <w:rsid w:val="00AB56DB"/>
    <w:rsid w:val="00AC1132"/>
    <w:rsid w:val="00AC35A6"/>
    <w:rsid w:val="00AC627C"/>
    <w:rsid w:val="00AC7B08"/>
    <w:rsid w:val="00AD0D51"/>
    <w:rsid w:val="00AD3E1C"/>
    <w:rsid w:val="00AD52FE"/>
    <w:rsid w:val="00AD66B2"/>
    <w:rsid w:val="00AE0C60"/>
    <w:rsid w:val="00AE2C6E"/>
    <w:rsid w:val="00AE3594"/>
    <w:rsid w:val="00AE3A24"/>
    <w:rsid w:val="00AE3D14"/>
    <w:rsid w:val="00AE40FE"/>
    <w:rsid w:val="00AE5EB6"/>
    <w:rsid w:val="00AE6665"/>
    <w:rsid w:val="00AF04E4"/>
    <w:rsid w:val="00AF1382"/>
    <w:rsid w:val="00AF29CF"/>
    <w:rsid w:val="00AF3713"/>
    <w:rsid w:val="00AF3E83"/>
    <w:rsid w:val="00AF3E98"/>
    <w:rsid w:val="00AF7856"/>
    <w:rsid w:val="00B0173B"/>
    <w:rsid w:val="00B02253"/>
    <w:rsid w:val="00B06310"/>
    <w:rsid w:val="00B07C45"/>
    <w:rsid w:val="00B1463C"/>
    <w:rsid w:val="00B1577C"/>
    <w:rsid w:val="00B167BD"/>
    <w:rsid w:val="00B179D6"/>
    <w:rsid w:val="00B25EE6"/>
    <w:rsid w:val="00B263FF"/>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971"/>
    <w:rsid w:val="00B64F30"/>
    <w:rsid w:val="00B67A07"/>
    <w:rsid w:val="00B71BBE"/>
    <w:rsid w:val="00B74443"/>
    <w:rsid w:val="00B75D47"/>
    <w:rsid w:val="00B76C1F"/>
    <w:rsid w:val="00B7738F"/>
    <w:rsid w:val="00B77917"/>
    <w:rsid w:val="00B85384"/>
    <w:rsid w:val="00B86895"/>
    <w:rsid w:val="00B86D0B"/>
    <w:rsid w:val="00B90AC8"/>
    <w:rsid w:val="00B95A75"/>
    <w:rsid w:val="00B95F5F"/>
    <w:rsid w:val="00B966B6"/>
    <w:rsid w:val="00B96CB5"/>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EBA"/>
    <w:rsid w:val="00BD1485"/>
    <w:rsid w:val="00BD19CB"/>
    <w:rsid w:val="00BD2DB2"/>
    <w:rsid w:val="00BD3379"/>
    <w:rsid w:val="00BD74F6"/>
    <w:rsid w:val="00BE1E6C"/>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452CF"/>
    <w:rsid w:val="00C5079B"/>
    <w:rsid w:val="00C5153F"/>
    <w:rsid w:val="00C538B0"/>
    <w:rsid w:val="00C563DD"/>
    <w:rsid w:val="00C57FBF"/>
    <w:rsid w:val="00C63BCB"/>
    <w:rsid w:val="00C65720"/>
    <w:rsid w:val="00C65DB0"/>
    <w:rsid w:val="00C70212"/>
    <w:rsid w:val="00C704AB"/>
    <w:rsid w:val="00C71B14"/>
    <w:rsid w:val="00C7397B"/>
    <w:rsid w:val="00C83691"/>
    <w:rsid w:val="00C84A25"/>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3345"/>
    <w:rsid w:val="00CD588E"/>
    <w:rsid w:val="00CE0ACF"/>
    <w:rsid w:val="00CE2C17"/>
    <w:rsid w:val="00CE5BCD"/>
    <w:rsid w:val="00CE6349"/>
    <w:rsid w:val="00CE6639"/>
    <w:rsid w:val="00CE6E31"/>
    <w:rsid w:val="00CF7405"/>
    <w:rsid w:val="00CF741F"/>
    <w:rsid w:val="00D00420"/>
    <w:rsid w:val="00D01508"/>
    <w:rsid w:val="00D02037"/>
    <w:rsid w:val="00D03517"/>
    <w:rsid w:val="00D06A13"/>
    <w:rsid w:val="00D06AF0"/>
    <w:rsid w:val="00D108D0"/>
    <w:rsid w:val="00D109DF"/>
    <w:rsid w:val="00D14CF2"/>
    <w:rsid w:val="00D15795"/>
    <w:rsid w:val="00D15871"/>
    <w:rsid w:val="00D21121"/>
    <w:rsid w:val="00D222B8"/>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303E"/>
    <w:rsid w:val="00D640C8"/>
    <w:rsid w:val="00D64F8D"/>
    <w:rsid w:val="00D67385"/>
    <w:rsid w:val="00D677B4"/>
    <w:rsid w:val="00D713F2"/>
    <w:rsid w:val="00D71D2D"/>
    <w:rsid w:val="00D74D98"/>
    <w:rsid w:val="00D75C2B"/>
    <w:rsid w:val="00D8186D"/>
    <w:rsid w:val="00D8215A"/>
    <w:rsid w:val="00D82DD2"/>
    <w:rsid w:val="00D86E3B"/>
    <w:rsid w:val="00DA28F1"/>
    <w:rsid w:val="00DA7389"/>
    <w:rsid w:val="00DB588B"/>
    <w:rsid w:val="00DB624C"/>
    <w:rsid w:val="00DB6FF8"/>
    <w:rsid w:val="00DB72AB"/>
    <w:rsid w:val="00DC3313"/>
    <w:rsid w:val="00DC33FF"/>
    <w:rsid w:val="00DC346A"/>
    <w:rsid w:val="00DC55E4"/>
    <w:rsid w:val="00DD0192"/>
    <w:rsid w:val="00DD2E65"/>
    <w:rsid w:val="00DD3271"/>
    <w:rsid w:val="00DD3AFA"/>
    <w:rsid w:val="00DD43B6"/>
    <w:rsid w:val="00DE0193"/>
    <w:rsid w:val="00DE0A81"/>
    <w:rsid w:val="00DE1C75"/>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17C2E"/>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47CEF"/>
    <w:rsid w:val="00E50BC6"/>
    <w:rsid w:val="00E51171"/>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A08C2"/>
    <w:rsid w:val="00EA3908"/>
    <w:rsid w:val="00EA39BF"/>
    <w:rsid w:val="00EA4A4A"/>
    <w:rsid w:val="00EB2199"/>
    <w:rsid w:val="00EB275C"/>
    <w:rsid w:val="00EB4B1E"/>
    <w:rsid w:val="00EB6C26"/>
    <w:rsid w:val="00EB6F78"/>
    <w:rsid w:val="00EC0370"/>
    <w:rsid w:val="00EC0DBF"/>
    <w:rsid w:val="00EC2966"/>
    <w:rsid w:val="00EC3CF4"/>
    <w:rsid w:val="00EC680B"/>
    <w:rsid w:val="00EC7A04"/>
    <w:rsid w:val="00EC7C9D"/>
    <w:rsid w:val="00ED201F"/>
    <w:rsid w:val="00ED27B3"/>
    <w:rsid w:val="00ED31E7"/>
    <w:rsid w:val="00ED366F"/>
    <w:rsid w:val="00ED4CE8"/>
    <w:rsid w:val="00ED5339"/>
    <w:rsid w:val="00ED56EC"/>
    <w:rsid w:val="00ED5B1F"/>
    <w:rsid w:val="00ED732C"/>
    <w:rsid w:val="00ED752E"/>
    <w:rsid w:val="00ED782C"/>
    <w:rsid w:val="00EE0D3B"/>
    <w:rsid w:val="00EE4979"/>
    <w:rsid w:val="00EE51DC"/>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A9D"/>
    <w:rsid w:val="00F303E8"/>
    <w:rsid w:val="00F312A6"/>
    <w:rsid w:val="00F319BC"/>
    <w:rsid w:val="00F3346F"/>
    <w:rsid w:val="00F37460"/>
    <w:rsid w:val="00F377A9"/>
    <w:rsid w:val="00F37AF9"/>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7DD"/>
    <w:rsid w:val="00FB1C83"/>
    <w:rsid w:val="00FB3B7B"/>
    <w:rsid w:val="00FB470E"/>
    <w:rsid w:val="00FB55D8"/>
    <w:rsid w:val="00FB5AD4"/>
    <w:rsid w:val="00FB6760"/>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4EB8D5B1-6019-426B-B2A9-9BC29F5A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 w:type="character" w:styleId="PlaceholderText">
    <w:name w:val="Placeholder Text"/>
    <w:basedOn w:val="DefaultParagraphFont"/>
    <w:uiPriority w:val="99"/>
    <w:semiHidden/>
    <w:rsid w:val="005F46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Props1.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47102E-BC9C-47E4-AF6B-8E4730223413}">
  <ds:schemaRefs>
    <ds:schemaRef ds:uri="http://schemas.microsoft.com/sharepoint/v3/contenttype/forms"/>
  </ds:schemaRefs>
</ds:datastoreItem>
</file>

<file path=customXml/itemProps3.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4.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docProps/app.xml><?xml version="1.0" encoding="utf-8"?>
<Properties xmlns="http://schemas.openxmlformats.org/officeDocument/2006/extended-properties" xmlns:vt="http://schemas.openxmlformats.org/officeDocument/2006/docPropsVTypes">
  <Template>Normal</Template>
  <TotalTime>540</TotalTime>
  <Pages>47</Pages>
  <Words>11650</Words>
  <Characters>66407</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77902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Laivi Laidroo</dc:creator>
  <cp:lastModifiedBy>Roman Telyakov</cp:lastModifiedBy>
  <cp:revision>10</cp:revision>
  <dcterms:created xsi:type="dcterms:W3CDTF">2026-03-24T13:45:00Z</dcterms:created>
  <dcterms:modified xsi:type="dcterms:W3CDTF">2026-03-26T16:46:00Z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