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2286000" cy="627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27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>Университет ИТМО</w:t>
      </w:r>
    </w:p>
    <w:p>
      <w:pPr>
        <w:jc w:val="center"/>
      </w:pPr>
      <w:r>
        <w:rPr>
          <w:rFonts w:ascii="Times New Roman" w:hAnsi="Times New Roman"/>
          <w:sz w:val="24"/>
        </w:rPr>
        <w:t>Физико-технический мегафакультет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Рабочий протокол и отчет по лабораторной работе № 3.11</w:t>
      </w:r>
    </w:p>
    <w:p>
      <w:pPr>
        <w:jc w:val="center"/>
      </w:pPr>
      <w:r>
        <w:rPr>
          <w:rFonts w:ascii="Times New Roman" w:hAnsi="Times New Roman"/>
          <w:b/>
          <w:sz w:val="28"/>
        </w:rPr>
        <w:t>«Вынужденные электромагнитные колебания в последовательном колебательном контуре»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Группа</w:t>
            </w:r>
          </w:p>
        </w:tc>
        <w:tc>
          <w:tcPr>
            <w:tcW w:type="dxa" w:w="67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P3209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Студенты</w:t>
            </w:r>
          </w:p>
        </w:tc>
        <w:tc>
          <w:tcPr>
            <w:tcW w:type="dxa" w:w="67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Надольский Кирилл, Шубин Егор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Преподаватель</w:t>
            </w:r>
          </w:p>
        </w:tc>
        <w:tc>
          <w:tcPr>
            <w:tcW w:type="dxa" w:w="67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Бородулин Семен Сергеевич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Дата</w:t>
            </w:r>
          </w:p>
        </w:tc>
        <w:tc>
          <w:tcPr>
            <w:tcW w:type="dxa" w:w="67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2026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sz w:val="24"/>
        </w:rPr>
        <w:t>Санкт-Петербург, 2026</w:t>
      </w:r>
    </w:p>
    <w:p>
      <w:r>
        <w:rPr>
          <w:rFonts w:ascii="Times New Roman" w:hAnsi="Times New Roman"/>
        </w:rPr>
        <w:br w:type="page"/>
      </w:r>
    </w:p>
    <w:p>
      <w:pPr>
        <w:pStyle w:val="Heading1"/>
      </w:pPr>
      <w:r>
        <w:rPr>
          <w:rFonts w:ascii="Times New Roman" w:hAnsi="Times New Roman"/>
        </w:rPr>
        <w:t>Цель работы</w:t>
      </w:r>
    </w:p>
    <w:p>
      <w:pPr>
        <w:pStyle w:val="ListBullet"/>
      </w:pPr>
      <w:r>
        <w:rPr>
          <w:rFonts w:ascii="Times New Roman" w:hAnsi="Times New Roman"/>
          <w:sz w:val="24"/>
        </w:rPr>
        <w:t>Изучить вынужденные колебания и явление резонанса напряжений в последовательном колебательном контуре.</w:t>
      </w:r>
    </w:p>
    <w:p>
      <w:pPr>
        <w:pStyle w:val="ListBullet"/>
      </w:pPr>
      <w:r>
        <w:rPr>
          <w:rFonts w:ascii="Times New Roman" w:hAnsi="Times New Roman"/>
          <w:sz w:val="24"/>
        </w:rPr>
        <w:t>Построить резонансную кривую и определить резонансную частоту.</w:t>
      </w:r>
    </w:p>
    <w:p>
      <w:pPr>
        <w:pStyle w:val="ListBullet"/>
      </w:pPr>
      <w:r>
        <w:rPr>
          <w:rFonts w:ascii="Times New Roman" w:hAnsi="Times New Roman"/>
          <w:sz w:val="24"/>
        </w:rPr>
        <w:t>Определить активное сопротивление и добротность колебательного контура.</w:t>
      </w:r>
    </w:p>
    <w:p>
      <w:pPr>
        <w:pStyle w:val="Heading1"/>
      </w:pPr>
      <w:r>
        <w:rPr>
          <w:rFonts w:ascii="Times New Roman" w:hAnsi="Times New Roman"/>
        </w:rPr>
        <w:t>Краткие теоретические сведения</w:t>
      </w:r>
    </w:p>
    <w:p>
      <w:r>
        <w:rPr>
          <w:rFonts w:ascii="Times New Roman" w:hAnsi="Times New Roman"/>
          <w:sz w:val="24"/>
        </w:rPr>
        <w:t>В последовательном RLC-контуре при действии гармонической ЭДС после затухания переходного процесса устанавливаются вынужденные колебания с частотой внешнего источника. Резонанс напряжения на конденсаторе наблюдается вблизи собственной частоты контура; при слабом затухании резонансная частота близка к частоте Томсона.</w:t>
      </w:r>
    </w:p>
    <w:p>
      <w:pPr>
        <w:pStyle w:val="Heading2"/>
      </w:pPr>
      <w:r>
        <w:rPr>
          <w:rFonts w:ascii="Times New Roman" w:hAnsi="Times New Roman"/>
        </w:rPr>
        <w:t>Рабочие формулы</w:t>
      </w:r>
    </w:p>
    <w:p>
      <w:r>
        <w:rPr>
          <w:rFonts w:ascii="Times New Roman" w:hAnsi="Times New Roman"/>
          <w:sz w:val="24"/>
        </w:rPr>
        <w:t>f0 = 1 / (2π√(LC)).</w:t>
      </w:r>
    </w:p>
    <w:p>
      <w:r>
        <w:rPr>
          <w:rFonts w:ascii="Times New Roman" w:hAnsi="Times New Roman"/>
          <w:sz w:val="24"/>
        </w:rPr>
        <w:t>Q = Ω0 / ΔΩ = fрез / Δf, где Δf - ширина резонансной кривой на уровне 0,707 Umax.</w:t>
      </w:r>
    </w:p>
    <w:p>
      <w:r>
        <w:rPr>
          <w:rFonts w:ascii="Times New Roman" w:hAnsi="Times New Roman"/>
          <w:sz w:val="24"/>
        </w:rPr>
        <w:t>Q = UC,res / ε0.</w:t>
      </w:r>
    </w:p>
    <w:p>
      <w:r>
        <w:rPr>
          <w:rFonts w:ascii="Times New Roman" w:hAnsi="Times New Roman"/>
          <w:sz w:val="24"/>
        </w:rPr>
        <w:t>Ωres² = 1/(LC) - R²/(4L²), где Ω = 2πf.</w:t>
      </w:r>
    </w:p>
    <w:p>
      <w:r>
        <w:rPr>
          <w:rFonts w:ascii="Times New Roman" w:hAnsi="Times New Roman"/>
          <w:sz w:val="24"/>
        </w:rPr>
        <w:t>Если y = Ωres², x = 1/C и y = kx + b, то L = 1/k, R = 2L√(-b).</w:t>
      </w:r>
    </w:p>
    <w:p>
      <w:pPr>
        <w:pStyle w:val="Heading1"/>
      </w:pPr>
      <w:r>
        <w:rPr>
          <w:rFonts w:ascii="Times New Roman" w:hAnsi="Times New Roman"/>
        </w:rPr>
        <w:t>Экспериментальная установка</w:t>
      </w:r>
    </w:p>
    <w:p>
      <w:r>
        <w:rPr>
          <w:rFonts w:ascii="Times New Roman" w:hAnsi="Times New Roman"/>
          <w:sz w:val="24"/>
        </w:rPr>
        <w:t>Синусоидальный сигнал с генератора подается на последовательный колебательный контур блока ФПЭ-11. Напряжение на конденсаторе измеряется осциллографом, емкость задается магазином емкостей. При обработке частоты, измеренные в герцах, переводятся в циклические частоты по формуле Ω = 2πf.</w:t>
      </w:r>
    </w:p>
    <w:p>
      <w:pPr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2743200" cy="14982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98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Рис. 1. Принципиальная схема последовательного колебательного контура.</w:t>
      </w:r>
    </w:p>
    <w:p>
      <w:pPr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212080" cy="2535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3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Рис. 2. Общий вид лабораторной установки.</w:t>
      </w:r>
    </w:p>
    <w:p>
      <w:pPr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4754880" cy="3704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0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Рис. 3. Схема подключения генератора и осциллографа.</w:t>
      </w:r>
    </w:p>
    <w:p>
      <w:pPr>
        <w:pStyle w:val="Heading1"/>
      </w:pPr>
      <w:r>
        <w:rPr>
          <w:rFonts w:ascii="Times New Roman" w:hAnsi="Times New Roman"/>
        </w:rPr>
        <w:t>Исходные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48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Величина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Индуктивность катушки, заданная инженером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L0 = 10,0 мГн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Емкость для снятия резонансной кривой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C = 0,1 мкФ = 100 нФ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Амплитуда входной ЭДС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ε0 = 4,00 В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Расчетная частота по формуле Томсона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fрасч = 5033 Гц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Шаг изменения частоты около максимума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50 Гц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Резонансная кривая при C = 0,1 мкФ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0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f, Гц</w:t>
            </w:r>
          </w:p>
        </w:tc>
        <w:tc>
          <w:tcPr>
            <w:tcW w:type="dxa" w:w="170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Uвых, В</w:t>
            </w:r>
          </w:p>
        </w:tc>
        <w:tc>
          <w:tcPr>
            <w:tcW w:type="dxa" w:w="170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0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f, Гц</w:t>
            </w:r>
          </w:p>
        </w:tc>
        <w:tc>
          <w:tcPr>
            <w:tcW w:type="dxa" w:w="170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Uвых, В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4400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11,9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5050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16,8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4450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12,5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5100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16,7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4500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13,0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5150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16,4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4550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13,5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5200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16,0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4600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14,1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5250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15,6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4650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14,6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5300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15,1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4700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15,1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5350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14,6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4750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15,6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5400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14,1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4800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16,0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5450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13,5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4850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16,4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5500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13,0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4900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16,7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5550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12,5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4950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16,8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5600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11,9</w:t>
            </w:r>
          </w:p>
        </w:tc>
      </w:tr>
      <w:tr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5000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16,9</w:t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70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r>
        <w:rPr>
          <w:rFonts w:ascii="Times New Roman" w:hAnsi="Times New Roman"/>
          <w:sz w:val="24"/>
        </w:rPr>
        <w:t>Для надежного определения ширины резонансной кривой диапазон частот расширен до пересечения с уровнем 0,707 Umax.</w:t>
      </w:r>
    </w:p>
    <w:p>
      <w:pPr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669280" cy="346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nance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Рис. 4. Зависимость амплитуды напряжения на конденсаторе от частоты.</w:t>
      </w:r>
    </w:p>
    <w:p>
      <w:pPr>
        <w:pStyle w:val="Heading2"/>
      </w:pPr>
      <w:r>
        <w:rPr>
          <w:rFonts w:ascii="Times New Roman" w:hAnsi="Times New Roman"/>
        </w:rPr>
        <w:t>Расчет резонансной частоты и добротности</w:t>
      </w:r>
    </w:p>
    <w:p>
      <w:r>
        <w:rPr>
          <w:rFonts w:ascii="Times New Roman" w:hAnsi="Times New Roman"/>
          <w:sz w:val="24"/>
        </w:rPr>
        <w:t>fрасч = 1/(2π√(LC)) = 5033 Гц.</w:t>
      </w:r>
    </w:p>
    <w:p>
      <w:r>
        <w:rPr>
          <w:rFonts w:ascii="Times New Roman" w:hAnsi="Times New Roman"/>
          <w:sz w:val="24"/>
        </w:rPr>
        <w:t>По максимуму графика fрез,эксп = (5,00 ± 0,05) кГц.</w:t>
      </w:r>
    </w:p>
    <w:p>
      <w:r>
        <w:rPr>
          <w:rFonts w:ascii="Times New Roman" w:hAnsi="Times New Roman"/>
          <w:sz w:val="24"/>
        </w:rPr>
        <w:t>Относительное расхождение: |5000 - 5033| / 5033 · 100% = 0,65%.</w:t>
      </w:r>
    </w:p>
    <w:p>
      <w:r>
        <w:rPr>
          <w:rFonts w:ascii="Times New Roman" w:hAnsi="Times New Roman"/>
          <w:sz w:val="24"/>
        </w:rPr>
        <w:t>Уровень 0,707 Umax = 11,95 В; точки пересечения: f1 ≈ 4400 Гц, f2 ≈ 5600 Гц.</w:t>
      </w:r>
    </w:p>
    <w:p>
      <w:r>
        <w:rPr>
          <w:rFonts w:ascii="Times New Roman" w:hAnsi="Times New Roman"/>
          <w:sz w:val="24"/>
        </w:rPr>
        <w:t>Δf = f2 - f1 = 1200 Гц; Q(по ширине) = fрез/Δf = 4,17.</w:t>
      </w:r>
    </w:p>
    <w:p>
      <w:r>
        <w:rPr>
          <w:rFonts w:ascii="Times New Roman" w:hAnsi="Times New Roman"/>
          <w:sz w:val="24"/>
        </w:rPr>
        <w:t>Q(по напряжению) = UC,res/ε0 = 16,9 / 4,00 = 4,22.</w:t>
      </w:r>
    </w:p>
    <w:p>
      <w:pPr>
        <w:pStyle w:val="Heading1"/>
      </w:pPr>
      <w:r>
        <w:rPr>
          <w:rFonts w:ascii="Times New Roman" w:hAnsi="Times New Roman"/>
        </w:rPr>
        <w:t>Зависимость резонансной частоты от емкости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C, нФ</w:t>
            </w:r>
          </w:p>
        </w:tc>
        <w:tc>
          <w:tcPr>
            <w:tcW w:type="dxa" w:w="25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1/C, нФ^-1</w:t>
            </w:r>
          </w:p>
        </w:tc>
        <w:tc>
          <w:tcPr>
            <w:tcW w:type="dxa" w:w="25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fрез, Гц</w:t>
            </w:r>
          </w:p>
        </w:tc>
        <w:tc>
          <w:tcPr>
            <w:tcW w:type="dxa" w:w="25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Ω², 10^8 с^-2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1,0000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50320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999,63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0,3333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29050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333,16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0,1000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15900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99,81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0,0333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9165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33,16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0,0100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5000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9,87</w:t>
            </w:r>
          </w:p>
        </w:tc>
      </w:tr>
      <w:tr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300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0,0033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2845</w:t>
            </w:r>
          </w:p>
        </w:tc>
        <w:tc>
          <w:tcPr>
            <w:tcW w:type="dxa" w:w="256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3,20</w:t>
            </w:r>
          </w:p>
        </w:tc>
      </w:tr>
    </w:tbl>
    <w:p>
      <w:pPr>
        <w:jc w:val="center"/>
      </w:pPr>
      <w:r>
        <w:rPr>
          <w:rFonts w:ascii="Times New Roman" w:hAnsi="Times New Roman"/>
        </w:rPr>
        <w:drawing>
          <wp:inline xmlns:a="http://schemas.openxmlformats.org/drawingml/2006/main" xmlns:pic="http://schemas.openxmlformats.org/drawingml/2006/picture">
            <wp:extent cx="5669280" cy="346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ega2_vs_inv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Рис. 5. Линейная аппроксимация зависимости Ω² от 1/C.</w:t>
      </w:r>
    </w:p>
    <w:p>
      <w:pPr>
        <w:pStyle w:val="Heading2"/>
      </w:pPr>
      <w:r>
        <w:rPr>
          <w:rFonts w:ascii="Times New Roman" w:hAnsi="Times New Roman"/>
        </w:rPr>
        <w:t>Определение L и R по линейной аппроксимации</w:t>
      </w:r>
    </w:p>
    <w:p>
      <w:r>
        <w:rPr>
          <w:rFonts w:ascii="Times New Roman" w:hAnsi="Times New Roman"/>
          <w:sz w:val="24"/>
        </w:rPr>
        <w:t>Аппроксимация в единицах SI: Ω² = k · (1/C) + b.</w:t>
      </w:r>
    </w:p>
    <w:p>
      <w:r>
        <w:rPr>
          <w:rFonts w:ascii="Times New Roman" w:hAnsi="Times New Roman"/>
          <w:sz w:val="24"/>
        </w:rPr>
        <w:t>k = 99,979 Гн^-1, b = -1,43 · 10^7 с^-2.</w:t>
      </w:r>
    </w:p>
    <w:p>
      <w:r>
        <w:rPr>
          <w:rFonts w:ascii="Times New Roman" w:hAnsi="Times New Roman"/>
          <w:sz w:val="24"/>
        </w:rPr>
        <w:t>L = 1/k = 10,00 мГн.</w:t>
      </w:r>
    </w:p>
    <w:p>
      <w:r>
        <w:rPr>
          <w:rFonts w:ascii="Times New Roman" w:hAnsi="Times New Roman"/>
          <w:sz w:val="24"/>
        </w:rPr>
        <w:t>R = 2L√(-b) = 75,8 Ом.</w:t>
      </w:r>
    </w:p>
    <w:p>
      <w:r>
        <w:rPr>
          <w:rFonts w:ascii="Times New Roman" w:hAnsi="Times New Roman"/>
          <w:sz w:val="24"/>
        </w:rPr>
        <w:t>С учетом шага частоты и точности задания емкостей принимаем L = (10,00 ± 0,03) мГн, R = (76 ± 4) Ом.</w:t>
      </w:r>
    </w:p>
    <w:p>
      <w:pPr>
        <w:pStyle w:val="Heading1"/>
      </w:pPr>
      <w:r>
        <w:rPr>
          <w:rFonts w:ascii="Times New Roman" w:hAnsi="Times New Roman"/>
        </w:rPr>
        <w:t>Окончательные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47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Величина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Расчетная резонансная частота при C = 0,1 мкФ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5,033 кГц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Экспериментальная резонансная частота при C = 0,1 мкФ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(5,00 ± 0,05) кГц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Добротность по ширине резонансной кривой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Q = 4,17 ± 0,25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Добротность по отношению напряжений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Q = 4,22 ± 0,08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Индуктивность катушки по графику Ω²(1/C)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L = (10,00 ± 0,03) мГн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Активное сопротивление контура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R = (76 ± 4) Ом</w:t>
            </w:r>
          </w:p>
        </w:tc>
      </w:tr>
    </w:tbl>
    <w:p>
      <w:pPr>
        <w:pStyle w:val="Heading1"/>
      </w:pPr>
      <w:r>
        <w:rPr>
          <w:rFonts w:ascii="Times New Roman" w:hAnsi="Times New Roman"/>
        </w:rPr>
        <w:t>Выводы</w:t>
      </w:r>
    </w:p>
    <w:p>
      <w:pPr>
        <w:pStyle w:val="ListBullet"/>
      </w:pPr>
      <w:r>
        <w:rPr>
          <w:rFonts w:ascii="Times New Roman" w:hAnsi="Times New Roman"/>
          <w:sz w:val="24"/>
        </w:rPr>
        <w:t>Построена резонансная кривая последовательного RLC-контура при C = 0,1 мкФ. Экспериментальная частота резонанса 5,00 кГц согласуется с расчетной частотой 5,033 кГц; расхождение составляет 0,65%.</w:t>
      </w:r>
    </w:p>
    <w:p>
      <w:pPr>
        <w:pStyle w:val="ListBullet"/>
      </w:pPr>
      <w:r>
        <w:rPr>
          <w:rFonts w:ascii="Times New Roman" w:hAnsi="Times New Roman"/>
          <w:sz w:val="24"/>
        </w:rPr>
        <w:t>Добротность, найденная по ширине резонансной кривой, равна 4,17, а по отношению напряжений - 4,22. Значения близки, что подтверждает применимость приближения слабого затухания.</w:t>
      </w:r>
    </w:p>
    <w:p>
      <w:pPr>
        <w:pStyle w:val="ListBullet"/>
      </w:pPr>
      <w:r>
        <w:rPr>
          <w:rFonts w:ascii="Times New Roman" w:hAnsi="Times New Roman"/>
          <w:sz w:val="24"/>
        </w:rPr>
        <w:t>По графику Ω² от 1/C получена индуктивность 10,00 мГн, совпадающая с заданным значением 10,0 мГн в пределах погрешности.</w:t>
      </w:r>
    </w:p>
    <w:p>
      <w:pPr>
        <w:pStyle w:val="ListBullet"/>
      </w:pPr>
      <w:r>
        <w:rPr>
          <w:rFonts w:ascii="Times New Roman" w:hAnsi="Times New Roman"/>
          <w:sz w:val="24"/>
        </w:rPr>
        <w:t>Активное сопротивление контура составило около 76 Ом; оно учитывает сопротивление катушки, соединительных проводов и внутреннее сопротивление источника сигнала.</w:t>
      </w:r>
    </w:p>
    <w:p>
      <w:pPr>
        <w:pStyle w:val="Heading1"/>
      </w:pPr>
      <w:r>
        <w:rPr>
          <w:rFonts w:ascii="Times New Roman" w:hAnsi="Times New Roman"/>
        </w:rPr>
        <w:t>Ответы на контрольные вопросы</w:t>
      </w:r>
    </w:p>
    <w:p>
      <w:r>
        <w:rPr>
          <w:rFonts w:ascii="Times New Roman" w:hAnsi="Times New Roman"/>
          <w:b/>
          <w:sz w:val="24"/>
        </w:rPr>
        <w:t xml:space="preserve">1. Какие колебания называются вынужденными? </w:t>
      </w:r>
      <w:r>
        <w:rPr>
          <w:rFonts w:ascii="Times New Roman" w:hAnsi="Times New Roman"/>
          <w:sz w:val="24"/>
        </w:rPr>
        <w:t>Колебания, возникающие под действием внешнего периодического воздействия; после затухания переходного процесса их частота равна частоте внешнего источника.</w:t>
      </w:r>
    </w:p>
    <w:p>
      <w:r>
        <w:rPr>
          <w:rFonts w:ascii="Times New Roman" w:hAnsi="Times New Roman"/>
          <w:b/>
          <w:sz w:val="24"/>
        </w:rPr>
        <w:t xml:space="preserve">2. Дифференциальное уравнение механических вынужденных колебаний. </w:t>
      </w:r>
      <w:r>
        <w:rPr>
          <w:rFonts w:ascii="Times New Roman" w:hAnsi="Times New Roman"/>
          <w:sz w:val="24"/>
        </w:rPr>
        <w:t>x″ + 2βx′ + ω0²x = (F0/m)cos(Ωt).</w:t>
      </w:r>
    </w:p>
    <w:p>
      <w:r>
        <w:rPr>
          <w:rFonts w:ascii="Times New Roman" w:hAnsi="Times New Roman"/>
          <w:b/>
          <w:sz w:val="24"/>
        </w:rPr>
        <w:t xml:space="preserve">3. Физический смысл добротности. </w:t>
      </w:r>
      <w:r>
        <w:rPr>
          <w:rFonts w:ascii="Times New Roman" w:hAnsi="Times New Roman"/>
          <w:sz w:val="24"/>
        </w:rPr>
        <w:t>Добротность характеризует относительные потери энергии и остроту резонанса: чем больше Q, тем уже резонансная кривая и тем меньше потери за период.</w:t>
      </w:r>
    </w:p>
    <w:p>
      <w:r>
        <w:rPr>
          <w:rFonts w:ascii="Times New Roman" w:hAnsi="Times New Roman"/>
          <w:b/>
          <w:sz w:val="24"/>
        </w:rPr>
        <w:t xml:space="preserve">4. Чем обусловлена частота вынужденных колебаний? </w:t>
      </w:r>
      <w:r>
        <w:rPr>
          <w:rFonts w:ascii="Times New Roman" w:hAnsi="Times New Roman"/>
          <w:sz w:val="24"/>
        </w:rPr>
        <w:t>Частотой внешней силы или внешней ЭДС, а не собственной частотой системы.</w:t>
      </w:r>
    </w:p>
    <w:p>
      <w:r>
        <w:rPr>
          <w:rFonts w:ascii="Times New Roman" w:hAnsi="Times New Roman"/>
          <w:b/>
          <w:sz w:val="24"/>
        </w:rPr>
        <w:t xml:space="preserve">5. Общее решение уравнения вынужденных колебаний. </w:t>
      </w:r>
      <w:r>
        <w:rPr>
          <w:rFonts w:ascii="Times New Roman" w:hAnsi="Times New Roman"/>
          <w:sz w:val="24"/>
        </w:rPr>
        <w:t>Оно равно сумме затухающего собственного решения и установившегося частного решения A cos(Ωt - φ).</w:t>
      </w:r>
    </w:p>
    <w:p>
      <w:r>
        <w:rPr>
          <w:rFonts w:ascii="Times New Roman" w:hAnsi="Times New Roman"/>
          <w:b/>
          <w:sz w:val="24"/>
        </w:rPr>
        <w:t xml:space="preserve">6. В чем заключается резонанс? </w:t>
      </w:r>
      <w:r>
        <w:rPr>
          <w:rFonts w:ascii="Times New Roman" w:hAnsi="Times New Roman"/>
          <w:sz w:val="24"/>
        </w:rPr>
        <w:t>В резком росте амплитуды при приближении частоты внешнего воздействия к резонансной; примеры: настройка радиоприемника, кварцевые генераторы, резонансные фильтры.</w:t>
      </w:r>
    </w:p>
    <w:p>
      <w:r>
        <w:rPr>
          <w:rFonts w:ascii="Times New Roman" w:hAnsi="Times New Roman"/>
          <w:b/>
          <w:sz w:val="24"/>
        </w:rPr>
        <w:t xml:space="preserve">7. Как зависит емкостное сопротивление от частоты? </w:t>
      </w:r>
      <w:r>
        <w:rPr>
          <w:rFonts w:ascii="Times New Roman" w:hAnsi="Times New Roman"/>
          <w:sz w:val="24"/>
        </w:rPr>
        <w:t>XC = 1/(ΩC), поэтому при росте частоты оно уменьшается.</w:t>
      </w:r>
    </w:p>
    <w:p>
      <w:r>
        <w:rPr>
          <w:rFonts w:ascii="Times New Roman" w:hAnsi="Times New Roman"/>
          <w:b/>
          <w:sz w:val="24"/>
        </w:rPr>
        <w:t xml:space="preserve">8. Как зависит индуктивное сопротивление от частоты? </w:t>
      </w:r>
      <w:r>
        <w:rPr>
          <w:rFonts w:ascii="Times New Roman" w:hAnsi="Times New Roman"/>
          <w:sz w:val="24"/>
        </w:rPr>
        <w:t>XL = ΩL, поэтому при росте частоты оно увеличивается линейно.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