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Design Consideration: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I tried to design the code simple and easy to understand.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I have provided 100% unit test coverage for the code, I put strong emphasis on unit testing.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Each Classes are loosely coupled to other application component through principal of programming to interface.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Single purposed classes, Each class purpose is well defined and focused.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Sequence Diagram: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------&gt; WriteCommand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Client ------------&gt; MessageProcessor ------------&gt;CommandFactory  ------&gt; AppendCommand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</w:t>
        <w:tab/>
        <w:tab/>
        <w:tab/>
        <w:tab/>
        <w:tab/>
        <w:tab/>
        <w:tab/>
        <w:t xml:space="preserve">  ------&gt; DeleteCommand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Command: Write to new file or overwrite the existing content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Append Command: append to same file if file already exists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DeleteCommand: delete the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Class Diagram: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193227" cx="5918200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93227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37604" cx="5918200"/>
            <wp:effectExtent t="0" b="0" r="0" l="0"/>
            <wp:docPr id="2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3760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* In high volume application design consideration would be different: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Incoming email should be process by Filter Thread ,which basically identifies the message type based on subject of message and push the messages to corresponding process queue.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Process queue should be implemented using BlockingQueue for each type of Email (Write,Append and Delete)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Each Queue need to have Thread Pool attached to it to process incoming messages in their respective process queue.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UBS-test.docx</dc:title>
</cp:coreProperties>
</file>