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72D3" w14:textId="77777777" w:rsidR="00881D2C" w:rsidRPr="004D0C55" w:rsidRDefault="00881D2C" w:rsidP="004D0C5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BY"/>
        </w:rPr>
        <w:t>ЕСПД и стандарты жизненного цикла программного обеспечения</w:t>
      </w:r>
    </w:p>
    <w:p w14:paraId="7D37E6D5" w14:textId="77777777" w:rsidR="00881D2C" w:rsidRPr="004D0C55" w:rsidRDefault="00881D2C" w:rsidP="004D0C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1. Единая система программной документации (ЕСПД)</w:t>
      </w:r>
    </w:p>
    <w:p w14:paraId="649F85F1" w14:textId="77777777" w:rsidR="00881D2C" w:rsidRPr="004D0C55" w:rsidRDefault="00881D2C" w:rsidP="004D0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Общая характеристика</w:t>
      </w:r>
    </w:p>
    <w:p w14:paraId="56E26576" w14:textId="77777777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ЕСПД (Единая система программной документации)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это комплекс государственных стандартов, разработанных в СССР и применяемых в России для унификации, стандартизации и упрощения процессов разработки, сопровождения и эксплуатации программного обеспечения.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>Основная цель ЕСПД — обеспечить единообразие программной документации, повысить совместимость между различными организациями и системами, а также сократить трудоёмкость разработки и сопровождения программных продуктов.</w:t>
      </w:r>
    </w:p>
    <w:p w14:paraId="465B43D2" w14:textId="77777777" w:rsidR="00881D2C" w:rsidRPr="004D0C55" w:rsidRDefault="00881D2C" w:rsidP="004D0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Назначение ЕСПД</w:t>
      </w:r>
    </w:p>
    <w:p w14:paraId="3645B4F8" w14:textId="77777777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ЕСПД предназначена для:</w:t>
      </w:r>
    </w:p>
    <w:p w14:paraId="2B3C543A" w14:textId="77777777" w:rsidR="00881D2C" w:rsidRPr="004D0C55" w:rsidRDefault="00881D2C" w:rsidP="004D0C5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установления правил оформления, хранения и обращения программной документации;</w:t>
      </w:r>
    </w:p>
    <w:p w14:paraId="44780F82" w14:textId="77777777" w:rsidR="00881D2C" w:rsidRPr="004D0C55" w:rsidRDefault="00881D2C" w:rsidP="004D0C5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обеспечения совместимости и взаимопонимания между организациями-разработчиками;</w:t>
      </w:r>
    </w:p>
    <w:p w14:paraId="4CF7D148" w14:textId="77777777" w:rsidR="00881D2C" w:rsidRPr="004D0C55" w:rsidRDefault="00881D2C" w:rsidP="004D0C5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снижения трудоёмкости разработки и сопровождения ПО;</w:t>
      </w:r>
    </w:p>
    <w:p w14:paraId="5A2495F0" w14:textId="77777777" w:rsidR="00881D2C" w:rsidRPr="004D0C55" w:rsidRDefault="00881D2C" w:rsidP="004D0C5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упрощения автоматизации процессов документирования и контроля качества.</w:t>
      </w:r>
    </w:p>
    <w:p w14:paraId="48990FC6" w14:textId="77777777" w:rsidR="00881D2C" w:rsidRPr="004D0C55" w:rsidRDefault="00881D2C" w:rsidP="004D0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Область применения</w:t>
      </w:r>
    </w:p>
    <w:p w14:paraId="32FEF4E0" w14:textId="77777777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Стандарты ЕСПД применяются:</w:t>
      </w:r>
    </w:p>
    <w:p w14:paraId="7A04F5F6" w14:textId="77777777" w:rsidR="00881D2C" w:rsidRPr="004D0C55" w:rsidRDefault="00881D2C" w:rsidP="004D0C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в государственных и оборонных проектах, где требуется строгая регламентация документации;</w:t>
      </w:r>
    </w:p>
    <w:p w14:paraId="2B5CCE3D" w14:textId="77777777" w:rsidR="00881D2C" w:rsidRPr="004D0C55" w:rsidRDefault="00881D2C" w:rsidP="004D0C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при разработке промышленного программного обеспечения (АСУ ТП, банковские и информационные системы);</w:t>
      </w:r>
    </w:p>
    <w:p w14:paraId="2260B4FB" w14:textId="77777777" w:rsidR="00881D2C" w:rsidRPr="004D0C55" w:rsidRDefault="00881D2C" w:rsidP="004D0C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в образовательных и исследовательских проектах при оформлении отчётной документации, курсовых и дипломных работ;</w:t>
      </w:r>
    </w:p>
    <w:p w14:paraId="267FC224" w14:textId="0B024152" w:rsidR="00881D2C" w:rsidRPr="004D0C55" w:rsidRDefault="00881D2C" w:rsidP="004D0C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при архивировании, сопровождении и версиировании программных продуктов.</w:t>
      </w:r>
    </w:p>
    <w:p w14:paraId="0E47ABBC" w14:textId="77777777" w:rsidR="00881D2C" w:rsidRPr="004D0C55" w:rsidRDefault="00881D2C" w:rsidP="004D0C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2. Основные стандарты серии ЕСПД</w:t>
      </w:r>
    </w:p>
    <w:p w14:paraId="6E93F7CD" w14:textId="77777777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ЕСПД включает ряд ГОСТов, регулирующих структуру, оформление и содержание программной документации.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35"/>
        <w:gridCol w:w="2674"/>
        <w:gridCol w:w="4736"/>
      </w:tblGrid>
      <w:tr w:rsidR="00881D2C" w:rsidRPr="004D0C55" w14:paraId="444124EC" w14:textId="77777777" w:rsidTr="00881D2C">
        <w:tc>
          <w:tcPr>
            <w:tcW w:w="0" w:type="auto"/>
            <w:hideMark/>
          </w:tcPr>
          <w:p w14:paraId="3D966FA1" w14:textId="77777777" w:rsidR="00881D2C" w:rsidRPr="004D0C55" w:rsidRDefault="00881D2C" w:rsidP="004D0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Обозначение ГОСТ</w:t>
            </w:r>
          </w:p>
        </w:tc>
        <w:tc>
          <w:tcPr>
            <w:tcW w:w="0" w:type="auto"/>
            <w:hideMark/>
          </w:tcPr>
          <w:p w14:paraId="4F454C94" w14:textId="77777777" w:rsidR="00881D2C" w:rsidRPr="004D0C55" w:rsidRDefault="00881D2C" w:rsidP="004D0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097A27B" w14:textId="77777777" w:rsidR="00881D2C" w:rsidRPr="004D0C55" w:rsidRDefault="00881D2C" w:rsidP="004D0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Краткая характеристика</w:t>
            </w:r>
          </w:p>
        </w:tc>
      </w:tr>
      <w:tr w:rsidR="00881D2C" w:rsidRPr="004D0C55" w14:paraId="064053E8" w14:textId="77777777" w:rsidTr="00881D2C">
        <w:tc>
          <w:tcPr>
            <w:tcW w:w="0" w:type="auto"/>
            <w:hideMark/>
          </w:tcPr>
          <w:p w14:paraId="12323C37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ГОСТ 19.001–77</w:t>
            </w:r>
          </w:p>
        </w:tc>
        <w:tc>
          <w:tcPr>
            <w:tcW w:w="0" w:type="auto"/>
            <w:hideMark/>
          </w:tcPr>
          <w:p w14:paraId="2C3CD296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Общие положения</w:t>
            </w:r>
          </w:p>
        </w:tc>
        <w:tc>
          <w:tcPr>
            <w:tcW w:w="0" w:type="auto"/>
            <w:hideMark/>
          </w:tcPr>
          <w:p w14:paraId="34679EB5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Определяет цели, задачи и принципы построения системы ЕСПД.</w:t>
            </w:r>
          </w:p>
        </w:tc>
      </w:tr>
      <w:tr w:rsidR="00881D2C" w:rsidRPr="004D0C55" w14:paraId="1658241A" w14:textId="77777777" w:rsidTr="00881D2C">
        <w:tc>
          <w:tcPr>
            <w:tcW w:w="0" w:type="auto"/>
            <w:hideMark/>
          </w:tcPr>
          <w:p w14:paraId="6CDFB010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ГОСТ 19.101–77</w:t>
            </w:r>
          </w:p>
        </w:tc>
        <w:tc>
          <w:tcPr>
            <w:tcW w:w="0" w:type="auto"/>
            <w:hideMark/>
          </w:tcPr>
          <w:p w14:paraId="5C724C46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Виды программ и программных документов</w:t>
            </w:r>
          </w:p>
        </w:tc>
        <w:tc>
          <w:tcPr>
            <w:tcW w:w="0" w:type="auto"/>
            <w:hideMark/>
          </w:tcPr>
          <w:p w14:paraId="27E4FA04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Устанавливает классификацию программных документов, их коды и принадлежность (эксплуатационные или программные документы).</w:t>
            </w:r>
          </w:p>
        </w:tc>
      </w:tr>
      <w:tr w:rsidR="00881D2C" w:rsidRPr="004D0C55" w14:paraId="40D15D77" w14:textId="77777777" w:rsidTr="00881D2C">
        <w:tc>
          <w:tcPr>
            <w:tcW w:w="0" w:type="auto"/>
            <w:hideMark/>
          </w:tcPr>
          <w:p w14:paraId="4E6DB935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ГОСТ 19.102–77</w:t>
            </w:r>
          </w:p>
        </w:tc>
        <w:tc>
          <w:tcPr>
            <w:tcW w:w="0" w:type="auto"/>
            <w:hideMark/>
          </w:tcPr>
          <w:p w14:paraId="62671632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Требования к программам</w:t>
            </w:r>
          </w:p>
        </w:tc>
        <w:tc>
          <w:tcPr>
            <w:tcW w:w="0" w:type="auto"/>
            <w:hideMark/>
          </w:tcPr>
          <w:p w14:paraId="27CB643E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Задает общие требования к программным продуктам.</w:t>
            </w:r>
          </w:p>
        </w:tc>
      </w:tr>
      <w:tr w:rsidR="00881D2C" w:rsidRPr="004D0C55" w14:paraId="7956F827" w14:textId="77777777" w:rsidTr="00881D2C">
        <w:tc>
          <w:tcPr>
            <w:tcW w:w="0" w:type="auto"/>
            <w:hideMark/>
          </w:tcPr>
          <w:p w14:paraId="3AFB67E3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ГОСТ 19.104–78</w:t>
            </w:r>
          </w:p>
        </w:tc>
        <w:tc>
          <w:tcPr>
            <w:tcW w:w="0" w:type="auto"/>
            <w:hideMark/>
          </w:tcPr>
          <w:p w14:paraId="59CD3825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Основные надписи</w:t>
            </w:r>
          </w:p>
        </w:tc>
        <w:tc>
          <w:tcPr>
            <w:tcW w:w="0" w:type="auto"/>
            <w:hideMark/>
          </w:tcPr>
          <w:p w14:paraId="30EFC4A0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Регламентирует оформление титульного листа и листа </w:t>
            </w: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lastRenderedPageBreak/>
              <w:t>утверждения. Особенностью является отдельное оформление ЛУ, который содержит подписи разработчиков и утверждающих лиц и не является частью документа.</w:t>
            </w:r>
          </w:p>
        </w:tc>
      </w:tr>
      <w:tr w:rsidR="00881D2C" w:rsidRPr="004D0C55" w14:paraId="4EAB1762" w14:textId="77777777" w:rsidTr="00881D2C">
        <w:tc>
          <w:tcPr>
            <w:tcW w:w="0" w:type="auto"/>
            <w:hideMark/>
          </w:tcPr>
          <w:p w14:paraId="187ADBB1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lastRenderedPageBreak/>
              <w:t>ГОСТ 19.105–78</w:t>
            </w:r>
          </w:p>
        </w:tc>
        <w:tc>
          <w:tcPr>
            <w:tcW w:w="0" w:type="auto"/>
            <w:hideMark/>
          </w:tcPr>
          <w:p w14:paraId="3C4AE1F4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Общие требования к программным документам</w:t>
            </w:r>
          </w:p>
        </w:tc>
        <w:tc>
          <w:tcPr>
            <w:tcW w:w="0" w:type="auto"/>
            <w:hideMark/>
          </w:tcPr>
          <w:p w14:paraId="1FCB2083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Определяет общую структуру документа, допускает как бумажную, так и электронную форму исполнения.</w:t>
            </w:r>
          </w:p>
        </w:tc>
      </w:tr>
      <w:tr w:rsidR="00881D2C" w:rsidRPr="004D0C55" w14:paraId="40E18794" w14:textId="77777777" w:rsidTr="00881D2C">
        <w:tc>
          <w:tcPr>
            <w:tcW w:w="0" w:type="auto"/>
            <w:hideMark/>
          </w:tcPr>
          <w:p w14:paraId="14ACE39F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ГОСТ 19.106–78</w:t>
            </w:r>
          </w:p>
        </w:tc>
        <w:tc>
          <w:tcPr>
            <w:tcW w:w="0" w:type="auto"/>
            <w:hideMark/>
          </w:tcPr>
          <w:p w14:paraId="47A4F625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Общие требования к документам, выполненным печатным способом</w:t>
            </w:r>
          </w:p>
        </w:tc>
        <w:tc>
          <w:tcPr>
            <w:tcW w:w="0" w:type="auto"/>
            <w:hideMark/>
          </w:tcPr>
          <w:p w14:paraId="1E83C9CD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Основной стандарт для оформления текста, таблиц, рисунков, формул и структурных элементов документа. Регламентирует правила нумерации, оформление разделов, абзацев и приложений.</w:t>
            </w:r>
          </w:p>
        </w:tc>
      </w:tr>
      <w:tr w:rsidR="00881D2C" w:rsidRPr="004D0C55" w14:paraId="7E715B85" w14:textId="77777777" w:rsidTr="00881D2C">
        <w:tc>
          <w:tcPr>
            <w:tcW w:w="0" w:type="auto"/>
            <w:hideMark/>
          </w:tcPr>
          <w:p w14:paraId="271B04E5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ГОСТ 19.201–78</w:t>
            </w:r>
          </w:p>
        </w:tc>
        <w:tc>
          <w:tcPr>
            <w:tcW w:w="0" w:type="auto"/>
            <w:hideMark/>
          </w:tcPr>
          <w:p w14:paraId="52978DA5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Техническое задание</w:t>
            </w:r>
          </w:p>
        </w:tc>
        <w:tc>
          <w:tcPr>
            <w:tcW w:w="0" w:type="auto"/>
            <w:hideMark/>
          </w:tcPr>
          <w:p w14:paraId="1B21E596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Устанавливает требования к содержанию и оформлению ТЗ на разработку программного обеспечения.</w:t>
            </w:r>
          </w:p>
        </w:tc>
      </w:tr>
      <w:tr w:rsidR="00881D2C" w:rsidRPr="004D0C55" w14:paraId="6231EC31" w14:textId="77777777" w:rsidTr="00881D2C">
        <w:tc>
          <w:tcPr>
            <w:tcW w:w="0" w:type="auto"/>
            <w:hideMark/>
          </w:tcPr>
          <w:p w14:paraId="5DD0E7B7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ГОСТ 19.402–78</w:t>
            </w:r>
          </w:p>
        </w:tc>
        <w:tc>
          <w:tcPr>
            <w:tcW w:w="0" w:type="auto"/>
            <w:hideMark/>
          </w:tcPr>
          <w:p w14:paraId="32562EA0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Руководство пользователя</w:t>
            </w:r>
          </w:p>
        </w:tc>
        <w:tc>
          <w:tcPr>
            <w:tcW w:w="0" w:type="auto"/>
            <w:hideMark/>
          </w:tcPr>
          <w:p w14:paraId="2F476D1E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Определяет структуру и содержание документа, описывающего правила эксплуатации программного продукта.</w:t>
            </w:r>
          </w:p>
        </w:tc>
      </w:tr>
      <w:tr w:rsidR="00881D2C" w:rsidRPr="004D0C55" w14:paraId="46FF73D8" w14:textId="77777777" w:rsidTr="00881D2C">
        <w:tc>
          <w:tcPr>
            <w:tcW w:w="0" w:type="auto"/>
            <w:hideMark/>
          </w:tcPr>
          <w:p w14:paraId="303EFAE7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ГОСТ 19.004–80</w:t>
            </w:r>
          </w:p>
        </w:tc>
        <w:tc>
          <w:tcPr>
            <w:tcW w:w="0" w:type="auto"/>
            <w:hideMark/>
          </w:tcPr>
          <w:p w14:paraId="7B2C475B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Термины и определения</w:t>
            </w:r>
          </w:p>
        </w:tc>
        <w:tc>
          <w:tcPr>
            <w:tcW w:w="0" w:type="auto"/>
            <w:hideMark/>
          </w:tcPr>
          <w:p w14:paraId="6CBA6D49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Содержит глоссарий терминов ЕСПД, включая определения видов программных и эксплуатационных документов.</w:t>
            </w:r>
          </w:p>
        </w:tc>
      </w:tr>
      <w:tr w:rsidR="00881D2C" w:rsidRPr="004D0C55" w14:paraId="46D3D630" w14:textId="77777777" w:rsidTr="00881D2C">
        <w:tc>
          <w:tcPr>
            <w:tcW w:w="0" w:type="auto"/>
            <w:hideMark/>
          </w:tcPr>
          <w:p w14:paraId="510BF5B7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ГОСТ 19.005–85</w:t>
            </w:r>
          </w:p>
        </w:tc>
        <w:tc>
          <w:tcPr>
            <w:tcW w:w="0" w:type="auto"/>
            <w:hideMark/>
          </w:tcPr>
          <w:p w14:paraId="52DE5BED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Р-схемы алгоритмов и программ</w:t>
            </w:r>
          </w:p>
        </w:tc>
        <w:tc>
          <w:tcPr>
            <w:tcW w:w="0" w:type="auto"/>
            <w:hideMark/>
          </w:tcPr>
          <w:p w14:paraId="377962E6" w14:textId="77777777" w:rsidR="00881D2C" w:rsidRPr="004D0C55" w:rsidRDefault="00881D2C" w:rsidP="004D0C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4D0C55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Определяет правила построения Р-схем (графический язык описания алгоритмов, ранее применявшийся в ракетно-космической отрасли).</w:t>
            </w:r>
          </w:p>
        </w:tc>
      </w:tr>
    </w:tbl>
    <w:p w14:paraId="47CCD7F6" w14:textId="77777777" w:rsidR="00881D2C" w:rsidRPr="004D0C55" w:rsidRDefault="00881D2C" w:rsidP="004D0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Особенности оформления по ЕСПД</w:t>
      </w:r>
    </w:p>
    <w:p w14:paraId="1885E11F" w14:textId="77777777" w:rsidR="00881D2C" w:rsidRPr="004D0C55" w:rsidRDefault="00881D2C" w:rsidP="004D0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Лист утверждения (ЛУ)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отделяется от основного документа, хранится отдельно и содержит подписи всех участников утверждения.</w:t>
      </w:r>
    </w:p>
    <w:p w14:paraId="631A1330" w14:textId="77777777" w:rsidR="00881D2C" w:rsidRPr="004D0C55" w:rsidRDefault="00881D2C" w:rsidP="004D0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Структура документа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делится на разделы, подразделы, пункты и подпункты. В содержание включаются только элементы, имеющие заголовок.</w:t>
      </w:r>
    </w:p>
    <w:p w14:paraId="7A5F09BA" w14:textId="77777777" w:rsidR="00881D2C" w:rsidRPr="004D0C55" w:rsidRDefault="00881D2C" w:rsidP="004D0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Иллюстрации и таблицы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нумеруются в пределах документа; при наличии только одной иллюстрации нумерация не требуется.</w:t>
      </w:r>
    </w:p>
    <w:p w14:paraId="2B0516FD" w14:textId="77777777" w:rsidR="00881D2C" w:rsidRPr="004D0C55" w:rsidRDefault="00881D2C" w:rsidP="004D0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Абзацный отступ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5 символов, используется для всех структурных элементов документа.</w:t>
      </w:r>
    </w:p>
    <w:p w14:paraId="7D4FA978" w14:textId="77777777" w:rsidR="00881D2C" w:rsidRPr="004D0C55" w:rsidRDefault="00881D2C" w:rsidP="004D0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Текстовые и графические элементы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оформляются в соответствии с требованиями к читаемости и пригодности для архивного хранения и микрофильмирования.</w:t>
      </w:r>
    </w:p>
    <w:p w14:paraId="58A06833" w14:textId="78D3B958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Таким образом, ЕСПД представляет собой основу для документирования программных продуктов, обеспечивая единые принципы и формат представления информации.</w:t>
      </w:r>
    </w:p>
    <w:p w14:paraId="1CCA4279" w14:textId="77777777" w:rsidR="00881D2C" w:rsidRPr="004D0C55" w:rsidRDefault="00881D2C" w:rsidP="004D0C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3. СТБ ISO/IEC/IEEE 12207-2023</w:t>
      </w:r>
    </w:p>
    <w:p w14:paraId="1664DC8C" w14:textId="77777777" w:rsidR="00881D2C" w:rsidRPr="004D0C55" w:rsidRDefault="00881D2C" w:rsidP="004D0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Общая информация</w:t>
      </w:r>
    </w:p>
    <w:p w14:paraId="366DB05D" w14:textId="77777777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СТБ ISO/IEC/IEEE 12207-2023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национальный стандарт Республики Беларусь, гармонизированный с международным стандартом </w:t>
      </w: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ISO/IEC/IEEE 12207:2023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.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>Данный документ определяет структуру и содержание процессов жизненного цикла программного обеспечения, включая этапы разработки, эксплуатации и сопровождения.</w:t>
      </w:r>
    </w:p>
    <w:p w14:paraId="2913C0E5" w14:textId="77777777" w:rsidR="00881D2C" w:rsidRPr="004D0C55" w:rsidRDefault="00881D2C" w:rsidP="004D0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Назначение и область применения</w:t>
      </w:r>
    </w:p>
    <w:p w14:paraId="75DBD440" w14:textId="77777777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Стандарт направлен на:</w:t>
      </w:r>
    </w:p>
    <w:p w14:paraId="0D6A8AE6" w14:textId="77777777" w:rsidR="00881D2C" w:rsidRPr="004D0C55" w:rsidRDefault="00881D2C" w:rsidP="004D0C5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стандартизацию процессов жизненного цикла ПО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от анализа требований до вывода продукта из эксплуатации;</w:t>
      </w:r>
    </w:p>
    <w:p w14:paraId="4B5F3F8B" w14:textId="77777777" w:rsidR="00881D2C" w:rsidRPr="004D0C55" w:rsidRDefault="00881D2C" w:rsidP="004D0C5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обеспечение международной совместимости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соответствие мировым стандартам упрощает сотрудничество и экспорт программных решений;</w:t>
      </w:r>
    </w:p>
    <w:p w14:paraId="201594DC" w14:textId="77777777" w:rsidR="00881D2C" w:rsidRPr="004D0C55" w:rsidRDefault="00881D2C" w:rsidP="004D0C5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адаптацию процессов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возможность подстройки стандартных процедур под нужды конкретной организации.</w:t>
      </w:r>
    </w:p>
    <w:p w14:paraId="76FC7BD5" w14:textId="77777777" w:rsidR="00881D2C" w:rsidRPr="004D0C55" w:rsidRDefault="00881D2C" w:rsidP="004D0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Ключевые компоненты стандарта</w:t>
      </w:r>
    </w:p>
    <w:p w14:paraId="4F279842" w14:textId="77777777" w:rsidR="00881D2C" w:rsidRPr="004D0C55" w:rsidRDefault="00881D2C" w:rsidP="004D0C5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Процессы жизненного цикла программного обеспечения:</w:t>
      </w:r>
    </w:p>
    <w:p w14:paraId="3D08FBCF" w14:textId="77777777" w:rsidR="00881D2C" w:rsidRPr="004D0C55" w:rsidRDefault="00881D2C" w:rsidP="004D0C55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i/>
          <w:iCs/>
          <w:sz w:val="28"/>
          <w:szCs w:val="28"/>
          <w:lang w:eastAsia="ru-BY"/>
        </w:rPr>
        <w:t>Системные и программные инженерные процессы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анализ требований, проектирование, реализация, интеграция, тестирование, валидация.</w:t>
      </w:r>
    </w:p>
    <w:p w14:paraId="1CB11A41" w14:textId="77777777" w:rsidR="00881D2C" w:rsidRPr="004D0C55" w:rsidRDefault="00881D2C" w:rsidP="004D0C55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i/>
          <w:iCs/>
          <w:sz w:val="28"/>
          <w:szCs w:val="28"/>
          <w:lang w:eastAsia="ru-BY"/>
        </w:rPr>
        <w:t>Организационные процессы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управление проектами, качеством, рисками, конфигурациями.</w:t>
      </w:r>
    </w:p>
    <w:p w14:paraId="5148F239" w14:textId="77777777" w:rsidR="00881D2C" w:rsidRPr="004D0C55" w:rsidRDefault="00881D2C" w:rsidP="004D0C55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i/>
          <w:iCs/>
          <w:sz w:val="28"/>
          <w:szCs w:val="28"/>
          <w:lang w:eastAsia="ru-BY"/>
        </w:rPr>
        <w:t>Поддерживающие процессы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документирование, обучение, управление знаниями и измерениями.</w:t>
      </w:r>
    </w:p>
    <w:p w14:paraId="768160E7" w14:textId="77777777" w:rsidR="00881D2C" w:rsidRPr="004D0C55" w:rsidRDefault="00881D2C" w:rsidP="004D0C5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Роли и обязанности: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>Чётко определяются ответственность и полномочия участников разработки и сопровождения.</w:t>
      </w:r>
    </w:p>
    <w:p w14:paraId="5C6F62D8" w14:textId="77777777" w:rsidR="00881D2C" w:rsidRPr="004D0C55" w:rsidRDefault="00881D2C" w:rsidP="004D0C5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Метрики и оценка качества: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>Задают критерии эффективности процессов и качества конечного продукта.</w:t>
      </w:r>
    </w:p>
    <w:p w14:paraId="382FEC15" w14:textId="77777777" w:rsidR="00881D2C" w:rsidRPr="004D0C55" w:rsidRDefault="00881D2C" w:rsidP="004D0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Значимость применения</w:t>
      </w:r>
    </w:p>
    <w:p w14:paraId="2180C5E3" w14:textId="77777777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Использование стандарта </w:t>
      </w: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СТБ ISO/IEC/IEEE 12207-2023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обеспечивает:</w:t>
      </w:r>
    </w:p>
    <w:p w14:paraId="64344A4A" w14:textId="77777777" w:rsidR="00881D2C" w:rsidRPr="004D0C55" w:rsidRDefault="00881D2C" w:rsidP="004D0C5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повышение эффективности разработки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за счёт унифицированных процессов и управления ресурсами;</w:t>
      </w:r>
    </w:p>
    <w:p w14:paraId="4512D4E5" w14:textId="77777777" w:rsidR="00881D2C" w:rsidRPr="004D0C55" w:rsidRDefault="00881D2C" w:rsidP="004D0C5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улучшение качества программного обеспечения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через формализованные процедуры тестирования и контроля;</w:t>
      </w:r>
    </w:p>
    <w:p w14:paraId="7E7E3120" w14:textId="77777777" w:rsidR="00881D2C" w:rsidRPr="004D0C55" w:rsidRDefault="00881D2C" w:rsidP="004D0C5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снижение рисков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путём системного управления изменениями и конфигурациями;</w:t>
      </w:r>
    </w:p>
    <w:p w14:paraId="1E4BF73F" w14:textId="46BF7F50" w:rsidR="00881D2C" w:rsidRPr="004D0C55" w:rsidRDefault="00881D2C" w:rsidP="004D0C5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поддержку сотрудничества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между различными организациями благодаря общим терминам и процессам.</w:t>
      </w:r>
    </w:p>
    <w:p w14:paraId="6358EC2C" w14:textId="77777777" w:rsidR="00881D2C" w:rsidRPr="004D0C55" w:rsidRDefault="00881D2C" w:rsidP="004D0C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lastRenderedPageBreak/>
        <w:t>4. Заключение</w:t>
      </w:r>
    </w:p>
    <w:p w14:paraId="65694E57" w14:textId="77777777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Оба стандарта — </w:t>
      </w: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ЕСПД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и </w:t>
      </w: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СТБ ISO/IEC/IEEE 12207-2023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играют ключевую роль в области программной инженерии.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 xml:space="preserve">ЕСПД обеспечивает </w:t>
      </w: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унификацию программной документации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, что важно для сопровождения и понимания программных продуктов, особенно в государственных и промышленных проектах.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 xml:space="preserve">СТБ ISO/IEC/IEEE 12207-2023 задаёт </w:t>
      </w:r>
      <w:r w:rsidRPr="004D0C55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структуру процессов жизненного цикла программного обеспечения</w:t>
      </w: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, способствуя эффективной и качественной разработке.</w:t>
      </w:r>
    </w:p>
    <w:p w14:paraId="13EF5133" w14:textId="77777777" w:rsidR="00881D2C" w:rsidRPr="004D0C55" w:rsidRDefault="00881D2C" w:rsidP="004D0C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Совместное применение этих стандартов позволяет организациям:</w:t>
      </w:r>
    </w:p>
    <w:p w14:paraId="5F0AD317" w14:textId="77777777" w:rsidR="00881D2C" w:rsidRPr="004D0C55" w:rsidRDefault="00881D2C" w:rsidP="004D0C5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формализовать процессы разработки и документирования ПО;</w:t>
      </w:r>
    </w:p>
    <w:p w14:paraId="3D50F0B9" w14:textId="77777777" w:rsidR="00881D2C" w:rsidRPr="004D0C55" w:rsidRDefault="00881D2C" w:rsidP="004D0C5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повысить качество и надёжность продуктов;</w:t>
      </w:r>
    </w:p>
    <w:p w14:paraId="21CCE7C7" w14:textId="2AB7A51C" w:rsidR="00881D2C" w:rsidRDefault="00881D2C" w:rsidP="004D0C5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4D0C55">
        <w:rPr>
          <w:rFonts w:ascii="Times New Roman" w:eastAsia="Times New Roman" w:hAnsi="Times New Roman" w:cs="Times New Roman"/>
          <w:sz w:val="28"/>
          <w:szCs w:val="28"/>
          <w:lang w:eastAsia="ru-BY"/>
        </w:rPr>
        <w:t>обеспечить соответствие международным требованиям и укрепить позиции на рынке информационных технологий.</w:t>
      </w:r>
    </w:p>
    <w:p w14:paraId="41785804" w14:textId="3BEA3100" w:rsidR="002E00B9" w:rsidRPr="00CF2AD6" w:rsidRDefault="002E00B9" w:rsidP="00CF2AD6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2AD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СРАВНЕНИЕ</w:t>
      </w:r>
      <w:r w:rsidR="00C5116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 12207</w:t>
      </w:r>
    </w:p>
    <w:p w14:paraId="40D55809" w14:textId="77777777" w:rsidR="002E00B9" w:rsidRPr="002E00B9" w:rsidRDefault="002E00B9" w:rsidP="002E00B9">
      <w:pPr>
        <w:pStyle w:val="ab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00B9">
        <w:rPr>
          <w:rFonts w:ascii="Times New Roman" w:hAnsi="Times New Roman" w:cs="Times New Roman"/>
          <w:sz w:val="28"/>
          <w:szCs w:val="28"/>
        </w:rPr>
        <w:t>по назначению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47"/>
        <w:gridCol w:w="3321"/>
        <w:gridCol w:w="4077"/>
      </w:tblGrid>
      <w:tr w:rsidR="002E00B9" w:rsidRPr="00226109" w14:paraId="5C23DE18" w14:textId="77777777" w:rsidTr="003821ED">
        <w:tc>
          <w:tcPr>
            <w:tcW w:w="0" w:type="auto"/>
            <w:hideMark/>
          </w:tcPr>
          <w:p w14:paraId="539F2F27" w14:textId="77777777" w:rsidR="002E00B9" w:rsidRPr="00226109" w:rsidRDefault="002E00B9" w:rsidP="00382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Критерий</w:t>
            </w:r>
          </w:p>
        </w:tc>
        <w:tc>
          <w:tcPr>
            <w:tcW w:w="0" w:type="auto"/>
            <w:hideMark/>
          </w:tcPr>
          <w:p w14:paraId="1CE0DBDD" w14:textId="77777777" w:rsidR="002E00B9" w:rsidRPr="00226109" w:rsidRDefault="002E00B9" w:rsidP="00382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ЕСПД</w:t>
            </w:r>
          </w:p>
        </w:tc>
        <w:tc>
          <w:tcPr>
            <w:tcW w:w="0" w:type="auto"/>
            <w:hideMark/>
          </w:tcPr>
          <w:p w14:paraId="795F67F3" w14:textId="77777777" w:rsidR="002E00B9" w:rsidRPr="00226109" w:rsidRDefault="002E00B9" w:rsidP="00382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ISO/IEC/IEEE 12207 (в т.ч. IEEE 12207)</w:t>
            </w:r>
          </w:p>
        </w:tc>
      </w:tr>
      <w:tr w:rsidR="002E00B9" w:rsidRPr="00226109" w14:paraId="3A3374F5" w14:textId="77777777" w:rsidTr="003821ED">
        <w:tc>
          <w:tcPr>
            <w:tcW w:w="0" w:type="auto"/>
            <w:hideMark/>
          </w:tcPr>
          <w:p w14:paraId="670C32A1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Основная цель</w:t>
            </w:r>
          </w:p>
        </w:tc>
        <w:tc>
          <w:tcPr>
            <w:tcW w:w="0" w:type="auto"/>
            <w:hideMark/>
          </w:tcPr>
          <w:p w14:paraId="59FF4A9D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Унификация программной документации</w:t>
            </w:r>
          </w:p>
        </w:tc>
        <w:tc>
          <w:tcPr>
            <w:tcW w:w="0" w:type="auto"/>
            <w:hideMark/>
          </w:tcPr>
          <w:p w14:paraId="31DE5A1A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Стандартизация процессов жизненного цикла ПО</w:t>
            </w:r>
          </w:p>
        </w:tc>
      </w:tr>
      <w:tr w:rsidR="002E00B9" w:rsidRPr="00226109" w14:paraId="41516360" w14:textId="77777777" w:rsidTr="003821ED">
        <w:tc>
          <w:tcPr>
            <w:tcW w:w="0" w:type="auto"/>
            <w:hideMark/>
          </w:tcPr>
          <w:p w14:paraId="631AA8DA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Ориентация</w:t>
            </w:r>
          </w:p>
        </w:tc>
        <w:tc>
          <w:tcPr>
            <w:tcW w:w="0" w:type="auto"/>
            <w:hideMark/>
          </w:tcPr>
          <w:p w14:paraId="10CCA8D6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Форматы и состав документов</w:t>
            </w:r>
          </w:p>
        </w:tc>
        <w:tc>
          <w:tcPr>
            <w:tcW w:w="0" w:type="auto"/>
            <w:hideMark/>
          </w:tcPr>
          <w:p w14:paraId="1675D3F7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Процессы разработки, эксплуатации, сопровождения</w:t>
            </w:r>
          </w:p>
        </w:tc>
      </w:tr>
      <w:tr w:rsidR="002E00B9" w:rsidRPr="00226109" w14:paraId="5323976D" w14:textId="77777777" w:rsidTr="003821ED">
        <w:tc>
          <w:tcPr>
            <w:tcW w:w="0" w:type="auto"/>
            <w:hideMark/>
          </w:tcPr>
          <w:p w14:paraId="6A5E4000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Где применяется</w:t>
            </w:r>
          </w:p>
        </w:tc>
        <w:tc>
          <w:tcPr>
            <w:tcW w:w="0" w:type="auto"/>
            <w:hideMark/>
          </w:tcPr>
          <w:p w14:paraId="3CCA2FF2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РФ, СНГ, гос. отрасли</w:t>
            </w:r>
          </w:p>
        </w:tc>
        <w:tc>
          <w:tcPr>
            <w:tcW w:w="0" w:type="auto"/>
            <w:hideMark/>
          </w:tcPr>
          <w:p w14:paraId="339E18A1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Международные проекты, коммерческие разработки</w:t>
            </w:r>
          </w:p>
        </w:tc>
      </w:tr>
      <w:tr w:rsidR="002E00B9" w:rsidRPr="00226109" w14:paraId="662AABCE" w14:textId="77777777" w:rsidTr="003821ED">
        <w:tc>
          <w:tcPr>
            <w:tcW w:w="0" w:type="auto"/>
            <w:hideMark/>
          </w:tcPr>
          <w:p w14:paraId="1775209E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Фокус</w:t>
            </w:r>
          </w:p>
        </w:tc>
        <w:tc>
          <w:tcPr>
            <w:tcW w:w="0" w:type="auto"/>
            <w:hideMark/>
          </w:tcPr>
          <w:p w14:paraId="03711615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BY" w:eastAsia="ru-BY"/>
              </w:rPr>
              <w:t>Что должно быть в документации</w:t>
            </w:r>
          </w:p>
        </w:tc>
        <w:tc>
          <w:tcPr>
            <w:tcW w:w="0" w:type="auto"/>
            <w:hideMark/>
          </w:tcPr>
          <w:p w14:paraId="2468DE73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BY" w:eastAsia="ru-BY"/>
              </w:rPr>
              <w:t>Что должно происходить на каждом этапе ЖЦ ПО</w:t>
            </w:r>
          </w:p>
        </w:tc>
      </w:tr>
    </w:tbl>
    <w:p w14:paraId="0E0DE95D" w14:textId="77777777" w:rsidR="002E00B9" w:rsidRPr="002E00B9" w:rsidRDefault="002E00B9" w:rsidP="002E00B9">
      <w:pPr>
        <w:pStyle w:val="ab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00B9">
        <w:rPr>
          <w:rFonts w:ascii="Times New Roman" w:hAnsi="Times New Roman" w:cs="Times New Roman"/>
          <w:sz w:val="28"/>
          <w:szCs w:val="28"/>
        </w:rPr>
        <w:t>по структуре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7"/>
        <w:gridCol w:w="2697"/>
        <w:gridCol w:w="4141"/>
      </w:tblGrid>
      <w:tr w:rsidR="002E00B9" w:rsidRPr="00226109" w14:paraId="4BCE8905" w14:textId="77777777" w:rsidTr="003821ED">
        <w:tc>
          <w:tcPr>
            <w:tcW w:w="0" w:type="auto"/>
            <w:hideMark/>
          </w:tcPr>
          <w:p w14:paraId="46BE3B00" w14:textId="77777777" w:rsidR="002E00B9" w:rsidRPr="00226109" w:rsidRDefault="002E00B9" w:rsidP="00382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Параметр</w:t>
            </w:r>
          </w:p>
        </w:tc>
        <w:tc>
          <w:tcPr>
            <w:tcW w:w="0" w:type="auto"/>
            <w:hideMark/>
          </w:tcPr>
          <w:p w14:paraId="0AEA3AE8" w14:textId="77777777" w:rsidR="002E00B9" w:rsidRPr="00226109" w:rsidRDefault="002E00B9" w:rsidP="00382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ЕСПД</w:t>
            </w:r>
          </w:p>
        </w:tc>
        <w:tc>
          <w:tcPr>
            <w:tcW w:w="0" w:type="auto"/>
            <w:hideMark/>
          </w:tcPr>
          <w:p w14:paraId="56E289D5" w14:textId="77777777" w:rsidR="002E00B9" w:rsidRPr="00226109" w:rsidRDefault="002E00B9" w:rsidP="00382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ISO/IEC/IEEE 12207</w:t>
            </w:r>
          </w:p>
        </w:tc>
      </w:tr>
      <w:tr w:rsidR="002E00B9" w:rsidRPr="00226109" w14:paraId="56823883" w14:textId="77777777" w:rsidTr="003821ED">
        <w:tc>
          <w:tcPr>
            <w:tcW w:w="0" w:type="auto"/>
            <w:hideMark/>
          </w:tcPr>
          <w:p w14:paraId="4D6B5A16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Тип стандарта</w:t>
            </w:r>
          </w:p>
        </w:tc>
        <w:tc>
          <w:tcPr>
            <w:tcW w:w="0" w:type="auto"/>
            <w:hideMark/>
          </w:tcPr>
          <w:p w14:paraId="2A6BCC98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Комплекс ГОСТов</w:t>
            </w:r>
          </w:p>
        </w:tc>
        <w:tc>
          <w:tcPr>
            <w:tcW w:w="0" w:type="auto"/>
            <w:hideMark/>
          </w:tcPr>
          <w:p w14:paraId="0494AB74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Международный комплекс процессов</w:t>
            </w:r>
          </w:p>
        </w:tc>
      </w:tr>
      <w:tr w:rsidR="002E00B9" w:rsidRPr="00226109" w14:paraId="2F3894E1" w14:textId="77777777" w:rsidTr="003821ED">
        <w:tc>
          <w:tcPr>
            <w:tcW w:w="0" w:type="auto"/>
            <w:hideMark/>
          </w:tcPr>
          <w:p w14:paraId="5CBEDC58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Предмет стандартизации</w:t>
            </w:r>
          </w:p>
        </w:tc>
        <w:tc>
          <w:tcPr>
            <w:tcW w:w="0" w:type="auto"/>
            <w:hideMark/>
          </w:tcPr>
          <w:p w14:paraId="2118053F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Документы (структура, оформление)</w:t>
            </w:r>
          </w:p>
        </w:tc>
        <w:tc>
          <w:tcPr>
            <w:tcW w:w="0" w:type="auto"/>
            <w:hideMark/>
          </w:tcPr>
          <w:p w14:paraId="318DFD3B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Процессы (деятельность, роли, результаты)</w:t>
            </w:r>
          </w:p>
        </w:tc>
      </w:tr>
      <w:tr w:rsidR="002E00B9" w:rsidRPr="00226109" w14:paraId="121FD948" w14:textId="77777777" w:rsidTr="003821ED">
        <w:tc>
          <w:tcPr>
            <w:tcW w:w="0" w:type="auto"/>
            <w:hideMark/>
          </w:tcPr>
          <w:p w14:paraId="28B44A6A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Наличие процессов ЖЦ</w:t>
            </w:r>
          </w:p>
        </w:tc>
        <w:tc>
          <w:tcPr>
            <w:tcW w:w="0" w:type="auto"/>
            <w:hideMark/>
          </w:tcPr>
          <w:p w14:paraId="279793B5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Нет (только документы)</w:t>
            </w:r>
          </w:p>
        </w:tc>
        <w:tc>
          <w:tcPr>
            <w:tcW w:w="0" w:type="auto"/>
            <w:hideMark/>
          </w:tcPr>
          <w:p w14:paraId="7D0A605D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Да (полный набор процессов ЖЦ)</w:t>
            </w:r>
          </w:p>
        </w:tc>
      </w:tr>
      <w:tr w:rsidR="002E00B9" w:rsidRPr="00226109" w14:paraId="285648F3" w14:textId="77777777" w:rsidTr="003821ED">
        <w:tc>
          <w:tcPr>
            <w:tcW w:w="0" w:type="auto"/>
            <w:hideMark/>
          </w:tcPr>
          <w:p w14:paraId="6ADF5E9E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Поддерживаемые этапы</w:t>
            </w:r>
          </w:p>
        </w:tc>
        <w:tc>
          <w:tcPr>
            <w:tcW w:w="0" w:type="auto"/>
            <w:hideMark/>
          </w:tcPr>
          <w:p w14:paraId="163DCDD6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Только документирование</w:t>
            </w:r>
          </w:p>
        </w:tc>
        <w:tc>
          <w:tcPr>
            <w:tcW w:w="0" w:type="auto"/>
            <w:hideMark/>
          </w:tcPr>
          <w:p w14:paraId="5C0E36B9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Все этапы ЖЦ: требования, проектирование, кодирование, тестирование, сопровождение</w:t>
            </w:r>
          </w:p>
        </w:tc>
      </w:tr>
      <w:tr w:rsidR="002E00B9" w:rsidRPr="00226109" w14:paraId="465A8C34" w14:textId="77777777" w:rsidTr="003821ED">
        <w:tc>
          <w:tcPr>
            <w:tcW w:w="0" w:type="auto"/>
            <w:hideMark/>
          </w:tcPr>
          <w:p w14:paraId="113961C8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Наличие требований к качеству</w:t>
            </w:r>
          </w:p>
        </w:tc>
        <w:tc>
          <w:tcPr>
            <w:tcW w:w="0" w:type="auto"/>
            <w:hideMark/>
          </w:tcPr>
          <w:p w14:paraId="6168DE6A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Косвенно (структура документа)</w:t>
            </w:r>
          </w:p>
        </w:tc>
        <w:tc>
          <w:tcPr>
            <w:tcW w:w="0" w:type="auto"/>
            <w:hideMark/>
          </w:tcPr>
          <w:p w14:paraId="0F298185" w14:textId="77777777" w:rsidR="002E00B9" w:rsidRPr="00226109" w:rsidRDefault="002E00B9" w:rsidP="003821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226109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Да, встроенные процессы QA/Verification/Validation</w:t>
            </w:r>
          </w:p>
        </w:tc>
      </w:tr>
    </w:tbl>
    <w:p w14:paraId="6245F1EB" w14:textId="77777777" w:rsidR="002E00B9" w:rsidRPr="004D0C55" w:rsidRDefault="002E00B9" w:rsidP="002E00B9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sectPr w:rsidR="002E00B9" w:rsidRPr="004D0C5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AF1A6" w14:textId="77777777" w:rsidR="00EF1E14" w:rsidRDefault="00EF1E14" w:rsidP="00DE4045">
      <w:pPr>
        <w:spacing w:after="0" w:line="240" w:lineRule="auto"/>
      </w:pPr>
      <w:r>
        <w:separator/>
      </w:r>
    </w:p>
  </w:endnote>
  <w:endnote w:type="continuationSeparator" w:id="0">
    <w:p w14:paraId="7E7F0E5E" w14:textId="77777777" w:rsidR="00EF1E14" w:rsidRDefault="00EF1E14" w:rsidP="00DE4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DF9FA" w14:textId="77777777" w:rsidR="00EF1E14" w:rsidRDefault="00EF1E14" w:rsidP="00DE4045">
      <w:pPr>
        <w:spacing w:after="0" w:line="240" w:lineRule="auto"/>
      </w:pPr>
      <w:r>
        <w:separator/>
      </w:r>
    </w:p>
  </w:footnote>
  <w:footnote w:type="continuationSeparator" w:id="0">
    <w:p w14:paraId="01583DC6" w14:textId="77777777" w:rsidR="00EF1E14" w:rsidRDefault="00EF1E14" w:rsidP="00DE4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17724" w14:textId="00452C88" w:rsidR="00DE4045" w:rsidRPr="00DE4045" w:rsidRDefault="00DE4045">
    <w:pPr>
      <w:pStyle w:val="a7"/>
      <w:rPr>
        <w:lang w:val="ru-RU"/>
      </w:rPr>
    </w:pPr>
    <w:r>
      <w:rPr>
        <w:lang w:val="ru-RU"/>
      </w:rPr>
      <w:t>Глухова Д.В.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318F"/>
    <w:multiLevelType w:val="multilevel"/>
    <w:tmpl w:val="F724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B35A5"/>
    <w:multiLevelType w:val="multilevel"/>
    <w:tmpl w:val="67B0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F7CC1"/>
    <w:multiLevelType w:val="multilevel"/>
    <w:tmpl w:val="AFB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F3121"/>
    <w:multiLevelType w:val="multilevel"/>
    <w:tmpl w:val="FF3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C1D75"/>
    <w:multiLevelType w:val="multilevel"/>
    <w:tmpl w:val="7DA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D7862"/>
    <w:multiLevelType w:val="multilevel"/>
    <w:tmpl w:val="310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44CA6"/>
    <w:multiLevelType w:val="multilevel"/>
    <w:tmpl w:val="912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2C"/>
    <w:rsid w:val="002D06D7"/>
    <w:rsid w:val="002E00B9"/>
    <w:rsid w:val="004D0C55"/>
    <w:rsid w:val="00881D2C"/>
    <w:rsid w:val="00B957EE"/>
    <w:rsid w:val="00C5116B"/>
    <w:rsid w:val="00CF2AD6"/>
    <w:rsid w:val="00DE4045"/>
    <w:rsid w:val="00E03B5D"/>
    <w:rsid w:val="00EF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4275D"/>
  <w15:chartTrackingRefBased/>
  <w15:docId w15:val="{94A361A6-2EF4-4748-BCF3-6CE96507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81D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paragraph" w:styleId="2">
    <w:name w:val="heading 2"/>
    <w:basedOn w:val="a"/>
    <w:link w:val="20"/>
    <w:uiPriority w:val="9"/>
    <w:qFormat/>
    <w:rsid w:val="00881D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link w:val="30"/>
    <w:uiPriority w:val="9"/>
    <w:qFormat/>
    <w:rsid w:val="00881D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D2C"/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character" w:customStyle="1" w:styleId="20">
    <w:name w:val="Заголовок 2 Знак"/>
    <w:basedOn w:val="a0"/>
    <w:link w:val="2"/>
    <w:uiPriority w:val="9"/>
    <w:rsid w:val="00881D2C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customStyle="1" w:styleId="30">
    <w:name w:val="Заголовок 3 Знак"/>
    <w:basedOn w:val="a0"/>
    <w:link w:val="3"/>
    <w:uiPriority w:val="9"/>
    <w:rsid w:val="00881D2C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a3">
    <w:name w:val="Normal (Web)"/>
    <w:basedOn w:val="a"/>
    <w:uiPriority w:val="99"/>
    <w:semiHidden/>
    <w:unhideWhenUsed/>
    <w:rsid w:val="00881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881D2C"/>
    <w:rPr>
      <w:b/>
      <w:bCs/>
    </w:rPr>
  </w:style>
  <w:style w:type="character" w:styleId="a5">
    <w:name w:val="Emphasis"/>
    <w:basedOn w:val="a0"/>
    <w:uiPriority w:val="20"/>
    <w:qFormat/>
    <w:rsid w:val="00881D2C"/>
    <w:rPr>
      <w:i/>
      <w:iCs/>
    </w:rPr>
  </w:style>
  <w:style w:type="table" w:styleId="a6">
    <w:name w:val="Table Grid"/>
    <w:basedOn w:val="a1"/>
    <w:uiPriority w:val="39"/>
    <w:rsid w:val="00881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DE40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E4045"/>
  </w:style>
  <w:style w:type="paragraph" w:styleId="a9">
    <w:name w:val="footer"/>
    <w:basedOn w:val="a"/>
    <w:link w:val="aa"/>
    <w:uiPriority w:val="99"/>
    <w:unhideWhenUsed/>
    <w:rsid w:val="00DE40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E4045"/>
  </w:style>
  <w:style w:type="paragraph" w:styleId="ab">
    <w:name w:val="List Paragraph"/>
    <w:basedOn w:val="a"/>
    <w:uiPriority w:val="34"/>
    <w:qFormat/>
    <w:rsid w:val="002E0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7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1100</Words>
  <Characters>6272</Characters>
  <Application>Microsoft Office Word</Application>
  <DocSecurity>0</DocSecurity>
  <Lines>52</Lines>
  <Paragraphs>14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8</cp:revision>
  <dcterms:created xsi:type="dcterms:W3CDTF">2025-11-13T08:54:00Z</dcterms:created>
  <dcterms:modified xsi:type="dcterms:W3CDTF">2025-11-27T09:01:00Z</dcterms:modified>
</cp:coreProperties>
</file>