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IQAC Cluster Logo </w:t>
        <w:tab/>
        <w:tab/>
        <w:tab/>
        <w:t xml:space="preserve">College Logo</w:t>
        <w:tab/>
        <w:t xml:space="preserve">   </w:t>
        <w:tab/>
        <w:tab/>
        <w:tab/>
        <w:t xml:space="preserve">WhiteCode logo</w:t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Georgia" w:cs="Georgia" w:eastAsia="Georgia" w:hAnsi="Georgia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Georgia" w:cs="Georgia" w:eastAsia="Georgia" w:hAnsi="Georgia"/>
          <w:i w:val="1"/>
          <w:color w:val="38761d"/>
        </w:rPr>
      </w:pPr>
      <w:r w:rsidDel="00000000" w:rsidR="00000000" w:rsidRPr="00000000">
        <w:rPr>
          <w:rFonts w:ascii="Georgia" w:cs="Georgia" w:eastAsia="Georgia" w:hAnsi="Georgia"/>
          <w:i w:val="1"/>
          <w:color w:val="38761d"/>
          <w:rtl w:val="0"/>
        </w:rPr>
        <w:t xml:space="preserve">CERTIFICATE OF APPRECIATION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Georgia" w:cs="Georgia" w:eastAsia="Georgia" w:hAnsi="Georgia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28"/>
          <w:szCs w:val="28"/>
          <w:rtl w:val="0"/>
        </w:rPr>
        <w:t xml:space="preserve">IQAC Cluster India and White Code Technology Solutions Pvt. Ltd.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Georgia" w:cs="Georgia" w:eastAsia="Georgia" w:hAnsi="Georgia"/>
          <w:color w:val="674ea7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674ea7"/>
          <w:sz w:val="28"/>
          <w:szCs w:val="28"/>
          <w:rtl w:val="0"/>
        </w:rPr>
        <w:t xml:space="preserve"> in association with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Georgia" w:cs="Georgia" w:eastAsia="Georgia" w:hAnsi="Georgia"/>
          <w:i w:val="1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8"/>
          <w:szCs w:val="28"/>
          <w:rtl w:val="0"/>
        </w:rPr>
        <w:t xml:space="preserve">Mata Gujri Mahila Mahavidyalaya (Autonomous), Jabalpur, MP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Georgia" w:cs="Georgia" w:eastAsia="Georgia" w:hAnsi="Georgia"/>
          <w:i w:val="1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8"/>
          <w:szCs w:val="28"/>
          <w:rtl w:val="0"/>
        </w:rPr>
        <w:t xml:space="preserve">under PARAMARSH Scheme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Georgia" w:cs="Georgia" w:eastAsia="Georgia" w:hAnsi="Georgia"/>
          <w:color w:val="a64d7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4d7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a64d79"/>
          <w:rtl w:val="0"/>
        </w:rPr>
        <w:t xml:space="preserve">ORGANISES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Georgia" w:cs="Georgia" w:eastAsia="Georgia" w:hAnsi="Georgia"/>
          <w:color w:val="674ea7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674ea7"/>
          <w:sz w:val="28"/>
          <w:szCs w:val="28"/>
          <w:rtl w:val="0"/>
        </w:rPr>
        <w:t xml:space="preserve">ONE DAY NATIONAL LEVEL WEBINAR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Georgia" w:cs="Georgia" w:eastAsia="Georgia" w:hAnsi="Georgia"/>
          <w:i w:val="1"/>
          <w:color w:val="351c75"/>
        </w:rPr>
      </w:pPr>
      <w:r w:rsidDel="00000000" w:rsidR="00000000" w:rsidRPr="00000000">
        <w:rPr>
          <w:rFonts w:ascii="Georgia" w:cs="Georgia" w:eastAsia="Georgia" w:hAnsi="Georgia"/>
          <w:i w:val="1"/>
          <w:color w:val="351c75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Georgia" w:cs="Georgia" w:eastAsia="Georgia" w:hAnsi="Georgia"/>
          <w:b w:val="1"/>
          <w:i w:val="1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i w:val="1"/>
          <w:color w:val="ff0000"/>
          <w:rtl w:val="0"/>
        </w:rPr>
        <w:t xml:space="preserve">NAAC Criterion III - Research, Innovations, </w:t>
      </w:r>
      <w:r w:rsidDel="00000000" w:rsidR="00000000" w:rsidRPr="00000000">
        <w:rPr>
          <w:rFonts w:ascii="Georgia" w:cs="Georgia" w:eastAsia="Georgia" w:hAnsi="Georgia"/>
          <w:i w:val="1"/>
          <w:color w:val="ff0000"/>
          <w:rtl w:val="0"/>
        </w:rPr>
        <w:t xml:space="preserve">and</w:t>
      </w:r>
      <w:r w:rsidDel="00000000" w:rsidR="00000000" w:rsidRPr="00000000">
        <w:rPr>
          <w:rFonts w:ascii="Georgia" w:cs="Georgia" w:eastAsia="Georgia" w:hAnsi="Georgia"/>
          <w:i w:val="1"/>
          <w:color w:val="ff0000"/>
          <w:rtl w:val="0"/>
        </w:rPr>
        <w:t xml:space="preserve"> extension it's challenges &amp; opportunities as per NAAC new guidelines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is to certify that Dr./Prin./Prof./Mr./Ms ____</w:t>
      </w:r>
      <w:r w:rsidDel="00000000" w:rsidR="00000000" w:rsidRPr="00000000">
        <w:rPr>
          <w:rFonts w:ascii="Caveat" w:cs="Caveat" w:eastAsia="Caveat" w:hAnsi="Caveat"/>
          <w:b w:val="1"/>
          <w:color w:val="ff0000"/>
          <w:sz w:val="36"/>
          <w:szCs w:val="36"/>
          <w:rtl w:val="0"/>
        </w:rPr>
        <w:t xml:space="preserve">Sandip Nanaware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_______has contributed to the National level webinar on 26</w:t>
      </w:r>
      <w:r w:rsidDel="00000000" w:rsidR="00000000" w:rsidRPr="00000000">
        <w:rPr>
          <w:rFonts w:ascii="Georgia" w:cs="Georgia" w:eastAsia="Georgia" w:hAnsi="Georgia"/>
          <w:vertAlign w:val="superscript"/>
          <w:rtl w:val="0"/>
        </w:rPr>
        <w:t xml:space="preserve">th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2020.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resource person for the topic ‘NACC III Criteria’. Your valuable contribution made the webinar a great success.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xbyr0x3b92yq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5rukczxnzo0z" w:id="1"/>
      <w:bookmarkEnd w:id="1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ALL SIGNATURE</w:t>
        <w:br w:type="textWrapping"/>
        <w:t xml:space="preserve">As it is Jabalpur college certificate &amp; College Logo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tgjhuhw1kpj5" w:id="2"/>
      <w:bookmarkEnd w:id="2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Speakers and Subjects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Dr. Vinay Kumar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 Research – Quality Indicators, Ethics, and Publications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Dr. Hemant Chandak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 Research, Innovation, and Collaboration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Prof. Gauri Devasthale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 Extension Activities – Challenges &amp; Opportunities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