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Presidential Election Results (Political leanings)</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examine the impact of politics on the spread of COVID 19 in the US, I'm working on an enrichment dataset for presidential election outcomes. There are 11 CSV files in the presidential election results section, including those for the president, 11 governors, and the houses of congress and the senate. The presidential and gubernatorial election datasets contain the following variables, each of which is described below.</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Variable_name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Variable_Type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Variable_Description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have all states name in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List of all counties in US according to their stages.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People who stand in elections.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Cadidate’s party name that he/she is a member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Total_votes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of votes that  candidate got through 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Which explains if the candidate won / lost the election.</w:t>
            </w:r>
          </w:p>
        </w:tc>
      </w:tr>
    </w:tbl>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the “pandas merge” function COVID-19 data would be merged with the presidential election results dataset.</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‘state’ and ‘county name’ variables are commonly present in COVID-19 and the presidential election dataset. These two datasets would be merged with these two common variables. </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Investigating how political issues affected the distribution of COVID-19 may be done using the information on the outcomes of the recent presidential election.</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instance, the decision implemented COVID guidelines, which have been shown to be successful in preventing the virus's spread. We were able to solve the problem. The COVID-19 confirmed cases and deaths data trend for the state of California for the week of 2023-01-10 to 2023-01-16. The graph below displays trends in NC state's COVID-19 cases and deaths.</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Initial Hypothesis: </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I'll look at how political factors are influencing the growth of COVID-19 cases and fatalities in the United States, both locally and nationally. From this, we can determine which political party was successful in managing the virus spread and which party failed to do so.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