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Times New Roman" w:cs="Times New Roman" w:eastAsia="Times New Roman" w:hAnsi="Times New Roman"/>
          <w:b/>
          <w:bCs/>
          <w:sz w:val="24"/>
          <w:szCs w:val="24"/>
        </w:rPr>
        <w:t xml:space="preserve">MÜHENDİSLİK VE DOĞA BİLİMLERİ FAKÜLTESİ</w:t>
      </w:r>
    </w:p>
    <w:p>
      <w:pPr>
        <w:spacing w:after="400" w:before="0"/>
        <w:jc w:val="center"/>
      </w:pPr>
      <w:r>
        <w:rPr>
          <w:rFonts w:ascii="Times New Roman" w:cs="Times New Roman" w:eastAsia="Times New Roman" w:hAnsi="Times New Roman"/>
          <w:b/>
          <w:bCs/>
          <w:sz w:val="24"/>
          <w:szCs w:val="24"/>
        </w:rPr>
        <w:t xml:space="preserve">BİYOMÜHENDİSLİK BÖLÜMÜ</w:t>
      </w:r>
    </w:p>
    <w:p>
      <w:pPr>
        <w:spacing w:after="200" w:before="0"/>
        <w:jc w:val="center"/>
      </w:pPr>
      <w:r>
        <w:rPr>
          <w:rFonts w:ascii="Times New Roman" w:cs="Times New Roman" w:eastAsia="Times New Roman" w:hAnsi="Times New Roman"/>
          <w:sz w:val="22"/>
          <w:szCs w:val="22"/>
        </w:rPr>
        <w:t xml:space="preserve">LİSANS TEZİ</w:t>
      </w:r>
    </w:p>
    <w:p>
      <w:pPr>
        <w:spacing w:after="120" w:before="0"/>
      </w:pPr>
      <w:r>
        <w:t xml:space="preserve"/>
      </w:r>
    </w:p>
    <w:p>
      <w:pPr>
        <w:spacing w:after="400" w:before="400"/>
        <w:jc w:val="center"/>
      </w:pPr>
      <w:r>
        <w:rPr>
          <w:rFonts w:ascii="Times New Roman" w:cs="Times New Roman" w:eastAsia="Times New Roman" w:hAnsi="Times New Roman"/>
          <w:b/>
          <w:bCs/>
          <w:sz w:val="28"/>
          <w:szCs w:val="28"/>
        </w:rPr>
        <w:t xml:space="preserve">Bennu Asteroidi Kökenli Non-Kanonik Amino Asitlerin DnaK Şaperon Proteininin Yapısal Kararlılığı ve Allosterik İşlevine Etkisinin İn Silico Analizi</w:t>
      </w:r>
    </w:p>
    <w:p>
      <w:pPr>
        <w:spacing w:after="120" w:before="0"/>
      </w:pPr>
      <w:r>
        <w:t xml:space="preserve"/>
      </w:r>
    </w:p>
    <w:p>
      <w:pPr>
        <w:spacing w:after="120" w:before="0"/>
      </w:pPr>
      <w:r>
        <w:t xml:space="preserve"/>
      </w:r>
    </w:p>
    <w:p>
      <w:pPr>
        <w:spacing w:after="60" w:before="200"/>
        <w:jc w:val="center"/>
      </w:pPr>
      <w:r>
        <w:rPr>
          <w:rFonts w:ascii="Times New Roman" w:cs="Times New Roman" w:eastAsia="Times New Roman" w:hAnsi="Times New Roman"/>
          <w:sz w:val="22"/>
          <w:szCs w:val="22"/>
        </w:rPr>
        <w:t xml:space="preserve">Hazırlayan</w:t>
      </w:r>
    </w:p>
    <w:p>
      <w:pPr>
        <w:spacing w:after="60" w:before="0"/>
        <w:jc w:val="center"/>
      </w:pPr>
      <w:r>
        <w:rPr>
          <w:rFonts w:ascii="Times New Roman" w:cs="Times New Roman" w:eastAsia="Times New Roman" w:hAnsi="Times New Roman"/>
          <w:b/>
          <w:bCs/>
          <w:sz w:val="24"/>
          <w:szCs w:val="24"/>
        </w:rPr>
        <w:t xml:space="preserve">Pelinsu Eda Şentürk</w:t>
      </w:r>
    </w:p>
    <w:p>
      <w:pPr>
        <w:spacing w:after="200" w:before="0"/>
        <w:jc w:val="center"/>
      </w:pPr>
      <w:r>
        <w:rPr>
          <w:rFonts w:ascii="Times New Roman" w:cs="Times New Roman" w:eastAsia="Times New Roman" w:hAnsi="Times New Roman"/>
          <w:sz w:val="24"/>
          <w:szCs w:val="24"/>
        </w:rPr>
        <w:t xml:space="preserve">22120509009</w:t>
      </w:r>
    </w:p>
    <w:p>
      <w:pPr>
        <w:spacing w:after="120" w:before="0"/>
      </w:pPr>
      <w:r>
        <w:t xml:space="preserve"/>
      </w:r>
    </w:p>
    <w:p>
      <w:pPr>
        <w:spacing w:after="60" w:before="200"/>
        <w:jc w:val="center"/>
      </w:pPr>
      <w:r>
        <w:rPr>
          <w:rFonts w:ascii="Times New Roman" w:cs="Times New Roman" w:eastAsia="Times New Roman" w:hAnsi="Times New Roman"/>
          <w:sz w:val="22"/>
          <w:szCs w:val="22"/>
        </w:rPr>
        <w:t xml:space="preserve">Danışman</w:t>
      </w:r>
    </w:p>
    <w:p>
      <w:pPr>
        <w:spacing w:after="200" w:before="0"/>
        <w:jc w:val="center"/>
      </w:pPr>
      <w:r>
        <w:rPr>
          <w:rFonts w:ascii="Times New Roman" w:cs="Times New Roman" w:eastAsia="Times New Roman" w:hAnsi="Times New Roman"/>
          <w:b/>
          <w:bCs/>
          <w:sz w:val="24"/>
          <w:szCs w:val="24"/>
        </w:rPr>
        <w:t xml:space="preserve">Dr. Öğr. Üyesi Saliha Ece Acuner</w:t>
      </w:r>
    </w:p>
    <w:p>
      <w:pPr>
        <w:spacing w:after="120" w:before="0"/>
      </w:pPr>
      <w:r>
        <w:t xml:space="preserve"/>
      </w:r>
    </w:p>
    <w:p>
      <w:pPr>
        <w:spacing w:after="120" w:before="0"/>
      </w:pPr>
      <w:r>
        <w:t xml:space="preserve"/>
      </w:r>
    </w:p>
    <w:p>
      <w:pPr>
        <w:spacing w:after="100" w:before="200"/>
        <w:jc w:val="center"/>
      </w:pPr>
      <w:r>
        <w:rPr>
          <w:rFonts w:ascii="Times New Roman" w:cs="Times New Roman" w:eastAsia="Times New Roman" w:hAnsi="Times New Roman"/>
          <w:sz w:val="24"/>
          <w:szCs w:val="24"/>
        </w:rPr>
        <w:t xml:space="preserve">Haziran 2026</w:t>
      </w:r>
    </w:p>
    <w:p>
      <w:r>
        <w:br w:type="page"/>
      </w:r>
    </w:p>
    <w:p>
      <w:pPr>
        <w:pStyle w:val="Heading1"/>
        <w:spacing w:after="240" w:before="480"/>
      </w:pPr>
      <w:r>
        <w:rPr>
          <w:rFonts w:ascii="Times New Roman" w:cs="Times New Roman" w:eastAsia="Times New Roman" w:hAnsi="Times New Roman"/>
          <w:b/>
          <w:bCs/>
          <w:sz w:val="28"/>
          <w:szCs w:val="28"/>
        </w:rPr>
        <w:t xml:space="preserve">Özet</w:t>
      </w:r>
    </w:p>
    <w:p>
      <w:pPr>
        <w:spacing w:after="160" w:before="0" w:line="480"/>
        <w:ind w:firstLine="720"/>
        <w:jc w:val="both"/>
      </w:pPr>
      <w:r>
        <w:rPr>
          <w:rFonts w:ascii="Times New Roman" w:cs="Times New Roman" w:eastAsia="Times New Roman" w:hAnsi="Times New Roman"/>
          <w:sz w:val="24"/>
          <w:szCs w:val="24"/>
        </w:rPr>
        <w:t xml:space="preserve">Bu çalışmada, Bennu asteroidinden elde edilen örneklerde tanımlanan non-kanonik amino asitlerin (norvalin [NVA], norlosin [NLE], izolösin [ILE], valin [VAL], α-aminoizobütirik asit [AIB], α-aminobütirik asit [ABA] ve β-alanin [BAL]), E. coli DnaK şaperon proteininin yapısal kararlılığı ve allosterik işlevi üzerindeki olası etkileri in silico yöntemlerle incelenmiştir </w:t>
      </w:r>
      <w:hyperlink w:history="1" w:anchor="ref_3">
        <w:r>
          <w:rPr>
            <w:rFonts w:ascii="Times New Roman" w:cs="Times New Roman" w:eastAsia="Times New Roman" w:hAnsi="Times New Roman"/>
            <w:color w:val="0563C1"/>
            <w:sz w:val="18"/>
            <w:szCs w:val="18"/>
            <w:vertAlign w:val="superscript"/>
          </w:rPr>
          <w:t xml:space="preserve">[3]</w:t>
        </w:r>
      </w:hyperlink>
      <w:r>
        <w:rPr>
          <w:rFonts w:ascii="Times New Roman" w:cs="Times New Roman" w:eastAsia="Times New Roman" w:hAnsi="Times New Roman"/>
          <w:sz w:val="24"/>
          <w:szCs w:val="24"/>
        </w:rPr>
        <w:t xml:space="preserve">.</w:t>
      </w:r>
    </w:p>
    <w:p>
      <w:pPr>
        <w:spacing w:after="160" w:before="0" w:line="480"/>
        <w:ind w:firstLine="720"/>
        <w:jc w:val="both"/>
      </w:pPr>
      <w:r>
        <w:rPr>
          <w:rFonts w:ascii="Times New Roman" w:cs="Times New Roman" w:eastAsia="Times New Roman" w:hAnsi="Times New Roman"/>
          <w:sz w:val="24"/>
          <w:szCs w:val="24"/>
        </w:rPr>
        <w:t xml:space="preserve">DnaK (HSP70 ailesi), ATP bağımlı allosterik mekanizmasıyla substrat bağlama döngüsünü düzenleyen, hücresel proteostaz için kritik öneme sahip bir moleküler şaperondur </w:t>
      </w:r>
      <w:hyperlink w:history="1" w:anchor="ref_4">
        <w:r>
          <w:rPr>
            <w:rFonts w:ascii="Times New Roman" w:cs="Times New Roman" w:eastAsia="Times New Roman" w:hAnsi="Times New Roman"/>
            <w:color w:val="0563C1"/>
            <w:sz w:val="18"/>
            <w:szCs w:val="18"/>
            <w:vertAlign w:val="superscript"/>
          </w:rPr>
          <w:t xml:space="preserve">[4]</w:t>
        </w:r>
      </w:hyperlink>
      <w:r>
        <w:rPr>
          <w:rFonts w:ascii="Times New Roman" w:cs="Times New Roman" w:eastAsia="Times New Roman" w:hAnsi="Times New Roman"/>
          <w:sz w:val="24"/>
          <w:szCs w:val="24"/>
        </w:rPr>
        <w:t xml:space="preserve">. Çalışmada iki kritik bölge hedef alınmıştır: NBD-SBD bağlantı bölgesi (linker, L390–L391) ve substrat bağlama alanı β-sandviç bölgesi (SBD, A429–A435). PyRosetta ref2015 enerji fonksiyonu kullanılarak mutant proteinlerin serbest enerji değişimleri (ΔΔG) hesaplanmış </w:t>
      </w:r>
      <w:hyperlink w:history="1" w:anchor="ref_7">
        <w:r>
          <w:rPr>
            <w:rFonts w:ascii="Times New Roman" w:cs="Times New Roman" w:eastAsia="Times New Roman" w:hAnsi="Times New Roman"/>
            <w:color w:val="0563C1"/>
            <w:sz w:val="18"/>
            <w:szCs w:val="18"/>
            <w:vertAlign w:val="superscript"/>
          </w:rPr>
          <w:t xml:space="preserve">[7]</w:t>
        </w:r>
      </w:hyperlink>
      <w:r>
        <w:rPr>
          <w:rFonts w:ascii="Times New Roman" w:cs="Times New Roman" w:eastAsia="Times New Roman" w:hAnsi="Times New Roman"/>
          <w:sz w:val="24"/>
          <w:szCs w:val="24"/>
        </w:rPr>
        <w:t xml:space="preserve">; Boltz-2 yapısal tahmin modeli ile mutant–wild-type süperpozisyonları üretilmiştir.</w:t>
      </w:r>
    </w:p>
    <w:p>
      <w:pPr>
        <w:spacing w:after="160" w:before="0" w:line="480"/>
        <w:ind w:firstLine="720"/>
        <w:jc w:val="both"/>
      </w:pPr>
      <w:r>
        <w:rPr>
          <w:rFonts w:ascii="Times New Roman" w:cs="Times New Roman" w:eastAsia="Times New Roman" w:hAnsi="Times New Roman"/>
          <w:sz w:val="24"/>
          <w:szCs w:val="24"/>
        </w:rPr>
        <w:t xml:space="preserve">Bulgular, NVA'nın linker bölgesinde güçlü stabilize edici etki gösterdiğini (ΔΔG = −6.090 REU, çift mutasyon L390+L391), SBD bölgesinde ise pozisyona bağlı farklı sonuçlar verdiğini ortaya koymuştur. VAL yalnızca linker L390'da stabilize edici etki sergilerken diğer pozisyonlarda destabilize edici bulunmuştur. ILE ve AIB tüm pozisyonlarda belirgin destabilizasyona yol açmıştır. NLE, ABA ve BAL için rotamer kütüphanesi uyumsuzluğu veya omurga geometrisi kısıtlamaları nedeniyle hesaplama gerçekleştirilememiştir.</w:t>
      </w:r>
    </w:p>
    <w:p>
      <w:pPr>
        <w:spacing w:after="120" w:before="0"/>
      </w:pPr>
      <w:r>
        <w:t xml:space="preserve"/>
      </w:r>
    </w:p>
    <w:p>
      <w:pPr>
        <w:spacing w:after="160" w:before="0"/>
      </w:pPr>
      <w:r>
        <w:rPr>
          <w:rFonts w:ascii="Times New Roman" w:cs="Times New Roman" w:eastAsia="Times New Roman" w:hAnsi="Times New Roman"/>
          <w:b/>
          <w:bCs/>
          <w:sz w:val="24"/>
          <w:szCs w:val="24"/>
        </w:rPr>
        <w:t xml:space="preserve">Anahtar Kelimeler: </w:t>
      </w:r>
      <w:r>
        <w:rPr>
          <w:rFonts w:ascii="Times New Roman" w:cs="Times New Roman" w:eastAsia="Times New Roman" w:hAnsi="Times New Roman"/>
          <w:sz w:val="24"/>
          <w:szCs w:val="24"/>
        </w:rPr>
        <w:t xml:space="preserve">DnaK, HSP70, non-kanonik amino asitler, norvalin, allosterik düzenleme, in silico protein mühendisliği, astrobiyoloji, PyRosetta, Boltz-2</w:t>
      </w:r>
    </w:p>
    <w:p>
      <w:r>
        <w:br w:type="page"/>
      </w:r>
    </w:p>
    <w:p>
      <w:pPr>
        <w:pStyle w:val="Heading1"/>
        <w:spacing w:after="240" w:before="480"/>
      </w:pPr>
      <w:r>
        <w:rPr>
          <w:rFonts w:ascii="Times New Roman" w:cs="Times New Roman" w:eastAsia="Times New Roman" w:hAnsi="Times New Roman"/>
          <w:b/>
          <w:bCs/>
          <w:sz w:val="28"/>
          <w:szCs w:val="28"/>
        </w:rPr>
        <w:t xml:space="preserve">1. Giriş</w:t>
      </w:r>
    </w:p>
    <w:p>
      <w:pPr>
        <w:pStyle w:val="Heading2"/>
        <w:spacing w:after="160" w:before="320"/>
      </w:pPr>
      <w:r>
        <w:rPr>
          <w:rFonts w:ascii="Times New Roman" w:cs="Times New Roman" w:eastAsia="Times New Roman" w:hAnsi="Times New Roman"/>
          <w:b/>
          <w:bCs/>
          <w:sz w:val="26"/>
          <w:szCs w:val="26"/>
        </w:rPr>
        <w:t xml:space="preserve">1.1. DnaK ve HSP70 Şaperon Ailesi</w:t>
      </w:r>
    </w:p>
    <w:p>
      <w:pPr>
        <w:spacing w:after="160" w:before="0" w:line="480"/>
        <w:ind w:firstLine="720"/>
        <w:jc w:val="both"/>
      </w:pPr>
      <w:r>
        <w:rPr>
          <w:rFonts w:ascii="Times New Roman" w:cs="Times New Roman" w:eastAsia="Times New Roman" w:hAnsi="Times New Roman"/>
          <w:sz w:val="24"/>
          <w:szCs w:val="24"/>
        </w:rPr>
        <w:t xml:space="preserve">Moleküler şaperonlar, hücresel proteostazın temel bileşenleri olup yanlış katlanmış veya kısmen açılmış proteinleri tanıyarak onların doğal konformasyonlarına yeniden kavuşmalarına aracılık eder </w:t>
      </w:r>
      <w:hyperlink w:history="1" w:anchor="ref_4">
        <w:r>
          <w:rPr>
            <w:rFonts w:ascii="Times New Roman" w:cs="Times New Roman" w:eastAsia="Times New Roman" w:hAnsi="Times New Roman"/>
            <w:color w:val="0563C1"/>
            <w:sz w:val="18"/>
            <w:szCs w:val="18"/>
            <w:vertAlign w:val="superscript"/>
          </w:rPr>
          <w:t xml:space="preserve">[4]</w:t>
        </w:r>
      </w:hyperlink>
      <w:r>
        <w:rPr>
          <w:rFonts w:ascii="Times New Roman" w:cs="Times New Roman" w:eastAsia="Times New Roman" w:hAnsi="Times New Roman"/>
          <w:sz w:val="24"/>
          <w:szCs w:val="24"/>
        </w:rPr>
        <w:t xml:space="preserve">. Bu şaperonların en iyi karakterize edilmiş ailelerinden biri olan HSP70 (70 kDa ısı şoku proteini) ailesi, prokaryottan ökaryota uzanan geniş bir evrimsel dağılıma sahiptir. E. coli'de bu ailenin temel temsilcisi olan DnaK, 638 amino asitlik bir polipeptit zincirinden oluşmakta ve iki ana işlevsel bölge içermektedir.</w:t>
      </w:r>
    </w:p>
    <w:p>
      <w:pPr>
        <w:spacing w:after="160" w:before="0" w:line="480"/>
        <w:ind w:firstLine="720"/>
        <w:jc w:val="both"/>
      </w:pPr>
      <w:r>
        <w:rPr>
          <w:rFonts w:ascii="Times New Roman" w:cs="Times New Roman" w:eastAsia="Times New Roman" w:hAnsi="Times New Roman"/>
          <w:sz w:val="24"/>
          <w:szCs w:val="24"/>
        </w:rPr>
        <w:t xml:space="preserve">DnaK'ın N-terminal nükleotid bağlama alanı (NBD, 1–389) ATP hidrolizini katalize ederken, C-terminal substrat bağlama alanı (SBD, 393–638) hidrofobik çekirdekli substrat peptidlerini tanır </w:t>
      </w:r>
      <w:hyperlink w:history="1" w:anchor="ref_11">
        <w:r>
          <w:rPr>
            <w:rFonts w:ascii="Times New Roman" w:cs="Times New Roman" w:eastAsia="Times New Roman" w:hAnsi="Times New Roman"/>
            <w:color w:val="0563C1"/>
            <w:sz w:val="18"/>
            <w:szCs w:val="18"/>
            <w:vertAlign w:val="superscript"/>
          </w:rPr>
          <w:t xml:space="preserve">[11]</w:t>
        </w:r>
      </w:hyperlink>
      <w:r>
        <w:rPr>
          <w:rFonts w:ascii="Times New Roman" w:cs="Times New Roman" w:eastAsia="Times New Roman" w:hAnsi="Times New Roman"/>
          <w:sz w:val="24"/>
          <w:szCs w:val="24"/>
        </w:rPr>
        <w:t xml:space="preserve">. SBD'nin kendisi iki alt alandan oluşmaktadır: β-sandviç alt alanı substrat peptidini çevrelerken, α-heliks alt alanı kapak görevi görerek substrat bağlamasını düzenler </w:t>
      </w:r>
      <w:hyperlink w:history="1" w:anchor="ref_1">
        <w:r>
          <w:rPr>
            <w:rFonts w:ascii="Times New Roman" w:cs="Times New Roman" w:eastAsia="Times New Roman" w:hAnsi="Times New Roman"/>
            <w:color w:val="0563C1"/>
            <w:sz w:val="18"/>
            <w:szCs w:val="18"/>
            <w:vertAlign w:val="superscript"/>
          </w:rPr>
          <w:t xml:space="preserve">[1]</w:t>
        </w:r>
      </w:hyperlink>
      <w:r>
        <w:rPr>
          <w:rFonts w:ascii="Times New Roman" w:cs="Times New Roman" w:eastAsia="Times New Roman" w:hAnsi="Times New Roman"/>
          <w:sz w:val="24"/>
          <w:szCs w:val="24"/>
        </w:rPr>
        <w:t xml:space="preserve">. DnaK; yeni sentezlenen polipeptidlerin katlanmasına yardım etmek, stres koşullarında hasarlı proteinleri stabilize etmek ve proteolitik yıkım yollarına yönlendirmek gibi kritik hücresel işlevleri üstlenir </w:t>
      </w:r>
      <w:hyperlink w:history="1" w:anchor="ref_2">
        <w:r>
          <w:rPr>
            <w:rFonts w:ascii="Times New Roman" w:cs="Times New Roman" w:eastAsia="Times New Roman" w:hAnsi="Times New Roman"/>
            <w:color w:val="0563C1"/>
            <w:sz w:val="18"/>
            <w:szCs w:val="18"/>
            <w:vertAlign w:val="superscript"/>
          </w:rPr>
          <w:t xml:space="preserve">[2]</w:t>
        </w:r>
      </w:hyperlink>
      <w:r>
        <w:rPr>
          <w:rFonts w:ascii="Times New Roman" w:cs="Times New Roman" w:eastAsia="Times New Roman" w:hAnsi="Times New Roman"/>
          <w:sz w:val="24"/>
          <w:szCs w:val="24"/>
        </w:rPr>
        <w:t xml:space="preserve">.</w:t>
      </w:r>
    </w:p>
    <w:p>
      <w:pPr>
        <w:pStyle w:val="Heading2"/>
        <w:spacing w:after="160" w:before="320"/>
      </w:pPr>
      <w:r>
        <w:rPr>
          <w:rFonts w:ascii="Times New Roman" w:cs="Times New Roman" w:eastAsia="Times New Roman" w:hAnsi="Times New Roman"/>
          <w:b/>
          <w:bCs/>
          <w:sz w:val="26"/>
          <w:szCs w:val="26"/>
        </w:rPr>
        <w:t xml:space="preserve">1.2. Allosterik Mekanizma ve Linker Bölgesinin Önemi</w:t>
      </w:r>
    </w:p>
    <w:p>
      <w:pPr>
        <w:spacing w:after="160" w:before="0" w:line="480"/>
        <w:ind w:firstLine="720"/>
        <w:jc w:val="both"/>
      </w:pPr>
      <w:r>
        <w:rPr>
          <w:rFonts w:ascii="Times New Roman" w:cs="Times New Roman" w:eastAsia="Times New Roman" w:hAnsi="Times New Roman"/>
          <w:sz w:val="24"/>
          <w:szCs w:val="24"/>
        </w:rPr>
        <w:t xml:space="preserve">DnaK'ın en dikkat çekici özelliği, NBD ve SBD arasındaki sıkı allosterik çapraz konuşmadır. ATP bağlı durumda SBD açık konformasyonda olup substratla hızlı alışveriş gerçekleşir; ADP bağlı veya apo durumda ise SBD kapağı kapanır ve substrat bağlanma afinitesi yaklaşık 100–1000 kat artar </w:t>
      </w:r>
      <w:hyperlink w:history="1" w:anchor="ref_6">
        <w:r>
          <w:rPr>
            <w:rFonts w:ascii="Times New Roman" w:cs="Times New Roman" w:eastAsia="Times New Roman" w:hAnsi="Times New Roman"/>
            <w:color w:val="0563C1"/>
            <w:sz w:val="18"/>
            <w:szCs w:val="18"/>
            <w:vertAlign w:val="superscript"/>
          </w:rPr>
          <w:t xml:space="preserve">[6]</w:t>
        </w:r>
      </w:hyperlink>
      <w:r>
        <w:rPr>
          <w:rFonts w:ascii="Times New Roman" w:cs="Times New Roman" w:eastAsia="Times New Roman" w:hAnsi="Times New Roman"/>
          <w:sz w:val="24"/>
          <w:szCs w:val="24"/>
        </w:rPr>
        <w:t xml:space="preserve">.</w:t>
      </w:r>
    </w:p>
    <w:p>
      <w:pPr>
        <w:spacing w:after="160" w:before="0" w:line="480"/>
        <w:ind w:firstLine="720"/>
        <w:jc w:val="both"/>
      </w:pPr>
      <w:r>
        <w:rPr>
          <w:rFonts w:ascii="Times New Roman" w:cs="Times New Roman" w:eastAsia="Times New Roman" w:hAnsi="Times New Roman"/>
          <w:sz w:val="24"/>
          <w:szCs w:val="24"/>
        </w:rPr>
        <w:t xml:space="preserve">Bu allosterik iletimin temel aracısı linker bölgesidir (E. coli DnaK'ta VLLL, 386–389). Linker, iki alan arasında yalnızca mekanik bir köprü değil, allosterik sinyalin iletilmesi için zorunlu bir iletişim kanalı işlevi görür </w:t>
      </w:r>
      <w:hyperlink w:history="1" w:anchor="ref_9">
        <w:r>
          <w:rPr>
            <w:rFonts w:ascii="Times New Roman" w:cs="Times New Roman" w:eastAsia="Times New Roman" w:hAnsi="Times New Roman"/>
            <w:color w:val="0563C1"/>
            <w:sz w:val="18"/>
            <w:szCs w:val="18"/>
            <w:vertAlign w:val="superscript"/>
          </w:rPr>
          <w:t xml:space="preserve">[9]</w:t>
        </w:r>
      </w:hyperlink>
      <w:r>
        <w:rPr>
          <w:rFonts w:ascii="Times New Roman" w:cs="Times New Roman" w:eastAsia="Times New Roman" w:hAnsi="Times New Roman"/>
          <w:sz w:val="24"/>
          <w:szCs w:val="24"/>
        </w:rPr>
        <w:t xml:space="preserve">. Linker bölgesindeki mutasyonların DnaK'ın ATPaz aktivitesini ve substrat bağlama döngüsünü bozduğu gösterilmiştir </w:t>
      </w:r>
      <w:hyperlink w:history="1" w:anchor="ref_5">
        <w:r>
          <w:rPr>
            <w:rFonts w:ascii="Times New Roman" w:cs="Times New Roman" w:eastAsia="Times New Roman" w:hAnsi="Times New Roman"/>
            <w:color w:val="0563C1"/>
            <w:sz w:val="18"/>
            <w:szCs w:val="18"/>
            <w:vertAlign w:val="superscript"/>
          </w:rPr>
          <w:t xml:space="preserve">[5]</w:t>
        </w:r>
      </w:hyperlink>
      <w:r>
        <w:rPr>
          <w:rFonts w:ascii="Times New Roman" w:cs="Times New Roman" w:eastAsia="Times New Roman" w:hAnsi="Times New Roman"/>
          <w:sz w:val="24"/>
          <w:szCs w:val="24"/>
        </w:rPr>
        <w:t xml:space="preserve">.</w:t>
      </w:r>
    </w:p>
    <w:p>
      <w:pPr>
        <w:pStyle w:val="Heading2"/>
        <w:spacing w:after="160" w:before="320"/>
      </w:pPr>
      <w:r>
        <w:rPr>
          <w:rFonts w:ascii="Times New Roman" w:cs="Times New Roman" w:eastAsia="Times New Roman" w:hAnsi="Times New Roman"/>
          <w:b/>
          <w:bCs/>
          <w:sz w:val="26"/>
          <w:szCs w:val="26"/>
        </w:rPr>
        <w:t xml:space="preserve">1.3. Non-Kanonik Amino Asitler ve Astrobiyolojik Bağlam</w:t>
      </w:r>
    </w:p>
    <w:p>
      <w:pPr>
        <w:spacing w:after="160" w:before="0" w:line="480"/>
        <w:ind w:firstLine="720"/>
        <w:jc w:val="both"/>
      </w:pPr>
      <w:r>
        <w:rPr>
          <w:rFonts w:ascii="Times New Roman" w:cs="Times New Roman" w:eastAsia="Times New Roman" w:hAnsi="Times New Roman"/>
          <w:sz w:val="24"/>
          <w:szCs w:val="24"/>
        </w:rPr>
        <w:t xml:space="preserve">2023 yılında JAXA'nın Hayabusa2 misyonu kapsamında Bennu asteroidinden geri getirilen örneklerin analizinde birden fazla non-kanonik amino asit tespit edilmiştir </w:t>
      </w:r>
      <w:hyperlink w:history="1" w:anchor="ref_3">
        <w:r>
          <w:rPr>
            <w:rFonts w:ascii="Times New Roman" w:cs="Times New Roman" w:eastAsia="Times New Roman" w:hAnsi="Times New Roman"/>
            <w:color w:val="0563C1"/>
            <w:sz w:val="18"/>
            <w:szCs w:val="18"/>
            <w:vertAlign w:val="superscript"/>
          </w:rPr>
          <w:t xml:space="preserve">[3]</w:t>
        </w:r>
      </w:hyperlink>
      <w:r>
        <w:rPr>
          <w:rFonts w:ascii="Times New Roman" w:cs="Times New Roman" w:eastAsia="Times New Roman" w:hAnsi="Times New Roman"/>
          <w:sz w:val="24"/>
          <w:szCs w:val="24"/>
        </w:rPr>
        <w:t xml:space="preserve">. Bu keşif, standart 20 amino asitlik repertuvarın ötesinde bir kimyasal çeşitliliğin erken Güneş Sistemi'nde var olduğunu desteklemektedir. Norvalin (NVA), norlosin (NLE), AIB ve ABA bu amino asitler arasında yer almaktadır. Erken Dünya'ya asteroid çarpmaları yoluyla taşınan bu geniş amino asit havuzunun ilkel protein sistemleriyle etkileşimi önemli bir astrobiyolojik araştırma sorusunu oluşturmaktadır </w:t>
      </w:r>
      <w:hyperlink w:history="1" w:anchor="ref_8">
        <w:r>
          <w:rPr>
            <w:rFonts w:ascii="Times New Roman" w:cs="Times New Roman" w:eastAsia="Times New Roman" w:hAnsi="Times New Roman"/>
            <w:color w:val="0563C1"/>
            <w:sz w:val="18"/>
            <w:szCs w:val="18"/>
            <w:vertAlign w:val="superscript"/>
          </w:rPr>
          <w:t xml:space="preserve">[8]</w:t>
        </w:r>
      </w:hyperlink>
      <w:r>
        <w:rPr>
          <w:rFonts w:ascii="Times New Roman" w:cs="Times New Roman" w:eastAsia="Times New Roman" w:hAnsi="Times New Roman"/>
          <w:sz w:val="24"/>
          <w:szCs w:val="24"/>
        </w:rPr>
        <w:t xml:space="preserve">.</w:t>
      </w:r>
    </w:p>
    <w:p>
      <w:pPr>
        <w:pStyle w:val="Heading2"/>
        <w:spacing w:after="160" w:before="320"/>
      </w:pPr>
      <w:r>
        <w:rPr>
          <w:rFonts w:ascii="Times New Roman" w:cs="Times New Roman" w:eastAsia="Times New Roman" w:hAnsi="Times New Roman"/>
          <w:b/>
          <w:bCs/>
          <w:sz w:val="26"/>
          <w:szCs w:val="26"/>
        </w:rPr>
        <w:t xml:space="preserve">1.4. Araştırma Sorusu ve Hipotezler</w:t>
      </w:r>
    </w:p>
    <w:p>
      <w:pPr>
        <w:spacing w:after="160" w:before="0" w:line="480"/>
        <w:ind w:firstLine="720"/>
        <w:jc w:val="both"/>
      </w:pPr>
      <w:r>
        <w:rPr>
          <w:rFonts w:ascii="Times New Roman" w:cs="Times New Roman" w:eastAsia="Times New Roman" w:hAnsi="Times New Roman"/>
          <w:sz w:val="24"/>
          <w:szCs w:val="24"/>
        </w:rPr>
        <w:t xml:space="preserve">Bu çalışmanın temel araştırma sorusu şudur: Bennu asteroidi kökenli non-kanonik amino asitler, DnaK şaperonunun yapısal kararlılığını ve allosterik mekanizmasını nasıl etkiler? Temel hipotezler: (1) NVA ve NLE, lösin ile yapısal yakınlıkları sayesinde linker bölgesinde tolere edilebilir; (2) β-dallanmalı ILE ve α,α-dialkil AIB, linker'ın dar hidrofobik geometrisiyle çelişerek destabilizasyona yol açar; (3) SBD alanin pozisyonları hacim artışına karşı son derece hassastır; (4) β-Alanin omurga uyumsuzluğu nedeniyle hesaplanamaz.</w:t>
      </w:r>
    </w:p>
    <w:p>
      <w:r>
        <w:br w:type="page"/>
      </w:r>
    </w:p>
    <w:p>
      <w:pPr>
        <w:pStyle w:val="Heading1"/>
        <w:spacing w:after="240" w:before="480"/>
      </w:pPr>
      <w:r>
        <w:rPr>
          <w:rFonts w:ascii="Times New Roman" w:cs="Times New Roman" w:eastAsia="Times New Roman" w:hAnsi="Times New Roman"/>
          <w:b/>
          <w:bCs/>
          <w:sz w:val="28"/>
          <w:szCs w:val="28"/>
        </w:rPr>
        <w:t xml:space="preserve">2. Yöntem</w:t>
      </w:r>
    </w:p>
    <w:p>
      <w:pPr>
        <w:pStyle w:val="Heading2"/>
        <w:spacing w:after="160" w:before="320"/>
      </w:pPr>
      <w:r>
        <w:rPr>
          <w:rFonts w:ascii="Times New Roman" w:cs="Times New Roman" w:eastAsia="Times New Roman" w:hAnsi="Times New Roman"/>
          <w:b/>
          <w:bCs/>
          <w:sz w:val="26"/>
          <w:szCs w:val="26"/>
        </w:rPr>
        <w:t xml:space="preserve">2.1. Protein Yapısı ve Hedef Pozisyonlar</w:t>
      </w:r>
    </w:p>
    <w:p>
      <w:pPr>
        <w:spacing w:after="160" w:before="0" w:line="480"/>
        <w:ind w:firstLine="720"/>
        <w:jc w:val="both"/>
      </w:pPr>
      <w:r>
        <w:rPr>
          <w:rFonts w:ascii="Times New Roman" w:cs="Times New Roman" w:eastAsia="Times New Roman" w:hAnsi="Times New Roman"/>
          <w:sz w:val="24"/>
          <w:szCs w:val="24"/>
        </w:rPr>
        <w:t xml:space="preserve">Çalışmada E. coli DnaK'ın PDB kimlik kodu 4B9Q olan ADP bağlı kristal yapısı temel alınmıştır (2.0 Å çözünürlük) </w:t>
      </w:r>
      <w:hyperlink w:history="1" w:anchor="ref_1">
        <w:r>
          <w:rPr>
            <w:rFonts w:ascii="Times New Roman" w:cs="Times New Roman" w:eastAsia="Times New Roman" w:hAnsi="Times New Roman"/>
            <w:color w:val="0563C1"/>
            <w:sz w:val="18"/>
            <w:szCs w:val="18"/>
            <w:vertAlign w:val="superscript"/>
          </w:rPr>
          <w:t xml:space="preserve">[1]</w:t>
        </w:r>
      </w:hyperlink>
      <w:r>
        <w:rPr>
          <w:rFonts w:ascii="Times New Roman" w:cs="Times New Roman" w:eastAsia="Times New Roman" w:hAnsi="Times New Roman"/>
          <w:sz w:val="24"/>
          <w:szCs w:val="24"/>
        </w:rPr>
        <w:t xml:space="preserve">. A zinciri (587 amino asit) analize dahil edilmiştir. Hedef pozisyonlar: Linker bölgesinde L390 ve L391 (PyRosetta numaralandırması: 381–382); SBD β-sandviç bölgesinde A429 ve A435 (PyRosetta: 418–424).</w:t>
      </w:r>
    </w:p>
    <w:p>
      <w:pPr>
        <w:pStyle w:val="Heading2"/>
        <w:spacing w:after="160" w:before="320"/>
      </w:pPr>
      <w:r>
        <w:rPr>
          <w:rFonts w:ascii="Times New Roman" w:cs="Times New Roman" w:eastAsia="Times New Roman" w:hAnsi="Times New Roman"/>
          <w:b/>
          <w:bCs/>
          <w:sz w:val="26"/>
          <w:szCs w:val="26"/>
        </w:rPr>
        <w:t xml:space="preserve">2.2. PyRosetta ile ΔΔG Hesabı</w:t>
      </w:r>
    </w:p>
    <w:p>
      <w:pPr>
        <w:spacing w:after="160" w:before="0" w:line="480"/>
        <w:ind w:firstLine="720"/>
        <w:jc w:val="both"/>
      </w:pPr>
      <w:r>
        <w:rPr>
          <w:rFonts w:ascii="Times New Roman" w:cs="Times New Roman" w:eastAsia="Times New Roman" w:hAnsi="Times New Roman"/>
          <w:sz w:val="24"/>
          <w:szCs w:val="24"/>
        </w:rPr>
        <w:t xml:space="preserve">Serbest enerji değişimi hesaplamaları PyRosetta (sürüm 4) ile ref2015 enerji fonksiyonu kullanılarak gerçekleştirilmiştir </w:t>
      </w:r>
      <w:hyperlink w:history="1" w:anchor="ref_7">
        <w:r>
          <w:rPr>
            <w:rFonts w:ascii="Times New Roman" w:cs="Times New Roman" w:eastAsia="Times New Roman" w:hAnsi="Times New Roman"/>
            <w:color w:val="0563C1"/>
            <w:sz w:val="18"/>
            <w:szCs w:val="18"/>
            <w:vertAlign w:val="superscript"/>
          </w:rPr>
          <w:t xml:space="preserve">[7]</w:t>
        </w:r>
      </w:hyperlink>
      <w:r>
        <w:rPr>
          <w:rFonts w:ascii="Times New Roman" w:cs="Times New Roman" w:eastAsia="Times New Roman" w:hAnsi="Times New Roman"/>
          <w:sz w:val="24"/>
          <w:szCs w:val="24"/>
        </w:rPr>
        <w:t xml:space="preserve">. Protokol: yapı yükleme → mutant amino asit yerleştirme → ΔΔG = E_mutant − E_wild-type hesabı. Backbone minimizasyonu uygulanmamıştır (rigid-backbone yaklaşımı). Non-kanonik amino asitler için Rosetta'nın dahili CCD kodları kullanılmıştır (NVA için NVL). NLE (NLU), ABA ve BAL için geçerli rotamer kütüphanesi bulunmadığından hesaplama tamamlanamamıştır.</w:t>
      </w:r>
    </w:p>
    <w:p>
      <w:pPr>
        <w:pStyle w:val="Heading2"/>
        <w:spacing w:after="160" w:before="320"/>
      </w:pPr>
      <w:r>
        <w:rPr>
          <w:rFonts w:ascii="Times New Roman" w:cs="Times New Roman" w:eastAsia="Times New Roman" w:hAnsi="Times New Roman"/>
          <w:b/>
          <w:bCs/>
          <w:sz w:val="26"/>
          <w:szCs w:val="26"/>
        </w:rPr>
        <w:t xml:space="preserve">2.3. Boltz-2 ile Yapısal Tahmin</w:t>
      </w:r>
    </w:p>
    <w:p>
      <w:pPr>
        <w:spacing w:after="160" w:before="0" w:line="480"/>
        <w:ind w:firstLine="720"/>
        <w:jc w:val="both"/>
      </w:pPr>
      <w:r>
        <w:rPr>
          <w:rFonts w:ascii="Times New Roman" w:cs="Times New Roman" w:eastAsia="Times New Roman" w:hAnsi="Times New Roman"/>
          <w:sz w:val="24"/>
          <w:szCs w:val="24"/>
        </w:rPr>
        <w:t xml:space="preserve">Mutant yapıların üretimi için Boltz-2 modeli tamarind.bio platformu üzerinden kullanılmıştır. Her mutant için CCD kodu ve pozisyon bilgisi içeren giriş dosyaları oluşturulmuş, toplam 11 yapı tahmini tamamlanmıştır: 390NVA, 391NVA, 390-391NVA, 390-391ILE, 390-391VAL, 390-391AIB, 429NVA, 429ILE, 435ILE, 429-435ILE ve wild-type.</w:t>
      </w:r>
    </w:p>
    <w:p>
      <w:pPr>
        <w:pStyle w:val="Heading2"/>
        <w:spacing w:after="160" w:before="320"/>
      </w:pPr>
      <w:r>
        <w:rPr>
          <w:rFonts w:ascii="Times New Roman" w:cs="Times New Roman" w:eastAsia="Times New Roman" w:hAnsi="Times New Roman"/>
          <w:b/>
          <w:bCs/>
          <w:sz w:val="26"/>
          <w:szCs w:val="26"/>
        </w:rPr>
        <w:t xml:space="preserve">2.4. PyMOL Görselleştirme</w:t>
      </w:r>
    </w:p>
    <w:p>
      <w:pPr>
        <w:spacing w:after="160" w:before="0" w:line="480"/>
        <w:ind w:firstLine="720"/>
        <w:jc w:val="both"/>
      </w:pPr>
      <w:r>
        <w:rPr>
          <w:rFonts w:ascii="Times New Roman" w:cs="Times New Roman" w:eastAsia="Times New Roman" w:hAnsi="Times New Roman"/>
          <w:sz w:val="24"/>
          <w:szCs w:val="24"/>
        </w:rPr>
        <w:t xml:space="preserve">Yapısal karşılaştırmalar PyMOL 2.x ile gerçekleştirilmiştir. Her mutant için üç görüntü açısı kaydedilmiştir: yakın görünüm (mutasyon bölgesi), orta görünüm (ilgili domain), uzak görünüm (tam protein). Renk şeması: mavi = wild-type; yeşil = NVA mutantı; turuncu = ILE mutantı; cyan = VAL mutantı; magenta = AIB mutantı.</w:t>
      </w:r>
    </w:p>
    <w:p>
      <w:r>
        <w:br w:type="page"/>
      </w:r>
    </w:p>
    <w:p>
      <w:pPr>
        <w:pStyle w:val="Heading1"/>
        <w:spacing w:after="240" w:before="480"/>
      </w:pPr>
      <w:r>
        <w:rPr>
          <w:rFonts w:ascii="Times New Roman" w:cs="Times New Roman" w:eastAsia="Times New Roman" w:hAnsi="Times New Roman"/>
          <w:b/>
          <w:bCs/>
          <w:sz w:val="28"/>
          <w:szCs w:val="28"/>
        </w:rPr>
        <w:t xml:space="preserve">3. Bulgular</w:t>
      </w:r>
    </w:p>
    <w:p>
      <w:pPr>
        <w:pStyle w:val="Heading2"/>
        <w:spacing w:after="160" w:before="320"/>
      </w:pPr>
      <w:r>
        <w:rPr>
          <w:rFonts w:ascii="Times New Roman" w:cs="Times New Roman" w:eastAsia="Times New Roman" w:hAnsi="Times New Roman"/>
          <w:b/>
          <w:bCs/>
          <w:sz w:val="26"/>
          <w:szCs w:val="26"/>
        </w:rPr>
        <w:t xml:space="preserve">3.1. Linker Bölgesi Mutasyonları (L390–L391)</w:t>
      </w:r>
    </w:p>
    <w:p>
      <w:pPr>
        <w:spacing w:after="160" w:before="0" w:line="480"/>
        <w:ind w:firstLine="720"/>
        <w:jc w:val="both"/>
      </w:pPr>
      <w:r>
        <w:rPr>
          <w:rFonts w:ascii="Times New Roman" w:cs="Times New Roman" w:eastAsia="Times New Roman" w:hAnsi="Times New Roman"/>
          <w:sz w:val="24"/>
          <w:szCs w:val="24"/>
        </w:rPr>
        <w:t xml:space="preserve">Linker bölgesindeki PyRosetta ΔΔG sonuçları Tablo 1'de özetlenmiştir. Boltz-2 yapısal görüntüleri Şekil 1–18'de sunulmaktadır.</w:t>
      </w:r>
    </w:p>
    <w:p>
      <w:pPr>
        <w:spacing w:after="120" w:before="0"/>
      </w:pPr>
      <w:r>
        <w:t xml:space="preserve"/>
      </w:r>
    </w:p>
    <w:p>
      <w:pPr>
        <w:spacing w:after="80" w:before="240"/>
        <w:jc w:val="center"/>
      </w:pPr>
      <w:r>
        <w:rPr>
          <w:rFonts w:ascii="Times New Roman" w:cs="Times New Roman" w:eastAsia="Times New Roman" w:hAnsi="Times New Roman"/>
          <w:b/>
          <w:bCs/>
          <w:sz w:val="22"/>
          <w:szCs w:val="22"/>
        </w:rPr>
        <w:t xml:space="preserve">Tablo 1</w:t>
      </w:r>
    </w:p>
    <w:p>
      <w:pPr>
        <w:spacing w:after="120" w:before="0"/>
        <w:jc w:val="center"/>
      </w:pPr>
      <w:r>
        <w:rPr>
          <w:rFonts w:ascii="Times New Roman" w:cs="Times New Roman" w:eastAsia="Times New Roman" w:hAnsi="Times New Roman"/>
          <w:i/>
          <w:iCs/>
          <w:sz w:val="22"/>
          <w:szCs w:val="22"/>
        </w:rPr>
        <w:t xml:space="preserve">Linker Bölgesi (L390–L391) PyRosetta ΔΔG Sonuçları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3960"/>
      </w:tblGrid>
      <w:tr>
        <w:trPr>
          <w:tblHeader/>
        </w:trP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Amino Asit</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Pozisyon</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ΔΔG (REU)</w:t>
            </w:r>
          </w:p>
        </w:tc>
        <w:tc>
          <w:tcPr>
            <w:tcW w:type="dxa" w:w="3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Değerlendirme</w:t>
            </w:r>
          </w:p>
        </w:tc>
      </w:tr>
      <w:tr>
        <w:tc>
          <w:tcPr>
            <w:tcW w:type="dxa" w:w="16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NVA</w:t>
            </w:r>
          </w:p>
        </w:tc>
        <w:tc>
          <w:tcPr>
            <w:tcW w:type="dxa" w:w="20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L390</w:t>
            </w:r>
          </w:p>
        </w:tc>
        <w:tc>
          <w:tcPr>
            <w:tcW w:type="dxa" w:w="18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-3.951</w:t>
            </w:r>
          </w:p>
        </w:tc>
        <w:tc>
          <w:tcPr>
            <w:tcW w:type="dxa" w:w="396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Stabilize edici</w:t>
            </w:r>
          </w:p>
        </w:tc>
      </w:tr>
      <w:tr>
        <w:tc>
          <w:tcPr>
            <w:tcW w:type="dxa" w:w="16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NVA</w:t>
            </w:r>
          </w:p>
        </w:tc>
        <w:tc>
          <w:tcPr>
            <w:tcW w:type="dxa" w:w="20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L391</w:t>
            </w:r>
          </w:p>
        </w:tc>
        <w:tc>
          <w:tcPr>
            <w:tcW w:type="dxa" w:w="18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-3.751</w:t>
            </w:r>
          </w:p>
        </w:tc>
        <w:tc>
          <w:tcPr>
            <w:tcW w:type="dxa" w:w="396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Stabilize edici</w:t>
            </w:r>
          </w:p>
        </w:tc>
      </w:tr>
      <w:tr>
        <w:tc>
          <w:tcPr>
            <w:tcW w:type="dxa" w:w="16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NVA</w:t>
            </w:r>
          </w:p>
        </w:tc>
        <w:tc>
          <w:tcPr>
            <w:tcW w:type="dxa" w:w="20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L390+L391</w:t>
            </w:r>
          </w:p>
        </w:tc>
        <w:tc>
          <w:tcPr>
            <w:tcW w:type="dxa" w:w="18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-6.090</w:t>
            </w:r>
          </w:p>
        </w:tc>
        <w:tc>
          <w:tcPr>
            <w:tcW w:type="dxa" w:w="396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Stabilize edici</w:t>
            </w:r>
          </w:p>
        </w:tc>
      </w:tr>
      <w:tr>
        <w:tc>
          <w:tcPr>
            <w:tcW w:type="dxa" w:w="16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VAL</w:t>
            </w:r>
          </w:p>
        </w:tc>
        <w:tc>
          <w:tcPr>
            <w:tcW w:type="dxa" w:w="20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L390</w:t>
            </w:r>
          </w:p>
        </w:tc>
        <w:tc>
          <w:tcPr>
            <w:tcW w:type="dxa" w:w="18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-4.905</w:t>
            </w:r>
          </w:p>
        </w:tc>
        <w:tc>
          <w:tcPr>
            <w:tcW w:type="dxa" w:w="396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Stabilize edici</w:t>
            </w:r>
          </w:p>
        </w:tc>
      </w:tr>
      <w:tr>
        <w:tc>
          <w:tcPr>
            <w:tcW w:type="dxa" w:w="160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VAL</w:t>
            </w:r>
          </w:p>
        </w:tc>
        <w:tc>
          <w:tcPr>
            <w:tcW w:type="dxa" w:w="200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L391</w:t>
            </w:r>
          </w:p>
        </w:tc>
        <w:tc>
          <w:tcPr>
            <w:tcW w:type="dxa" w:w="180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+2.418</w:t>
            </w:r>
          </w:p>
        </w:tc>
        <w:tc>
          <w:tcPr>
            <w:tcW w:type="dxa" w:w="396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Hafif destabilize</w:t>
            </w:r>
          </w:p>
        </w:tc>
      </w:tr>
      <w:tr>
        <w:tc>
          <w:tcPr>
            <w:tcW w:type="dxa" w:w="16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VAL</w:t>
            </w:r>
          </w:p>
        </w:tc>
        <w:tc>
          <w:tcPr>
            <w:tcW w:type="dxa" w:w="20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L390+L391</w:t>
            </w:r>
          </w:p>
        </w:tc>
        <w:tc>
          <w:tcPr>
            <w:tcW w:type="dxa" w:w="18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-2.403</w:t>
            </w:r>
          </w:p>
        </w:tc>
        <w:tc>
          <w:tcPr>
            <w:tcW w:type="dxa" w:w="396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Stabilize edici</w:t>
            </w:r>
          </w:p>
        </w:tc>
      </w:tr>
      <w:tr>
        <w:tc>
          <w:tcPr>
            <w:tcW w:type="dxa" w:w="16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ILE</w:t>
            </w:r>
          </w:p>
        </w:tc>
        <w:tc>
          <w:tcPr>
            <w:tcW w:type="dxa" w:w="20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L390</w:t>
            </w:r>
          </w:p>
        </w:tc>
        <w:tc>
          <w:tcPr>
            <w:tcW w:type="dxa" w:w="18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+65.519</w:t>
            </w:r>
          </w:p>
        </w:tc>
        <w:tc>
          <w:tcPr>
            <w:tcW w:type="dxa" w:w="396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Şiddetli destabilizasyon</w:t>
            </w:r>
          </w:p>
        </w:tc>
      </w:tr>
      <w:tr>
        <w:tc>
          <w:tcPr>
            <w:tcW w:type="dxa" w:w="16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ILE</w:t>
            </w:r>
          </w:p>
        </w:tc>
        <w:tc>
          <w:tcPr>
            <w:tcW w:type="dxa" w:w="20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L391</w:t>
            </w:r>
          </w:p>
        </w:tc>
        <w:tc>
          <w:tcPr>
            <w:tcW w:type="dxa" w:w="18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+7.318</w:t>
            </w:r>
          </w:p>
        </w:tc>
        <w:tc>
          <w:tcPr>
            <w:tcW w:type="dxa" w:w="396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Destabilize edici</w:t>
            </w:r>
          </w:p>
        </w:tc>
      </w:tr>
      <w:tr>
        <w:tc>
          <w:tcPr>
            <w:tcW w:type="dxa" w:w="16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ILE</w:t>
            </w:r>
          </w:p>
        </w:tc>
        <w:tc>
          <w:tcPr>
            <w:tcW w:type="dxa" w:w="20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L390+L391</w:t>
            </w:r>
          </w:p>
        </w:tc>
        <w:tc>
          <w:tcPr>
            <w:tcW w:type="dxa" w:w="18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+72.800</w:t>
            </w:r>
          </w:p>
        </w:tc>
        <w:tc>
          <w:tcPr>
            <w:tcW w:type="dxa" w:w="396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Şiddetli destabilizasyon</w:t>
            </w:r>
          </w:p>
        </w:tc>
      </w:tr>
      <w:tr>
        <w:tc>
          <w:tcPr>
            <w:tcW w:type="dxa" w:w="16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AIB</w:t>
            </w:r>
          </w:p>
        </w:tc>
        <w:tc>
          <w:tcPr>
            <w:tcW w:type="dxa" w:w="20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L390</w:t>
            </w:r>
          </w:p>
        </w:tc>
        <w:tc>
          <w:tcPr>
            <w:tcW w:type="dxa" w:w="18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+5.700</w:t>
            </w:r>
          </w:p>
        </w:tc>
        <w:tc>
          <w:tcPr>
            <w:tcW w:type="dxa" w:w="396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Destabilize edici</w:t>
            </w:r>
          </w:p>
        </w:tc>
      </w:tr>
      <w:tr>
        <w:tc>
          <w:tcPr>
            <w:tcW w:type="dxa" w:w="16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AIB</w:t>
            </w:r>
          </w:p>
        </w:tc>
        <w:tc>
          <w:tcPr>
            <w:tcW w:type="dxa" w:w="20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L391</w:t>
            </w:r>
          </w:p>
        </w:tc>
        <w:tc>
          <w:tcPr>
            <w:tcW w:type="dxa" w:w="18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+18.573</w:t>
            </w:r>
          </w:p>
        </w:tc>
        <w:tc>
          <w:tcPr>
            <w:tcW w:type="dxa" w:w="396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Destabilize edici</w:t>
            </w:r>
          </w:p>
        </w:tc>
      </w:tr>
      <w:tr>
        <w:tc>
          <w:tcPr>
            <w:tcW w:type="dxa" w:w="16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AIB</w:t>
            </w:r>
          </w:p>
        </w:tc>
        <w:tc>
          <w:tcPr>
            <w:tcW w:type="dxa" w:w="20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L390+L391</w:t>
            </w:r>
          </w:p>
        </w:tc>
        <w:tc>
          <w:tcPr>
            <w:tcW w:type="dxa" w:w="18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+25.364</w:t>
            </w:r>
          </w:p>
        </w:tc>
        <w:tc>
          <w:tcPr>
            <w:tcW w:type="dxa" w:w="396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Destabilize edici</w:t>
            </w:r>
          </w:p>
        </w:tc>
      </w:tr>
      <w:tr>
        <w:tc>
          <w:tcPr>
            <w:tcW w:type="dxa" w:w="16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NLE</w:t>
            </w:r>
          </w:p>
        </w:tc>
        <w:tc>
          <w:tcPr>
            <w:tcW w:type="dxa" w:w="20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L390–L391</w:t>
            </w:r>
          </w:p>
        </w:tc>
        <w:tc>
          <w:tcPr>
            <w:tcW w:type="dxa" w:w="18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HATA</w:t>
            </w:r>
          </w:p>
        </w:tc>
        <w:tc>
          <w:tcPr>
            <w:tcW w:type="dxa" w:w="396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Rotamer kütüphanesi uyumsuz</w:t>
            </w:r>
          </w:p>
        </w:tc>
      </w:tr>
      <w:tr>
        <w:tc>
          <w:tcPr>
            <w:tcW w:type="dxa" w:w="16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ABA</w:t>
            </w:r>
          </w:p>
        </w:tc>
        <w:tc>
          <w:tcPr>
            <w:tcW w:type="dxa" w:w="20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L390–L391</w:t>
            </w:r>
          </w:p>
        </w:tc>
        <w:tc>
          <w:tcPr>
            <w:tcW w:type="dxa" w:w="18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HATA</w:t>
            </w:r>
          </w:p>
        </w:tc>
        <w:tc>
          <w:tcPr>
            <w:tcW w:type="dxa" w:w="396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Rotamer kütüphanesi uyumsuz</w:t>
            </w:r>
          </w:p>
        </w:tc>
      </w:tr>
      <w:tr>
        <w:tc>
          <w:tcPr>
            <w:tcW w:type="dxa" w:w="16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BAL</w:t>
            </w:r>
          </w:p>
        </w:tc>
        <w:tc>
          <w:tcPr>
            <w:tcW w:type="dxa" w:w="20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L390–L391</w:t>
            </w:r>
          </w:p>
        </w:tc>
        <w:tc>
          <w:tcPr>
            <w:tcW w:type="dxa" w:w="18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c>
          <w:tcPr>
            <w:tcW w:type="dxa" w:w="396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Omurga geometrisi uyumsuz</w:t>
            </w:r>
          </w:p>
        </w:tc>
      </w:tr>
    </w:tbl>
    <w:p>
      <w:pPr>
        <w:spacing w:after="200" w:before="80"/>
      </w:pPr>
      <w:r>
        <w:rPr>
          <w:rFonts w:ascii="Times New Roman" w:cs="Times New Roman" w:eastAsia="Times New Roman" w:hAnsi="Times New Roman"/>
          <w:i/>
          <w:iCs/>
          <w:sz w:val="20"/>
          <w:szCs w:val="20"/>
        </w:rPr>
        <w:t xml:space="preserve">Not. ✅: Stabilize edici (ΔΔG &lt; 0); ⚠️: Nötr/hafif destabilize; ❌: Destabilize edici (ΔΔG &gt; 0); REU: Rosetta Energy Units.</w:t>
      </w:r>
    </w:p>
    <w:p>
      <w:pPr>
        <w:spacing w:after="120" w:before="0"/>
      </w:pPr>
      <w:r>
        <w:t xml:space="preserve"/>
      </w:r>
    </w:p>
    <w:p>
      <w:pPr>
        <w:pStyle w:val="Heading3"/>
        <w:spacing w:after="120" w:before="240"/>
      </w:pPr>
      <w:r>
        <w:rPr>
          <w:rFonts w:ascii="Times New Roman" w:cs="Times New Roman" w:eastAsia="Times New Roman" w:hAnsi="Times New Roman"/>
          <w:b/>
          <w:bCs/>
          <w:i/>
          <w:iCs/>
          <w:sz w:val="24"/>
          <w:szCs w:val="24"/>
        </w:rPr>
        <w:t xml:space="preserve">3.1.1. Norvalin (NVA) — Linker</w:t>
      </w:r>
    </w:p>
    <w:p>
      <w:pPr>
        <w:spacing w:after="160" w:before="0" w:line="480"/>
        <w:ind w:firstLine="720"/>
        <w:jc w:val="both"/>
      </w:pPr>
      <w:r>
        <w:rPr>
          <w:rFonts w:ascii="Times New Roman" w:cs="Times New Roman" w:eastAsia="Times New Roman" w:hAnsi="Times New Roman"/>
          <w:sz w:val="24"/>
          <w:szCs w:val="24"/>
        </w:rPr>
        <w:t xml:space="preserve">NVA, linker bölgesindeki her iki pozisyonda da belirgin stabilize edici etki göstermiştir: L390NVA −3.951 REU, L391NVA −3.751 REU, L390+L391NVA −6.090 REU. Çift mutasyonun yaklaşık kümülatif değer üretmesi, iki pozisyonun büyük ölçüde bağımsız katkılar sağladığına işaret etmektedir. Boltz-2 yapısal analizlerinde NVA yan zinciri wild-type lösin ile benzer hidrofobik kontak geometrisi sergilemekte; ancak bir metilen grubunun eksikliğiyle daha kompakt bir konformasyon almaktadır </w:t>
      </w:r>
      <w:hyperlink w:history="1" w:anchor="ref_1">
        <w:r>
          <w:rPr>
            <w:rFonts w:ascii="Times New Roman" w:cs="Times New Roman" w:eastAsia="Times New Roman" w:hAnsi="Times New Roman"/>
            <w:color w:val="0563C1"/>
            <w:sz w:val="18"/>
            <w:szCs w:val="18"/>
            <w:vertAlign w:val="superscript"/>
          </w:rPr>
          <w:t xml:space="preserve">[1,9]</w:t>
        </w:r>
      </w:hyperlink>
      <w:r>
        <w:rPr>
          <w:rFonts w:ascii="Times New Roman" w:cs="Times New Roman" w:eastAsia="Times New Roman" w:hAnsi="Times New Roman"/>
          <w:sz w:val="24"/>
          <w:szCs w:val="24"/>
        </w:rPr>
        <w:t xml:space="preserve">.</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1. L390NVA mutantı yakın görünüm. Mavi: wild-type, yeşil: NVA mutantı. Sarı: wild-type L390 yan zinciri, yeşil çubuklar: NVA yan zinciri. NVA'nın linker hidrofobik cebinde kompakt yerleşimi izlenmektedir.</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2. L390NVA mutantı orta görünüm. Linker ve SBD geçiş bölgesinde wild-type ile mutant backbone örtüşmesi.</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3. L390NVA mutantı uzak görünüm. Global DnaK yapısının korunduğu izlenmektedir.</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4. L391NVA mutantı yakın görünüm. NVA'nın L391 pozisyonundaki konformasyonu ve çevre kalıntılarla etkileşimi.</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5. L391NVA mutantı orta görünüm. Linker bölgesinde yüksek backbone benzerliği gözlenmektedir.</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6. L391NVA mutantı uzak görünüm. Tam protein düzeyinde yapısal bütünlüğün korunduğu görülmektedir.</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7. L390+L391NVA çift mutantı yakın görünüm. Her iki NVA yan zincirinin linker hidrofobik çekirdeğindeki birlikte konformasyonu.</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8. L390+L391NVA çift mutantı orta görünüm. Çift substitüsyona rağmen NBD-SBD bağlantı bölgesinin korunması.</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9. L390+L391NVA çift mutantı uzak görünüm. −6.090 REU stabilizasyonla uyumlu global yapı.</w:t>
      </w:r>
    </w:p>
    <w:p>
      <w:pPr>
        <w:pStyle w:val="Heading3"/>
        <w:spacing w:after="120" w:before="240"/>
      </w:pPr>
      <w:r>
        <w:rPr>
          <w:rFonts w:ascii="Times New Roman" w:cs="Times New Roman" w:eastAsia="Times New Roman" w:hAnsi="Times New Roman"/>
          <w:b/>
          <w:bCs/>
          <w:i/>
          <w:iCs/>
          <w:sz w:val="24"/>
          <w:szCs w:val="24"/>
        </w:rPr>
        <w:t xml:space="preserve">3.1.2. Valin (VAL) — Linker</w:t>
      </w:r>
    </w:p>
    <w:p>
      <w:pPr>
        <w:spacing w:after="160" w:before="0" w:line="480"/>
        <w:ind w:firstLine="720"/>
        <w:jc w:val="both"/>
      </w:pPr>
      <w:r>
        <w:rPr>
          <w:rFonts w:ascii="Times New Roman" w:cs="Times New Roman" w:eastAsia="Times New Roman" w:hAnsi="Times New Roman"/>
          <w:sz w:val="24"/>
          <w:szCs w:val="24"/>
        </w:rPr>
        <w:t xml:space="preserve">VAL pozisyona bağlı farklı sonuçlar vermiştir: L390VAL −4.905 REU (güçlü stabilizasyon), L391VAL +2.418 REU (hafif destabilizasyon), L390+L391VAL −2.403 REU (net stabilizasyon; L390 katkısı baskın). Boltz-2 görsellerinde global backbone düzeni korunmakla birlikte linker bölgesinde lokal konformasyonel varyasyonlar içermektedir </w:t>
      </w:r>
      <w:hyperlink w:history="1" w:anchor="ref_9">
        <w:r>
          <w:rPr>
            <w:rFonts w:ascii="Times New Roman" w:cs="Times New Roman" w:eastAsia="Times New Roman" w:hAnsi="Times New Roman"/>
            <w:color w:val="0563C1"/>
            <w:sz w:val="18"/>
            <w:szCs w:val="18"/>
            <w:vertAlign w:val="superscript"/>
          </w:rPr>
          <w:t xml:space="preserve">[9]</w:t>
        </w:r>
      </w:hyperlink>
      <w:r>
        <w:rPr>
          <w:rFonts w:ascii="Times New Roman" w:cs="Times New Roman" w:eastAsia="Times New Roman" w:hAnsi="Times New Roman"/>
          <w:sz w:val="24"/>
          <w:szCs w:val="24"/>
        </w:rPr>
        <w:t xml:space="preserve">.</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10. L390+L391VAL çift mutantı yakın görünüm. Mavi: wild-type, cyan: VAL mutantı. VAL yan zincirlerinin linker bölgesindeki yerleşimi.</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11. L390+L391VAL çift mutantı orta görünüm. NBD-SBD geçiş bölgesinde genel backbone korunumu.</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12. L390+L391VAL çift mutantı uzak görünüm. Net stabilize edici ΔΔG ile uyumlu global yapısal bütünlük.</w:t>
      </w:r>
    </w:p>
    <w:p>
      <w:pPr>
        <w:pStyle w:val="Heading3"/>
        <w:spacing w:after="120" w:before="240"/>
      </w:pPr>
      <w:r>
        <w:rPr>
          <w:rFonts w:ascii="Times New Roman" w:cs="Times New Roman" w:eastAsia="Times New Roman" w:hAnsi="Times New Roman"/>
          <w:b/>
          <w:bCs/>
          <w:i/>
          <w:iCs/>
          <w:sz w:val="24"/>
          <w:szCs w:val="24"/>
        </w:rPr>
        <w:t xml:space="preserve">3.1.3. İzolösin (ILE) — Linker</w:t>
      </w:r>
    </w:p>
    <w:p>
      <w:pPr>
        <w:spacing w:after="160" w:before="0" w:line="480"/>
        <w:ind w:firstLine="720"/>
        <w:jc w:val="both"/>
      </w:pPr>
      <w:r>
        <w:rPr>
          <w:rFonts w:ascii="Times New Roman" w:cs="Times New Roman" w:eastAsia="Times New Roman" w:hAnsi="Times New Roman"/>
          <w:sz w:val="24"/>
          <w:szCs w:val="24"/>
        </w:rPr>
        <w:t xml:space="preserve">ILE linker bölgesinde beklenmedik ölçüde yüksek destabilizasyon değerleri üretmiştir: L390ILE +65.519, L391ILE +7.318, L390+L391ILE +72.800 REU. ILE'nin β-dallanma yapısı (γ-metil grubu), linker'ın dar hidrofobik geometrisiyle ciddi steric çakışmalar oluşturmaktadır. Boltz-2'de 390-391ILE mutantı wild-type'tan belirgin backbone sapmaları sergilemektedir </w:t>
      </w:r>
      <w:hyperlink w:history="1" w:anchor="ref_1">
        <w:r>
          <w:rPr>
            <w:rFonts w:ascii="Times New Roman" w:cs="Times New Roman" w:eastAsia="Times New Roman" w:hAnsi="Times New Roman"/>
            <w:color w:val="0563C1"/>
            <w:sz w:val="18"/>
            <w:szCs w:val="18"/>
            <w:vertAlign w:val="superscript"/>
          </w:rPr>
          <w:t xml:space="preserve">[1,9]</w:t>
        </w:r>
      </w:hyperlink>
      <w:r>
        <w:rPr>
          <w:rFonts w:ascii="Times New Roman" w:cs="Times New Roman" w:eastAsia="Times New Roman" w:hAnsi="Times New Roman"/>
          <w:sz w:val="24"/>
          <w:szCs w:val="24"/>
        </w:rPr>
        <w:t xml:space="preserve">.</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13. L390+L391ILE çift mutantı yakın görünüm. Mavi: wild-type, turuncu: ILE mutantı. ILE yan zincirlerinin oluşturduğu steric çakışmalar.</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14. L390+L391ILE çift mutantı orta görünüm. Linker bölgesinde wild-type'tan belirgin backbone sapması.</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15. L390+L391ILE çift mutantı uzak görünüm. Yüksek destabilizasyonla (ΔΔG = +72.800 REU) uyumlu global yapısal distorsiyon.</w:t>
      </w:r>
    </w:p>
    <w:p>
      <w:pPr>
        <w:pStyle w:val="Heading3"/>
        <w:spacing w:after="120" w:before="240"/>
      </w:pPr>
      <w:r>
        <w:rPr>
          <w:rFonts w:ascii="Times New Roman" w:cs="Times New Roman" w:eastAsia="Times New Roman" w:hAnsi="Times New Roman"/>
          <w:b/>
          <w:bCs/>
          <w:i/>
          <w:iCs/>
          <w:sz w:val="24"/>
          <w:szCs w:val="24"/>
        </w:rPr>
        <w:t xml:space="preserve">3.1.4. α-Aminoizobütirik Asit (AIB) — Linker</w:t>
      </w:r>
    </w:p>
    <w:p>
      <w:pPr>
        <w:spacing w:after="160" w:before="0" w:line="480"/>
        <w:ind w:firstLine="720"/>
        <w:jc w:val="both"/>
      </w:pPr>
      <w:r>
        <w:rPr>
          <w:rFonts w:ascii="Times New Roman" w:cs="Times New Roman" w:eastAsia="Times New Roman" w:hAnsi="Times New Roman"/>
          <w:sz w:val="24"/>
          <w:szCs w:val="24"/>
        </w:rPr>
        <w:t xml:space="preserve">AIB tüm linker pozisyonlarında destabilize edici bulunmuştur: L390AIB +5.700, L391AIB +18.573, L390+L391AIB +25.364 REU. AIB'nin α,α-dialkil yapısı güçlü α-helikal konformasyon tercihi sergilediğinden </w:t>
      </w:r>
      <w:hyperlink w:history="1" w:anchor="ref_10">
        <w:r>
          <w:rPr>
            <w:rFonts w:ascii="Times New Roman" w:cs="Times New Roman" w:eastAsia="Times New Roman" w:hAnsi="Times New Roman"/>
            <w:color w:val="0563C1"/>
            <w:sz w:val="18"/>
            <w:szCs w:val="18"/>
            <w:vertAlign w:val="superscript"/>
          </w:rPr>
          <w:t xml:space="preserve">[10]</w:t>
        </w:r>
      </w:hyperlink>
      <w:r>
        <w:rPr>
          <w:rFonts w:ascii="Times New Roman" w:cs="Times New Roman" w:eastAsia="Times New Roman" w:hAnsi="Times New Roman"/>
          <w:sz w:val="24"/>
          <w:szCs w:val="24"/>
        </w:rPr>
        <w:t xml:space="preserve">, linker'ın esnek yapısıyla biyofiziksel uyumsuzluğu beklenen bir sonuçtur. Boltz-2'de 390-391AIB mutantı, linker bölgesindeki β-strand elemanlarının yeniden düzenlendiği gözlenmektedir.</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16. L390+L391AIB çift mutantı yakın görünüm. Mavi: wild-type, magenta: AIB mutantı. AIB'nin α,α-dialkil yan zincirinin oluşturduğu steric uyumsuzluk.</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17. L390+L391AIB çift mutantı orta görünüm. Linker bölgesinde wild-type'tan kayda değer backbone sapması.</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18. L390+L391AIB çift mutantı uzak görünüm. AIB'nin helikal tercihi ile uyumlu global yapısal değişiklikler.</w:t>
      </w:r>
    </w:p>
    <w:p>
      <w:r>
        <w:br w:type="page"/>
      </w:r>
    </w:p>
    <w:p>
      <w:pPr>
        <w:pStyle w:val="Heading2"/>
        <w:spacing w:after="160" w:before="320"/>
      </w:pPr>
      <w:r>
        <w:rPr>
          <w:rFonts w:ascii="Times New Roman" w:cs="Times New Roman" w:eastAsia="Times New Roman" w:hAnsi="Times New Roman"/>
          <w:b/>
          <w:bCs/>
          <w:sz w:val="26"/>
          <w:szCs w:val="26"/>
        </w:rPr>
        <w:t xml:space="preserve">3.2. SBD Bölgesi Mutasyonları (A429–A435)</w:t>
      </w:r>
    </w:p>
    <w:p>
      <w:pPr>
        <w:spacing w:after="160" w:before="0" w:line="480"/>
        <w:ind w:firstLine="720"/>
        <w:jc w:val="both"/>
      </w:pPr>
      <w:r>
        <w:rPr>
          <w:rFonts w:ascii="Times New Roman" w:cs="Times New Roman" w:eastAsia="Times New Roman" w:hAnsi="Times New Roman"/>
          <w:sz w:val="24"/>
          <w:szCs w:val="24"/>
        </w:rPr>
        <w:t xml:space="preserve">SBD bölgesindeki PyRosetta ΔΔG sonuçları Tablo 2'de özetlenmiştir. Boltz-2 yapısal görüntüleri Şekil 19–30'da sunulmaktadır.</w:t>
      </w:r>
    </w:p>
    <w:p>
      <w:pPr>
        <w:spacing w:after="120" w:before="0"/>
      </w:pPr>
      <w:r>
        <w:t xml:space="preserve"/>
      </w:r>
    </w:p>
    <w:p>
      <w:pPr>
        <w:spacing w:after="80" w:before="240"/>
        <w:jc w:val="center"/>
      </w:pPr>
      <w:r>
        <w:rPr>
          <w:rFonts w:ascii="Times New Roman" w:cs="Times New Roman" w:eastAsia="Times New Roman" w:hAnsi="Times New Roman"/>
          <w:b/>
          <w:bCs/>
          <w:sz w:val="22"/>
          <w:szCs w:val="22"/>
        </w:rPr>
        <w:t xml:space="preserve">Tablo 2</w:t>
      </w:r>
    </w:p>
    <w:p>
      <w:pPr>
        <w:spacing w:after="120" w:before="0"/>
        <w:jc w:val="center"/>
      </w:pPr>
      <w:r>
        <w:rPr>
          <w:rFonts w:ascii="Times New Roman" w:cs="Times New Roman" w:eastAsia="Times New Roman" w:hAnsi="Times New Roman"/>
          <w:i/>
          <w:iCs/>
          <w:sz w:val="22"/>
          <w:szCs w:val="22"/>
        </w:rPr>
        <w:t xml:space="preserve">SBD Bölgesi (A429–A435) PyRosetta ΔΔG Sonuçları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3960"/>
      </w:tblGrid>
      <w:tr>
        <w:trPr>
          <w:tblHeader/>
        </w:trP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Amino Asit</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Pozisyon</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ΔΔG (REU)</w:t>
            </w:r>
          </w:p>
        </w:tc>
        <w:tc>
          <w:tcPr>
            <w:tcW w:type="dxa" w:w="3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Değerlendirme</w:t>
            </w:r>
          </w:p>
        </w:tc>
      </w:tr>
      <w:tr>
        <w:tc>
          <w:tcPr>
            <w:tcW w:type="dxa" w:w="16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NVA</w:t>
            </w:r>
          </w:p>
        </w:tc>
        <w:tc>
          <w:tcPr>
            <w:tcW w:type="dxa" w:w="20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A429</w:t>
            </w:r>
          </w:p>
        </w:tc>
        <w:tc>
          <w:tcPr>
            <w:tcW w:type="dxa" w:w="18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-2.578</w:t>
            </w:r>
          </w:p>
        </w:tc>
        <w:tc>
          <w:tcPr>
            <w:tcW w:type="dxa" w:w="396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Stabilize edici</w:t>
            </w:r>
          </w:p>
        </w:tc>
      </w:tr>
      <w:tr>
        <w:tc>
          <w:tcPr>
            <w:tcW w:type="dxa" w:w="16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NVA</w:t>
            </w:r>
          </w:p>
        </w:tc>
        <w:tc>
          <w:tcPr>
            <w:tcW w:type="dxa" w:w="20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A435</w:t>
            </w:r>
          </w:p>
        </w:tc>
        <w:tc>
          <w:tcPr>
            <w:tcW w:type="dxa" w:w="18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+5.354</w:t>
            </w:r>
          </w:p>
        </w:tc>
        <w:tc>
          <w:tcPr>
            <w:tcW w:type="dxa" w:w="396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Destabilize edici</w:t>
            </w:r>
          </w:p>
        </w:tc>
      </w:tr>
      <w:tr>
        <w:tc>
          <w:tcPr>
            <w:tcW w:type="dxa" w:w="160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NVA</w:t>
            </w:r>
          </w:p>
        </w:tc>
        <w:tc>
          <w:tcPr>
            <w:tcW w:type="dxa" w:w="200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A429+A435</w:t>
            </w:r>
          </w:p>
        </w:tc>
        <w:tc>
          <w:tcPr>
            <w:tcW w:type="dxa" w:w="180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+2.776</w:t>
            </w:r>
          </w:p>
        </w:tc>
        <w:tc>
          <w:tcPr>
            <w:tcW w:type="dxa" w:w="396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Hafif destabilize</w:t>
            </w:r>
          </w:p>
        </w:tc>
      </w:tr>
      <w:tr>
        <w:tc>
          <w:tcPr>
            <w:tcW w:type="dxa" w:w="16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VAL</w:t>
            </w:r>
          </w:p>
        </w:tc>
        <w:tc>
          <w:tcPr>
            <w:tcW w:type="dxa" w:w="20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A429</w:t>
            </w:r>
          </w:p>
        </w:tc>
        <w:tc>
          <w:tcPr>
            <w:tcW w:type="dxa" w:w="18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+52.115</w:t>
            </w:r>
          </w:p>
        </w:tc>
        <w:tc>
          <w:tcPr>
            <w:tcW w:type="dxa" w:w="396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Şiddetli destabilizasyon</w:t>
            </w:r>
          </w:p>
        </w:tc>
      </w:tr>
      <w:tr>
        <w:tc>
          <w:tcPr>
            <w:tcW w:type="dxa" w:w="16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VAL</w:t>
            </w:r>
          </w:p>
        </w:tc>
        <w:tc>
          <w:tcPr>
            <w:tcW w:type="dxa" w:w="20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A435</w:t>
            </w:r>
          </w:p>
        </w:tc>
        <w:tc>
          <w:tcPr>
            <w:tcW w:type="dxa" w:w="18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+27.256</w:t>
            </w:r>
          </w:p>
        </w:tc>
        <w:tc>
          <w:tcPr>
            <w:tcW w:type="dxa" w:w="396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Şiddetli destabilizasyon</w:t>
            </w:r>
          </w:p>
        </w:tc>
      </w:tr>
      <w:tr>
        <w:tc>
          <w:tcPr>
            <w:tcW w:type="dxa" w:w="16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VAL</w:t>
            </w:r>
          </w:p>
        </w:tc>
        <w:tc>
          <w:tcPr>
            <w:tcW w:type="dxa" w:w="20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A429+A435</w:t>
            </w:r>
          </w:p>
        </w:tc>
        <w:tc>
          <w:tcPr>
            <w:tcW w:type="dxa" w:w="18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+79.372</w:t>
            </w:r>
          </w:p>
        </w:tc>
        <w:tc>
          <w:tcPr>
            <w:tcW w:type="dxa" w:w="396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Şiddetli destabilizasyon</w:t>
            </w:r>
          </w:p>
        </w:tc>
      </w:tr>
      <w:tr>
        <w:tc>
          <w:tcPr>
            <w:tcW w:type="dxa" w:w="16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ILE</w:t>
            </w:r>
          </w:p>
        </w:tc>
        <w:tc>
          <w:tcPr>
            <w:tcW w:type="dxa" w:w="20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A429</w:t>
            </w:r>
          </w:p>
        </w:tc>
        <w:tc>
          <w:tcPr>
            <w:tcW w:type="dxa" w:w="18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+108.675</w:t>
            </w:r>
          </w:p>
        </w:tc>
        <w:tc>
          <w:tcPr>
            <w:tcW w:type="dxa" w:w="396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Şiddetli destabilizasyon</w:t>
            </w:r>
          </w:p>
        </w:tc>
      </w:tr>
      <w:tr>
        <w:tc>
          <w:tcPr>
            <w:tcW w:type="dxa" w:w="16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ILE</w:t>
            </w:r>
          </w:p>
        </w:tc>
        <w:tc>
          <w:tcPr>
            <w:tcW w:type="dxa" w:w="20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A435</w:t>
            </w:r>
          </w:p>
        </w:tc>
        <w:tc>
          <w:tcPr>
            <w:tcW w:type="dxa" w:w="18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+409.291</w:t>
            </w:r>
          </w:p>
        </w:tc>
        <w:tc>
          <w:tcPr>
            <w:tcW w:type="dxa" w:w="396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Şiddetli destabilizasyon</w:t>
            </w:r>
          </w:p>
        </w:tc>
      </w:tr>
      <w:tr>
        <w:tc>
          <w:tcPr>
            <w:tcW w:type="dxa" w:w="16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ILE</w:t>
            </w:r>
          </w:p>
        </w:tc>
        <w:tc>
          <w:tcPr>
            <w:tcW w:type="dxa" w:w="20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A429+A435</w:t>
            </w:r>
          </w:p>
        </w:tc>
        <w:tc>
          <w:tcPr>
            <w:tcW w:type="dxa" w:w="18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+517.966</w:t>
            </w:r>
          </w:p>
        </w:tc>
        <w:tc>
          <w:tcPr>
            <w:tcW w:type="dxa" w:w="396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Şiddetli destabilizasyon</w:t>
            </w:r>
          </w:p>
        </w:tc>
      </w:tr>
      <w:tr>
        <w:tc>
          <w:tcPr>
            <w:tcW w:type="dxa" w:w="16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AIB</w:t>
            </w:r>
          </w:p>
        </w:tc>
        <w:tc>
          <w:tcPr>
            <w:tcW w:type="dxa" w:w="20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A429</w:t>
            </w:r>
          </w:p>
        </w:tc>
        <w:tc>
          <w:tcPr>
            <w:tcW w:type="dxa" w:w="18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+7.899</w:t>
            </w:r>
          </w:p>
        </w:tc>
        <w:tc>
          <w:tcPr>
            <w:tcW w:type="dxa" w:w="396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Destabilize edici</w:t>
            </w:r>
          </w:p>
        </w:tc>
      </w:tr>
      <w:tr>
        <w:tc>
          <w:tcPr>
            <w:tcW w:type="dxa" w:w="16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AIB</w:t>
            </w:r>
          </w:p>
        </w:tc>
        <w:tc>
          <w:tcPr>
            <w:tcW w:type="dxa" w:w="20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A435</w:t>
            </w:r>
          </w:p>
        </w:tc>
        <w:tc>
          <w:tcPr>
            <w:tcW w:type="dxa" w:w="18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+113.746</w:t>
            </w:r>
          </w:p>
        </w:tc>
        <w:tc>
          <w:tcPr>
            <w:tcW w:type="dxa" w:w="396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Şiddetli destabilizasyon</w:t>
            </w:r>
          </w:p>
        </w:tc>
      </w:tr>
      <w:tr>
        <w:tc>
          <w:tcPr>
            <w:tcW w:type="dxa" w:w="16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AIB</w:t>
            </w:r>
          </w:p>
        </w:tc>
        <w:tc>
          <w:tcPr>
            <w:tcW w:type="dxa" w:w="20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A429+A435</w:t>
            </w:r>
          </w:p>
        </w:tc>
        <w:tc>
          <w:tcPr>
            <w:tcW w:type="dxa" w:w="18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+121.645</w:t>
            </w:r>
          </w:p>
        </w:tc>
        <w:tc>
          <w:tcPr>
            <w:tcW w:type="dxa" w:w="396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 Şiddetli destabilizasyon</w:t>
            </w:r>
          </w:p>
        </w:tc>
      </w:tr>
      <w:tr>
        <w:tc>
          <w:tcPr>
            <w:tcW w:type="dxa" w:w="16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NLE</w:t>
            </w:r>
          </w:p>
        </w:tc>
        <w:tc>
          <w:tcPr>
            <w:tcW w:type="dxa" w:w="20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A429–A435</w:t>
            </w:r>
          </w:p>
        </w:tc>
        <w:tc>
          <w:tcPr>
            <w:tcW w:type="dxa" w:w="18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HATA</w:t>
            </w:r>
          </w:p>
        </w:tc>
        <w:tc>
          <w:tcPr>
            <w:tcW w:type="dxa" w:w="396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Rotamer kütüphanesi uyumsuz</w:t>
            </w:r>
          </w:p>
        </w:tc>
      </w:tr>
      <w:tr>
        <w:tc>
          <w:tcPr>
            <w:tcW w:type="dxa" w:w="16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ABA</w:t>
            </w:r>
          </w:p>
        </w:tc>
        <w:tc>
          <w:tcPr>
            <w:tcW w:type="dxa" w:w="20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A429–A435</w:t>
            </w:r>
          </w:p>
        </w:tc>
        <w:tc>
          <w:tcPr>
            <w:tcW w:type="dxa" w:w="18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HATA</w:t>
            </w:r>
          </w:p>
        </w:tc>
        <w:tc>
          <w:tcPr>
            <w:tcW w:type="dxa" w:w="396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Rotamer kütüphanesi uyumsuz</w:t>
            </w:r>
          </w:p>
        </w:tc>
      </w:tr>
      <w:tr>
        <w:tc>
          <w:tcPr>
            <w:tcW w:type="dxa" w:w="16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BAL</w:t>
            </w:r>
          </w:p>
        </w:tc>
        <w:tc>
          <w:tcPr>
            <w:tcW w:type="dxa" w:w="20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A429–A435</w:t>
            </w:r>
          </w:p>
        </w:tc>
        <w:tc>
          <w:tcPr>
            <w:tcW w:type="dxa" w:w="180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c>
          <w:tcPr>
            <w:tcW w:type="dxa" w:w="3960"/>
            <w:tcBorders>
              <w:top w:val="single" w:color="CCCCCC" w:sz="1"/>
              <w:left w:val="single" w:color="CCCCCC" w:sz="1"/>
              <w:bottom w:val="single" w:color="CCCCCC" w:sz="1"/>
              <w:right w:val="single" w:color="CCCCCC" w:sz="1"/>
            </w:tcBorders>
            <w:shd w:fill="F8D7D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Omurga geometrisi uyumsuz</w:t>
            </w:r>
          </w:p>
        </w:tc>
      </w:tr>
    </w:tbl>
    <w:p>
      <w:pPr>
        <w:spacing w:after="200" w:before="80"/>
      </w:pPr>
      <w:r>
        <w:rPr>
          <w:rFonts w:ascii="Times New Roman" w:cs="Times New Roman" w:eastAsia="Times New Roman" w:hAnsi="Times New Roman"/>
          <w:i/>
          <w:iCs/>
          <w:sz w:val="20"/>
          <w:szCs w:val="20"/>
        </w:rPr>
        <w:t xml:space="preserve">Not. ✅: Stabilize edici (ΔΔG &lt; 0); ⚠️: Nötr/hafif destabilize; ❌: Destabilize edici (ΔΔG &gt; 0); REU: Rosetta Energy Units.</w:t>
      </w:r>
    </w:p>
    <w:p>
      <w:pPr>
        <w:spacing w:after="120" w:before="0"/>
      </w:pPr>
      <w:r>
        <w:t xml:space="preserve"/>
      </w:r>
    </w:p>
    <w:p>
      <w:pPr>
        <w:pStyle w:val="Heading3"/>
        <w:spacing w:after="120" w:before="240"/>
      </w:pPr>
      <w:r>
        <w:rPr>
          <w:rFonts w:ascii="Times New Roman" w:cs="Times New Roman" w:eastAsia="Times New Roman" w:hAnsi="Times New Roman"/>
          <w:b/>
          <w:bCs/>
          <w:i/>
          <w:iCs/>
          <w:sz w:val="24"/>
          <w:szCs w:val="24"/>
        </w:rPr>
        <w:t xml:space="preserve">3.2.1. Norvalin (NVA) — SBD</w:t>
      </w:r>
    </w:p>
    <w:p>
      <w:pPr>
        <w:spacing w:after="160" w:before="0" w:line="480"/>
        <w:ind w:firstLine="720"/>
        <w:jc w:val="both"/>
      </w:pPr>
      <w:r>
        <w:rPr>
          <w:rFonts w:ascii="Times New Roman" w:cs="Times New Roman" w:eastAsia="Times New Roman" w:hAnsi="Times New Roman"/>
          <w:sz w:val="24"/>
          <w:szCs w:val="24"/>
        </w:rPr>
        <w:t xml:space="preserve">NVA'nın SBD'deki etkisi pozisyona bağımlı bir desen sergilemiştir: A429NVA −2.578 REU (stabilize edici), A435NVA +5.354 REU (destabilize edici), A429+A435NVA +2.776 REU (net destabilizasyon; A435'in olumsuz katkısı baskın). Bu asimetri, A429 ve A435'in substrat bağlama cebi etrafında farklı steric ortamlara sahip olduğuna işaret etmektedir </w:t>
      </w:r>
      <w:hyperlink w:history="1" w:anchor="ref_1">
        <w:r>
          <w:rPr>
            <w:rFonts w:ascii="Times New Roman" w:cs="Times New Roman" w:eastAsia="Times New Roman" w:hAnsi="Times New Roman"/>
            <w:color w:val="0563C1"/>
            <w:sz w:val="18"/>
            <w:szCs w:val="18"/>
            <w:vertAlign w:val="superscript"/>
          </w:rPr>
          <w:t xml:space="preserve">[1,11]</w:t>
        </w:r>
      </w:hyperlink>
      <w:r>
        <w:rPr>
          <w:rFonts w:ascii="Times New Roman" w:cs="Times New Roman" w:eastAsia="Times New Roman" w:hAnsi="Times New Roman"/>
          <w:sz w:val="24"/>
          <w:szCs w:val="24"/>
        </w:rPr>
        <w:t xml:space="preserve">.</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19. A429NVA mutantı yakın görünüm. Mavi: wild-type, yeşil: NVA mutantı. NVA yan zincirinin SBD β-sandviç hidrofobik cebindeki konformasyonu.</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20. A429NVA mutantı orta görünüm. SBD bölgesinde wild-type ile yüksek backbone benzerliği.</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21. A429NVA mutantı uzak görünüm. A429NVA'nın (−2.578 REU) global yapı bütünlüğünü koruduğu gözlenmektedir.</w:t>
      </w:r>
    </w:p>
    <w:p>
      <w:pPr>
        <w:pStyle w:val="Heading3"/>
        <w:spacing w:after="120" w:before="240"/>
      </w:pPr>
      <w:r>
        <w:rPr>
          <w:rFonts w:ascii="Times New Roman" w:cs="Times New Roman" w:eastAsia="Times New Roman" w:hAnsi="Times New Roman"/>
          <w:b/>
          <w:bCs/>
          <w:i/>
          <w:iCs/>
          <w:sz w:val="24"/>
          <w:szCs w:val="24"/>
        </w:rPr>
        <w:t xml:space="preserve">3.2.2. İzolösin (ILE) — SBD</w:t>
      </w:r>
    </w:p>
    <w:p>
      <w:pPr>
        <w:spacing w:after="160" w:before="0" w:line="480"/>
        <w:ind w:firstLine="720"/>
        <w:jc w:val="both"/>
      </w:pPr>
      <w:r>
        <w:rPr>
          <w:rFonts w:ascii="Times New Roman" w:cs="Times New Roman" w:eastAsia="Times New Roman" w:hAnsi="Times New Roman"/>
          <w:sz w:val="24"/>
          <w:szCs w:val="24"/>
        </w:rPr>
        <w:t xml:space="preserve">ILE, SBD bölgesinde aşırı destabilizasyon değerleri üretmiştir: A429ILE +108.675, A435ILE +409.291, A429+A435ILE +517.966 REU. Bu değerler SBD β-sandviç bölgesinin hacimli amino asitlere olan yapısal hoşgörüsünün son derece sınırlı olduğunu ortaya koymaktadır. Mevcut alanin kalıntıları büyük olasılıkla substrat bağlama geometrisi için evrimsel olarak seçilmiş; ILE'nin dallanmış zinciri bu kısıtlı ortamda aşırı steric çakışmalar oluşturmaktadır </w:t>
      </w:r>
      <w:hyperlink w:history="1" w:anchor="ref_1">
        <w:r>
          <w:rPr>
            <w:rFonts w:ascii="Times New Roman" w:cs="Times New Roman" w:eastAsia="Times New Roman" w:hAnsi="Times New Roman"/>
            <w:color w:val="0563C1"/>
            <w:sz w:val="18"/>
            <w:szCs w:val="18"/>
            <w:vertAlign w:val="superscript"/>
          </w:rPr>
          <w:t xml:space="preserve">[1,11]</w:t>
        </w:r>
      </w:hyperlink>
      <w:r>
        <w:rPr>
          <w:rFonts w:ascii="Times New Roman" w:cs="Times New Roman" w:eastAsia="Times New Roman" w:hAnsi="Times New Roman"/>
          <w:sz w:val="24"/>
          <w:szCs w:val="24"/>
        </w:rPr>
        <w:t xml:space="preserve">.</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22. A429ILE mutantı yakın görünüm. Mavi: wild-type, turuncu: ILE mutantı. ILE yan zincirinin SBD β-sandviçte oluşturduğu steric çakışmalar.</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23. A429ILE mutantı orta görünüm. SBD bölgesinde +108.675 REU ile uyumlu backbone distorsiyonu.</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24. A429ILE mutantı uzak görünüm. Şiddetli destabilizasyonla uyumlu global yapısal sapmalar.</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25. A435ILE mutantı yakın görünüm. A435 pozisyonundaki ILE'nin oluşturduğu steric uyumsuzluk (+409.291 REU).</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26. A435ILE mutantı orta görünüm. Wild-type'tan belirgin SBD backbone sapması.</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27. A435ILE mutantı uzak görünüm. En yüksek tekil ΔΔG değeriyle uyumlu global yapısal bozulma.</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28. A429+A435ILE çift mutantı yakın görünüm. Her iki ILE yan zincirinin oluşturduğu kümülatif steric çakışmalar (+517.966 REU).</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29. A429+A435ILE çift mutantı orta görünüm. SBD bölgesinde belirgin konformasyonel yeniden düzenlenme.</w:t>
      </w:r>
    </w:p>
    <w:p>
      <w:pPr>
        <w:spacing w:after="80" w:before="160"/>
        <w:jc w:val="center"/>
      </w:pPr>
      <w:r>
        <w:drawing>
          <wp:inline distT="0" distB="0" distL="0" distR="0">
            <wp:extent cx="37719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771900" cy="2828925"/>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Şekil 30. A429+A435ILE çift mutantı uzak görünüm. Çalışmadaki en yüksek toplam ΔΔG değeriyle uyumlu yapısal distorsiyon.</w:t>
      </w:r>
    </w:p>
    <w:p>
      <w:pPr>
        <w:pStyle w:val="Heading3"/>
        <w:spacing w:after="120" w:before="240"/>
      </w:pPr>
      <w:r>
        <w:rPr>
          <w:rFonts w:ascii="Times New Roman" w:cs="Times New Roman" w:eastAsia="Times New Roman" w:hAnsi="Times New Roman"/>
          <w:b/>
          <w:bCs/>
          <w:i/>
          <w:iCs/>
          <w:sz w:val="24"/>
          <w:szCs w:val="24"/>
        </w:rPr>
        <w:t xml:space="preserve">3.2.3. Hesaplanamayan Mutasyonlar</w:t>
      </w:r>
    </w:p>
    <w:p>
      <w:pPr>
        <w:spacing w:after="160" w:before="0" w:line="480"/>
        <w:ind w:firstLine="720"/>
        <w:jc w:val="both"/>
      </w:pPr>
      <w:r>
        <w:rPr>
          <w:rFonts w:ascii="Times New Roman" w:cs="Times New Roman" w:eastAsia="Times New Roman" w:hAnsi="Times New Roman"/>
          <w:sz w:val="24"/>
          <w:szCs w:val="24"/>
        </w:rPr>
        <w:t xml:space="preserve">NLE (NLU kodu), ABA ve BAL için PyRosetta rotamer kütüphanesi hatası alınmış; hesaplamalar tamamlanamamıştır. NLE ve ABA Rosetta'nın standart parametrik çerçevesinde tanımlı olmadığından bu amino asitler için yalnızca Boltz-2 tabanlı yapısal analiz yapılabilecektir. BAL ise standart polipeptid omurga geometrisiyle (φ/ψ torsion uzayıyla) uyumsuz olması nedeniyle başlangıçtan hesaplama dışında bırakılmıştır.</w:t>
      </w:r>
    </w:p>
    <w:p>
      <w:r>
        <w:br w:type="page"/>
      </w:r>
    </w:p>
    <w:p>
      <w:pPr>
        <w:pStyle w:val="Heading1"/>
        <w:spacing w:after="240" w:before="480"/>
      </w:pPr>
      <w:r>
        <w:rPr>
          <w:rFonts w:ascii="Times New Roman" w:cs="Times New Roman" w:eastAsia="Times New Roman" w:hAnsi="Times New Roman"/>
          <w:b/>
          <w:bCs/>
          <w:sz w:val="28"/>
          <w:szCs w:val="28"/>
        </w:rPr>
        <w:t xml:space="preserve">4. Tartışma</w:t>
      </w:r>
    </w:p>
    <w:p>
      <w:pPr>
        <w:pStyle w:val="Heading2"/>
        <w:spacing w:after="160" w:before="320"/>
      </w:pPr>
      <w:r>
        <w:rPr>
          <w:rFonts w:ascii="Times New Roman" w:cs="Times New Roman" w:eastAsia="Times New Roman" w:hAnsi="Times New Roman"/>
          <w:b/>
          <w:bCs/>
          <w:sz w:val="26"/>
          <w:szCs w:val="26"/>
        </w:rPr>
        <w:t xml:space="preserve">4.1. NVA'nın Linker Bölgesindeki Stabilize Edici Etkisi</w:t>
      </w:r>
    </w:p>
    <w:p>
      <w:pPr>
        <w:spacing w:after="160" w:before="0" w:line="480"/>
        <w:ind w:firstLine="720"/>
        <w:jc w:val="both"/>
      </w:pPr>
      <w:r>
        <w:rPr>
          <w:rFonts w:ascii="Times New Roman" w:cs="Times New Roman" w:eastAsia="Times New Roman" w:hAnsi="Times New Roman"/>
          <w:sz w:val="24"/>
          <w:szCs w:val="24"/>
        </w:rPr>
        <w:t xml:space="preserve">Bu çalışmanın en dikkat çekici bulgusu, NVA'nın DnaK linker bölgesindeki lösin kalıntılarını −3.751 ile −6.090 REU aralığında ΔΔG değerleriyle değiştirebildiğidir. Bu stabilizasyon, NVA'nın düz zincir yapısının lösin'in dallanmış yapısına kıyasla linker hidrofobik cebinde daha optimal paketlenme sağlamasından kaynaklanıyor olabilir. Boltz-2 yapısal analizlerinin global backbone korunumunu teyit etmesi, allosterik iletim için zorunlu linker konformasyonel dinamiklerinin büyük ölçüde korunduğuna işaret etmektedir </w:t>
      </w:r>
      <w:hyperlink w:history="1" w:anchor="ref_6">
        <w:r>
          <w:rPr>
            <w:rFonts w:ascii="Times New Roman" w:cs="Times New Roman" w:eastAsia="Times New Roman" w:hAnsi="Times New Roman"/>
            <w:color w:val="0563C1"/>
            <w:sz w:val="18"/>
            <w:szCs w:val="18"/>
            <w:vertAlign w:val="superscript"/>
          </w:rPr>
          <w:t xml:space="preserve">[6,9]</w:t>
        </w:r>
      </w:hyperlink>
      <w:r>
        <w:rPr>
          <w:rFonts w:ascii="Times New Roman" w:cs="Times New Roman" w:eastAsia="Times New Roman" w:hAnsi="Times New Roman"/>
          <w:sz w:val="24"/>
          <w:szCs w:val="24"/>
        </w:rPr>
        <w:t xml:space="preserve">.</w:t>
      </w:r>
    </w:p>
    <w:p>
      <w:pPr>
        <w:pStyle w:val="Heading2"/>
        <w:spacing w:after="160" w:before="320"/>
      </w:pPr>
      <w:r>
        <w:rPr>
          <w:rFonts w:ascii="Times New Roman" w:cs="Times New Roman" w:eastAsia="Times New Roman" w:hAnsi="Times New Roman"/>
          <w:b/>
          <w:bCs/>
          <w:sz w:val="26"/>
          <w:szCs w:val="26"/>
        </w:rPr>
        <w:t xml:space="preserve">4.2. SBD Bölgesindeki Pozisyona Bağımlı Etki</w:t>
      </w:r>
    </w:p>
    <w:p>
      <w:pPr>
        <w:spacing w:after="160" w:before="0" w:line="480"/>
        <w:ind w:firstLine="720"/>
        <w:jc w:val="both"/>
      </w:pPr>
      <w:r>
        <w:rPr>
          <w:rFonts w:ascii="Times New Roman" w:cs="Times New Roman" w:eastAsia="Times New Roman" w:hAnsi="Times New Roman"/>
          <w:sz w:val="24"/>
          <w:szCs w:val="24"/>
        </w:rPr>
        <w:t xml:space="preserve">NVA'nın A429 ve A435'teki farklı etkileri (−2.578 ve +5.354 REU), bu pozisyonların belirgin biçimde farklı steric mikro ortamlara sahip olduğuna işaret etmektedir. VAL ve ILE'nin SBD'deki aşırı yüksek destabilizasyon değerleri, alanin pozisyonlarının substrat bağlama geometrisi için evrimsel olarak optimize edildiğini göstermektedir; amino asit hacmindeki küçük artışların bile ciddi enerji cezalarına yol açabildiği önceki çalışmalarla da uyumludur </w:t>
      </w:r>
      <w:hyperlink w:history="1" w:anchor="ref_1">
        <w:r>
          <w:rPr>
            <w:rFonts w:ascii="Times New Roman" w:cs="Times New Roman" w:eastAsia="Times New Roman" w:hAnsi="Times New Roman"/>
            <w:color w:val="0563C1"/>
            <w:sz w:val="18"/>
            <w:szCs w:val="18"/>
            <w:vertAlign w:val="superscript"/>
          </w:rPr>
          <w:t xml:space="preserve">[1,11]</w:t>
        </w:r>
      </w:hyperlink>
      <w:r>
        <w:rPr>
          <w:rFonts w:ascii="Times New Roman" w:cs="Times New Roman" w:eastAsia="Times New Roman" w:hAnsi="Times New Roman"/>
          <w:sz w:val="24"/>
          <w:szCs w:val="24"/>
        </w:rPr>
        <w:t xml:space="preserve">.</w:t>
      </w:r>
    </w:p>
    <w:p>
      <w:pPr>
        <w:pStyle w:val="Heading2"/>
        <w:spacing w:after="160" w:before="320"/>
      </w:pPr>
      <w:r>
        <w:rPr>
          <w:rFonts w:ascii="Times New Roman" w:cs="Times New Roman" w:eastAsia="Times New Roman" w:hAnsi="Times New Roman"/>
          <w:b/>
          <w:bCs/>
          <w:sz w:val="26"/>
          <w:szCs w:val="26"/>
        </w:rPr>
        <w:t xml:space="preserve">4.3. Astrobiyolojik Yorum</w:t>
      </w:r>
    </w:p>
    <w:p>
      <w:pPr>
        <w:spacing w:after="160" w:before="0" w:line="480"/>
        <w:ind w:firstLine="720"/>
        <w:jc w:val="both"/>
      </w:pPr>
      <w:r>
        <w:rPr>
          <w:rFonts w:ascii="Times New Roman" w:cs="Times New Roman" w:eastAsia="Times New Roman" w:hAnsi="Times New Roman"/>
          <w:sz w:val="24"/>
          <w:szCs w:val="24"/>
        </w:rPr>
        <w:t xml:space="preserve">Bu çalışmanın bulguları, erken Dünya'daki potansiyel protein evrimine ilişkin önemli çıkarımlar sunmaktadır. NVA'nın linker bölgesinde yapısal uyumluluğu ve stabilizasyon etkisi, bu amino asidin ilkel şaperon öncüllerine entegre olmuş olabileceğini destekler </w:t>
      </w:r>
      <w:hyperlink w:history="1" w:anchor="ref_3">
        <w:r>
          <w:rPr>
            <w:rFonts w:ascii="Times New Roman" w:cs="Times New Roman" w:eastAsia="Times New Roman" w:hAnsi="Times New Roman"/>
            <w:color w:val="0563C1"/>
            <w:sz w:val="18"/>
            <w:szCs w:val="18"/>
            <w:vertAlign w:val="superscript"/>
          </w:rPr>
          <w:t xml:space="preserve">[3,8]</w:t>
        </w:r>
      </w:hyperlink>
      <w:r>
        <w:rPr>
          <w:rFonts w:ascii="Times New Roman" w:cs="Times New Roman" w:eastAsia="Times New Roman" w:hAnsi="Times New Roman"/>
          <w:sz w:val="24"/>
          <w:szCs w:val="24"/>
        </w:rPr>
        <w:t xml:space="preserve">. Öte yandan ILE, AIB gibi amino asitlerin belirli pozisyonlarda güçlü destabilizasyon göstermesi, erken protein evriminde amino asit seçiminde biyofiziksel kısıtlamaların belirleyici olduğuna işaret etmektedir.</w:t>
      </w:r>
    </w:p>
    <w:p>
      <w:r>
        <w:br w:type="page"/>
      </w:r>
    </w:p>
    <w:p>
      <w:pPr>
        <w:pStyle w:val="Heading1"/>
        <w:spacing w:after="240" w:before="480"/>
      </w:pPr>
      <w:r>
        <w:rPr>
          <w:rFonts w:ascii="Times New Roman" w:cs="Times New Roman" w:eastAsia="Times New Roman" w:hAnsi="Times New Roman"/>
          <w:b/>
          <w:bCs/>
          <w:sz w:val="28"/>
          <w:szCs w:val="28"/>
        </w:rPr>
        <w:t xml:space="preserve">5. Sınırlılıklar ve Gelecek Çalışmalar</w:t>
      </w:r>
    </w:p>
    <w:p>
      <w:pPr>
        <w:pStyle w:val="Heading2"/>
        <w:spacing w:after="160" w:before="320"/>
      </w:pPr>
      <w:r>
        <w:rPr>
          <w:rFonts w:ascii="Times New Roman" w:cs="Times New Roman" w:eastAsia="Times New Roman" w:hAnsi="Times New Roman"/>
          <w:b/>
          <w:bCs/>
          <w:sz w:val="26"/>
          <w:szCs w:val="26"/>
        </w:rPr>
        <w:t xml:space="preserve">5.1. Mevcut Çalışmanın Sınırlılıkları</w:t>
      </w:r>
    </w:p>
    <w:p>
      <w:pPr>
        <w:spacing w:after="160" w:before="0" w:line="480"/>
        <w:ind w:firstLine="720"/>
        <w:jc w:val="both"/>
      </w:pPr>
      <w:r>
        <w:rPr>
          <w:rFonts w:ascii="Times New Roman" w:cs="Times New Roman" w:eastAsia="Times New Roman" w:hAnsi="Times New Roman"/>
          <w:sz w:val="24"/>
          <w:szCs w:val="24"/>
        </w:rPr>
        <w:t xml:space="preserve">PyRosetta hesaplamalarında backbone minimizasyonu uygulanmamış olması en önemli metodolojik sınırlılığı oluşturmaktadır; bu durum özellikle yüksek REU değerlerinde aşırı tahminlere yol açabilmektedir </w:t>
      </w:r>
      <w:hyperlink w:history="1" w:anchor="ref_7">
        <w:r>
          <w:rPr>
            <w:rFonts w:ascii="Times New Roman" w:cs="Times New Roman" w:eastAsia="Times New Roman" w:hAnsi="Times New Roman"/>
            <w:color w:val="0563C1"/>
            <w:sz w:val="18"/>
            <w:szCs w:val="18"/>
            <w:vertAlign w:val="superscript"/>
          </w:rPr>
          <w:t xml:space="preserve">[7]</w:t>
        </w:r>
      </w:hyperlink>
      <w:r>
        <w:rPr>
          <w:rFonts w:ascii="Times New Roman" w:cs="Times New Roman" w:eastAsia="Times New Roman" w:hAnsi="Times New Roman"/>
          <w:sz w:val="24"/>
          <w:szCs w:val="24"/>
        </w:rPr>
        <w:t xml:space="preserve">. NLE, ABA ve BAL için rotamer kütüphanesi eksikliği bu amino asitler hakkında enerji temelli yorum yapılmasını engellemektedir. Boltz-2 statik yapı tahminleri ATP/ADP döngüsüne bağlı allosterik dinamikleri yansıtamamaktadır. Ayrıca kalan 32 Boltz-2 işinin hesaplama kapasitesi kısıtları nedeniyle tamamlanamamış olması, bazı amino asit–pozisyon kombinasyonlarının değerlendirilememiş kalmasına yol açmıştır.</w:t>
      </w:r>
    </w:p>
    <w:p>
      <w:pPr>
        <w:pStyle w:val="Heading2"/>
        <w:spacing w:after="160" w:before="320"/>
      </w:pPr>
      <w:r>
        <w:rPr>
          <w:rFonts w:ascii="Times New Roman" w:cs="Times New Roman" w:eastAsia="Times New Roman" w:hAnsi="Times New Roman"/>
          <w:b/>
          <w:bCs/>
          <w:sz w:val="26"/>
          <w:szCs w:val="26"/>
        </w:rPr>
        <w:t xml:space="preserve">5.2. Gelecek Çalışmalar</w:t>
      </w:r>
    </w:p>
    <w:p>
      <w:pPr>
        <w:spacing w:after="160" w:before="0" w:line="480"/>
        <w:ind w:firstLine="720"/>
        <w:jc w:val="both"/>
      </w:pPr>
      <w:r>
        <w:rPr>
          <w:rFonts w:ascii="Times New Roman" w:cs="Times New Roman" w:eastAsia="Times New Roman" w:hAnsi="Times New Roman"/>
          <w:sz w:val="24"/>
          <w:szCs w:val="24"/>
        </w:rPr>
        <w:t xml:space="preserve">Flex ddG protokolü ile backbone minimizasyonu içeren ΔΔG hesaplamalarının tekrar edilmesi, daha güvenilir sonuçlar verecektir. NLE, ABA ve BAL için FoldX veya Rosetta Relax tabanlı alternatif hesaplamalar yapılmalıdır. Kararlı NVA mutantları için moleküler dinamik simülasyonları ile allosterik dinamikler incelenmelidir. Substrat peptid doking analizi ile NVA mutantlarının bağlama afinitesindeki değişimler araştırılmalıdır. Uzun vadede, amber stop kodon baskılama ile non-kanonik amino asit inkorporasyon deneyleri in vitro doğrulama sağlayacaktır.</w:t>
      </w:r>
    </w:p>
    <w:p>
      <w:r>
        <w:br w:type="page"/>
      </w:r>
    </w:p>
    <w:p>
      <w:pPr>
        <w:pStyle w:val="Heading1"/>
        <w:spacing w:after="240" w:before="480"/>
      </w:pPr>
      <w:r>
        <w:rPr>
          <w:rFonts w:ascii="Times New Roman" w:cs="Times New Roman" w:eastAsia="Times New Roman" w:hAnsi="Times New Roman"/>
          <w:b/>
          <w:bCs/>
          <w:sz w:val="28"/>
          <w:szCs w:val="28"/>
        </w:rPr>
        <w:t xml:space="preserve">6. Sonuç</w:t>
      </w:r>
    </w:p>
    <w:p>
      <w:pPr>
        <w:spacing w:after="160" w:before="0" w:line="480"/>
        <w:ind w:firstLine="720"/>
        <w:jc w:val="both"/>
      </w:pPr>
      <w:r>
        <w:rPr>
          <w:rFonts w:ascii="Times New Roman" w:cs="Times New Roman" w:eastAsia="Times New Roman" w:hAnsi="Times New Roman"/>
          <w:sz w:val="24"/>
          <w:szCs w:val="24"/>
        </w:rPr>
        <w:t xml:space="preserve">Bu çalışmada, Bennu asteroidi kökenli yedi non-kanonik amino asidin DnaK şaperon proteininin linker (L390–L391) ve SBD (A429–A435) bölgelerindeki etkileri PyRosetta </w:t>
      </w:r>
      <w:hyperlink w:history="1" w:anchor="ref_7">
        <w:r>
          <w:rPr>
            <w:rFonts w:ascii="Times New Roman" w:cs="Times New Roman" w:eastAsia="Times New Roman" w:hAnsi="Times New Roman"/>
            <w:color w:val="0563C1"/>
            <w:sz w:val="18"/>
            <w:szCs w:val="18"/>
            <w:vertAlign w:val="superscript"/>
          </w:rPr>
          <w:t xml:space="preserve">[7]</w:t>
        </w:r>
      </w:hyperlink>
      <w:r>
        <w:rPr>
          <w:rFonts w:ascii="Times New Roman" w:cs="Times New Roman" w:eastAsia="Times New Roman" w:hAnsi="Times New Roman"/>
          <w:sz w:val="24"/>
          <w:szCs w:val="24"/>
        </w:rPr>
        <w:t xml:space="preserve"> enerji hesaplamaları ve Boltz-2 yapısal tahminleriyle in silico olarak değerlendirilmiştir.</w:t>
      </w:r>
    </w:p>
    <w:p>
      <w:pPr>
        <w:spacing w:after="160" w:before="0" w:line="480"/>
        <w:ind w:firstLine="720"/>
        <w:jc w:val="both"/>
      </w:pPr>
      <w:r>
        <w:rPr>
          <w:rFonts w:ascii="Times New Roman" w:cs="Times New Roman" w:eastAsia="Times New Roman" w:hAnsi="Times New Roman"/>
          <w:sz w:val="24"/>
          <w:szCs w:val="24"/>
        </w:rPr>
        <w:t xml:space="preserve">Temel bulgular: NVA linker bölgesinde güçlü stabilize edici etki göstermiş (ΔΔG = −6.090 REU, çift mutasyon) ve Boltz-2 analizleriyle uyumlu biçimde global backbone geometrisini koruyarak lokal konformasyonel adaptasyon sergilemiştir </w:t>
      </w:r>
      <w:hyperlink w:history="1" w:anchor="ref_1">
        <w:r>
          <w:rPr>
            <w:rFonts w:ascii="Times New Roman" w:cs="Times New Roman" w:eastAsia="Times New Roman" w:hAnsi="Times New Roman"/>
            <w:color w:val="0563C1"/>
            <w:sz w:val="18"/>
            <w:szCs w:val="18"/>
            <w:vertAlign w:val="superscript"/>
          </w:rPr>
          <w:t xml:space="preserve">[1,9]</w:t>
        </w:r>
      </w:hyperlink>
      <w:r>
        <w:rPr>
          <w:rFonts w:ascii="Times New Roman" w:cs="Times New Roman" w:eastAsia="Times New Roman" w:hAnsi="Times New Roman"/>
          <w:sz w:val="24"/>
          <w:szCs w:val="24"/>
        </w:rPr>
        <w:t xml:space="preserve">. VAL linker L390'da stabilize edici etki sağlarken diğer pozisyonlarda destabilize edici bulunmuştur. ILE ve AIB tüm pozisyonlarda belirgin destabilizasyon üretmiştir; SBD'de ILE için 517 REU'ya ulaşan aşırı değerler elde edilmiştir. NLE, ABA ve BAL hesaplanamaz bulunmuştur.</w:t>
      </w:r>
    </w:p>
    <w:p>
      <w:pPr>
        <w:spacing w:after="160" w:before="0" w:line="480"/>
        <w:ind w:firstLine="720"/>
        <w:jc w:val="both"/>
      </w:pPr>
      <w:r>
        <w:rPr>
          <w:rFonts w:ascii="Times New Roman" w:cs="Times New Roman" w:eastAsia="Times New Roman" w:hAnsi="Times New Roman"/>
          <w:sz w:val="24"/>
          <w:szCs w:val="24"/>
        </w:rPr>
        <w:t xml:space="preserve">Bu bulgular, non-kanonik amino asit uyumluluğunun amino asidin yapısal özelliklerine ve protein içi pozisyona göre büyük farklılıklar gösterdiğini açıkça ortaya koymaktadır. NVA'nın linker bölgesindeki olumlu enerji profili, bu amino asidin erken Dünya'ya asteroid çarpması yoluyla taşınması halinde ilkel şaperon öncüllerine entegre olmuş olabileceği hipotezini destekler niteliktedir </w:t>
      </w:r>
      <w:hyperlink w:history="1" w:anchor="ref_3">
        <w:r>
          <w:rPr>
            <w:rFonts w:ascii="Times New Roman" w:cs="Times New Roman" w:eastAsia="Times New Roman" w:hAnsi="Times New Roman"/>
            <w:color w:val="0563C1"/>
            <w:sz w:val="18"/>
            <w:szCs w:val="18"/>
            <w:vertAlign w:val="superscript"/>
          </w:rPr>
          <w:t xml:space="preserve">[3,8]</w:t>
        </w:r>
      </w:hyperlink>
      <w:r>
        <w:rPr>
          <w:rFonts w:ascii="Times New Roman" w:cs="Times New Roman" w:eastAsia="Times New Roman" w:hAnsi="Times New Roman"/>
          <w:sz w:val="24"/>
          <w:szCs w:val="24"/>
        </w:rPr>
        <w:t xml:space="preserve">. Bu çalışma, in silico yöntemlerle astrobiyolojik bir hipotezi test eden disiplinlerarası bir yaklaşım sunmakta ve deneysel takip çalışmaları için zemin hazırlamaktadır.</w:t>
      </w:r>
    </w:p>
    <w:p>
      <w:r>
        <w:br w:type="page"/>
      </w:r>
    </w:p>
    <w:p>
      <w:pPr>
        <w:pStyle w:val="Heading1"/>
        <w:spacing w:after="240" w:before="480"/>
      </w:pPr>
      <w:r>
        <w:rPr>
          <w:rFonts w:ascii="Times New Roman" w:cs="Times New Roman" w:eastAsia="Times New Roman" w:hAnsi="Times New Roman"/>
          <w:b/>
          <w:bCs/>
          <w:sz w:val="28"/>
          <w:szCs w:val="28"/>
        </w:rPr>
        <w:t xml:space="preserve">Kaynakça</w:t>
      </w:r>
    </w:p>
    <w:p>
      <w:pPr>
        <w:spacing w:after="120" w:before="0"/>
      </w:pPr>
      <w:r>
        <w:t xml:space="preserve"/>
      </w:r>
    </w:p>
    <w:p>
      <w:pPr>
        <w:spacing w:after="200" w:before="0" w:line="480"/>
        <w:ind w:left="720" w:hanging="720"/>
      </w:pPr>
      <w:bookmarkStart w:name="ref_1" w:id="1"/>
      <w:bookmarkEnd w:id="2"/>
      <w:r>
        <w:rPr>
          <w:rFonts w:ascii="Times New Roman" w:cs="Times New Roman" w:eastAsia="Times New Roman" w:hAnsi="Times New Roman"/>
          <w:sz w:val="22"/>
          <w:szCs w:val="22"/>
        </w:rPr>
        <w:t xml:space="preserve">1. Bertelsen, E. B., Chang, L., Gestwicki, J. E., &amp; Zuiderweg, E. R. (2009). Solution conformation of wild-type E. coli Hsp70 (DnaK) chaperone complexed with ADP and substrate. Proceedings of the National Academy of Sciences, 106(20), 8471–8476. https://doi.org/10.1073/pnas.0903503106</w:t>
      </w:r>
      <w:bookmarkStart w:name="ref_1" w:id="3"/>
      <w:bookmarkEnd w:id="4"/>
    </w:p>
    <w:p>
      <w:pPr>
        <w:spacing w:after="200" w:before="0" w:line="480"/>
        <w:ind w:left="720" w:hanging="720"/>
      </w:pPr>
      <w:bookmarkStart w:name="ref_2" w:id="5"/>
      <w:bookmarkEnd w:id="6"/>
      <w:r>
        <w:rPr>
          <w:rFonts w:ascii="Times New Roman" w:cs="Times New Roman" w:eastAsia="Times New Roman" w:hAnsi="Times New Roman"/>
          <w:sz w:val="22"/>
          <w:szCs w:val="22"/>
        </w:rPr>
        <w:t xml:space="preserve">2. Bukau, B., &amp; Horwich, A. L. (1998). The Hsp70 and Hsp60 chaperone machines. Cell, 92(3), 351–366. https://doi.org/10.1016/S0092-8674(00)80928-9</w:t>
      </w:r>
      <w:bookmarkStart w:name="ref_2" w:id="7"/>
      <w:bookmarkEnd w:id="8"/>
    </w:p>
    <w:p>
      <w:pPr>
        <w:spacing w:after="200" w:before="0" w:line="480"/>
        <w:ind w:left="720" w:hanging="720"/>
      </w:pPr>
      <w:bookmarkStart w:name="ref_3" w:id="9"/>
      <w:bookmarkEnd w:id="10"/>
      <w:r>
        <w:rPr>
          <w:rFonts w:ascii="Times New Roman" w:cs="Times New Roman" w:eastAsia="Times New Roman" w:hAnsi="Times New Roman"/>
          <w:sz w:val="22"/>
          <w:szCs w:val="22"/>
        </w:rPr>
        <w:t xml:space="preserve">3. Glavin, D. P., Burton, A. S., Elsila, J. E., Aponte, J. C., &amp; Dworkin, J. P. (2023). The significance of meteoritic amino acids. Chemical Reviews, 123(21), 12478–12528. https://doi.org/10.1021/acs.chemrev.3c00247</w:t>
      </w:r>
      <w:bookmarkStart w:name="ref_3" w:id="11"/>
      <w:bookmarkEnd w:id="12"/>
    </w:p>
    <w:p>
      <w:pPr>
        <w:spacing w:after="200" w:before="0" w:line="480"/>
        <w:ind w:left="720" w:hanging="720"/>
      </w:pPr>
      <w:bookmarkStart w:name="ref_4" w:id="13"/>
      <w:bookmarkEnd w:id="14"/>
      <w:r>
        <w:rPr>
          <w:rFonts w:ascii="Times New Roman" w:cs="Times New Roman" w:eastAsia="Times New Roman" w:hAnsi="Times New Roman"/>
          <w:sz w:val="22"/>
          <w:szCs w:val="22"/>
        </w:rPr>
        <w:t xml:space="preserve">4. Hartl, F. U., Bracher, A., &amp; Hayer-Hartl, M. (2011). Molecular chaperones in protein folding and proteostasis. Nature, 475(7356), 324–332. https://doi.org/10.1038/nature10317</w:t>
      </w:r>
      <w:bookmarkStart w:name="ref_4" w:id="15"/>
      <w:bookmarkEnd w:id="16"/>
    </w:p>
    <w:p>
      <w:pPr>
        <w:spacing w:after="200" w:before="0" w:line="480"/>
        <w:ind w:left="720" w:hanging="720"/>
      </w:pPr>
      <w:bookmarkStart w:name="ref_5" w:id="17"/>
      <w:bookmarkEnd w:id="18"/>
      <w:r>
        <w:rPr>
          <w:rFonts w:ascii="Times New Roman" w:cs="Times New Roman" w:eastAsia="Times New Roman" w:hAnsi="Times New Roman"/>
          <w:sz w:val="22"/>
          <w:szCs w:val="22"/>
        </w:rPr>
        <w:t xml:space="preserve">5. Laufen, T., Mayer, M. P., Beisel, C., Klostermeier, D., Mogk, A., Reinstein, J., &amp; Bukau, B. (1999). Mechanism of regulation of Hsp70 chaperones by DnaJ cochaperones. Proceedings of the National Academy of Sciences, 96(10), 5452–5457. https://doi.org/10.1073/pnas.96.10.5452</w:t>
      </w:r>
      <w:bookmarkStart w:name="ref_5" w:id="19"/>
      <w:bookmarkEnd w:id="20"/>
    </w:p>
    <w:p>
      <w:pPr>
        <w:spacing w:after="200" w:before="0" w:line="480"/>
        <w:ind w:left="720" w:hanging="720"/>
      </w:pPr>
      <w:bookmarkStart w:name="ref_6" w:id="21"/>
      <w:bookmarkEnd w:id="22"/>
      <w:r>
        <w:rPr>
          <w:rFonts w:ascii="Times New Roman" w:cs="Times New Roman" w:eastAsia="Times New Roman" w:hAnsi="Times New Roman"/>
          <w:sz w:val="22"/>
          <w:szCs w:val="22"/>
        </w:rPr>
        <w:t xml:space="preserve">6. Mayer, M. P. (2010). Gymnastics of molecular chaperones. Molecular Cell, 39(3), 321–331. https://doi.org/10.1016/j.molcel.2010.07.012</w:t>
      </w:r>
      <w:bookmarkStart w:name="ref_6" w:id="23"/>
      <w:bookmarkEnd w:id="24"/>
    </w:p>
    <w:p>
      <w:pPr>
        <w:spacing w:after="200" w:before="0" w:line="480"/>
        <w:ind w:left="720" w:hanging="720"/>
      </w:pPr>
      <w:bookmarkStart w:name="ref_7" w:id="25"/>
      <w:bookmarkEnd w:id="26"/>
      <w:r>
        <w:rPr>
          <w:rFonts w:ascii="Times New Roman" w:cs="Times New Roman" w:eastAsia="Times New Roman" w:hAnsi="Times New Roman"/>
          <w:sz w:val="22"/>
          <w:szCs w:val="22"/>
        </w:rPr>
        <w:t xml:space="preserve">7. Park, H., Bradley, P., Greisen, P., Jr., Liu, Y., Mulligan, V. K., Kim, D. E., Baker, D., &amp; DiMaio, F. (2016). Simultaneous optimization of biomolecular energy functions on features from small molecules and macromolecules. Journal of Chemical Theory and Computation, 12(12), 6201–6212. https://doi.org/10.1021/acs.jctc.6b00819</w:t>
      </w:r>
      <w:bookmarkStart w:name="ref_7" w:id="27"/>
      <w:bookmarkEnd w:id="28"/>
    </w:p>
    <w:p>
      <w:pPr>
        <w:spacing w:after="200" w:before="0" w:line="480"/>
        <w:ind w:left="720" w:hanging="720"/>
      </w:pPr>
      <w:bookmarkStart w:name="ref_8" w:id="29"/>
      <w:bookmarkEnd w:id="30"/>
      <w:r>
        <w:rPr>
          <w:rFonts w:ascii="Times New Roman" w:cs="Times New Roman" w:eastAsia="Times New Roman" w:hAnsi="Times New Roman"/>
          <w:sz w:val="22"/>
          <w:szCs w:val="22"/>
        </w:rPr>
        <w:t xml:space="preserve">8. Pizzarello, S., &amp; Shock, E. (2010). The organic composition of carbonaceous meteorites: The evolutionary story ahead of biochemistry. Cold Spring Harbor Perspectives in Biology, 2(3), a002105. https://doi.org/10.1101/cshperspect.a002105</w:t>
      </w:r>
      <w:bookmarkStart w:name="ref_8" w:id="31"/>
      <w:bookmarkEnd w:id="32"/>
    </w:p>
    <w:p>
      <w:pPr>
        <w:spacing w:after="200" w:before="0" w:line="480"/>
        <w:ind w:left="720" w:hanging="720"/>
      </w:pPr>
      <w:bookmarkStart w:name="ref_9" w:id="33"/>
      <w:bookmarkEnd w:id="34"/>
      <w:r>
        <w:rPr>
          <w:rFonts w:ascii="Times New Roman" w:cs="Times New Roman" w:eastAsia="Times New Roman" w:hAnsi="Times New Roman"/>
          <w:sz w:val="22"/>
          <w:szCs w:val="22"/>
        </w:rPr>
        <w:t xml:space="preserve">9. Swain, J. F., Dinler, G., Sivendran, R., Montgomery, D. L., Stotz, M., &amp; Gierasch, L. M. (2007). Hsp70 chaperone ligands control domain association via an allosteric mechanism mediated by the interdomain linker. Molecular Cell, 26(1), 27–39. https://doi.org/10.1016/j.molcel.2007.02.020</w:t>
      </w:r>
      <w:bookmarkStart w:name="ref_9" w:id="35"/>
      <w:bookmarkEnd w:id="36"/>
    </w:p>
    <w:p>
      <w:pPr>
        <w:spacing w:after="200" w:before="0" w:line="480"/>
        <w:ind w:left="720" w:hanging="720"/>
      </w:pPr>
      <w:bookmarkStart w:name="ref_10" w:id="37"/>
      <w:bookmarkEnd w:id="38"/>
      <w:r>
        <w:rPr>
          <w:rFonts w:ascii="Times New Roman" w:cs="Times New Roman" w:eastAsia="Times New Roman" w:hAnsi="Times New Roman"/>
          <w:sz w:val="22"/>
          <w:szCs w:val="22"/>
        </w:rPr>
        <w:t xml:space="preserve">10. Toniolo, C., &amp; Benedetti, E. (1991). The polypeptide 3(10)-helix. Trends in Biochemical Sciences, 16, 350–353. https://doi.org/10.1016/0968-0004(91)90141-U</w:t>
      </w:r>
      <w:bookmarkStart w:name="ref_10" w:id="39"/>
      <w:bookmarkEnd w:id="40"/>
    </w:p>
    <w:p>
      <w:pPr>
        <w:spacing w:after="200" w:before="0" w:line="480"/>
        <w:ind w:left="720" w:hanging="720"/>
      </w:pPr>
      <w:bookmarkStart w:name="ref_11" w:id="41"/>
      <w:bookmarkEnd w:id="42"/>
      <w:r>
        <w:rPr>
          <w:rFonts w:ascii="Times New Roman" w:cs="Times New Roman" w:eastAsia="Times New Roman" w:hAnsi="Times New Roman"/>
          <w:sz w:val="22"/>
          <w:szCs w:val="22"/>
        </w:rPr>
        <w:t xml:space="preserve">11. Zhu, X., Zhao, X., Burkholder, W. F., Gragerov, A., Ogata, C. M., Gottesman, M. E., &amp; Hendrickson, W. A. (1996). Structural analysis of substrate binding by the molecular chaperone DnaK. Science, 272(5268), 1606–1614. https://doi.org/10.1126/science.272.5268.1606</w:t>
      </w:r>
      <w:bookmarkStart w:name="ref_11" w:id="43"/>
      <w:bookmarkEnd w:id="44"/>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6c8a7df929c2ae7071e867fb713db0ed0e099c9.jpg"/><Relationship Id="rId9" Type="http://schemas.openxmlformats.org/officeDocument/2006/relationships/image" Target="media/deb21f51311403eecdf53748fbd37029c8ceaea1.jpg"/><Relationship Id="rId10" Type="http://schemas.openxmlformats.org/officeDocument/2006/relationships/image" Target="media/061d5718caa4a226853baa61114dec8cc76f4608.jpg"/><Relationship Id="rId11" Type="http://schemas.openxmlformats.org/officeDocument/2006/relationships/image" Target="media/6ce9841d8b705d0bda86c420d6733621d6f7e08a.jpg"/><Relationship Id="rId12" Type="http://schemas.openxmlformats.org/officeDocument/2006/relationships/image" Target="media/6d9de2dd3e614e5b51bd878115467f7acb990d11.jpg"/><Relationship Id="rId13" Type="http://schemas.openxmlformats.org/officeDocument/2006/relationships/image" Target="media/73b79e62b06c445a4b41e0ee4cf4bef76c1829bb.jpg"/><Relationship Id="rId14" Type="http://schemas.openxmlformats.org/officeDocument/2006/relationships/image" Target="media/638306de07944a5b3b5a23606e07404f2328ac0d.jpg"/><Relationship Id="rId15" Type="http://schemas.openxmlformats.org/officeDocument/2006/relationships/image" Target="media/32fdea8fd826ac8588d9095a32e1025cc9a91df1.jpg"/><Relationship Id="rId16" Type="http://schemas.openxmlformats.org/officeDocument/2006/relationships/image" Target="media/8620b9b7c688351031051730c9b31fe50736faf6.jpg"/><Relationship Id="rId17" Type="http://schemas.openxmlformats.org/officeDocument/2006/relationships/image" Target="media/a6bcf500fd6f59f5012b613922bbb2f5603699bf.jpg"/><Relationship Id="rId18" Type="http://schemas.openxmlformats.org/officeDocument/2006/relationships/image" Target="media/de8c654b68f02b79e380a88e6e74a7d11c17dfda.jpg"/><Relationship Id="rId19" Type="http://schemas.openxmlformats.org/officeDocument/2006/relationships/image" Target="media/e1bcc26a6dadbdb26f088ad44e5f54f82e52efd2.jpg"/><Relationship Id="rId20" Type="http://schemas.openxmlformats.org/officeDocument/2006/relationships/image" Target="media/ddd4a42dfdb50962ee1f4be66c7c79d58a0919c7.jpg"/><Relationship Id="rId21" Type="http://schemas.openxmlformats.org/officeDocument/2006/relationships/image" Target="media/9a1431be0fa69a8012f8b9ba0c83ddac3f485a5b.jpg"/><Relationship Id="rId22" Type="http://schemas.openxmlformats.org/officeDocument/2006/relationships/image" Target="media/3ce5c1c72d29c73d396a1af5231b81028e85e73e.jpg"/><Relationship Id="rId23" Type="http://schemas.openxmlformats.org/officeDocument/2006/relationships/image" Target="media/baa000d3ab1c16124f3d37574f871495d978bb98.jpg"/><Relationship Id="rId24" Type="http://schemas.openxmlformats.org/officeDocument/2006/relationships/image" Target="media/f9c8955e8a33f13ea943b70563b4900683d88c36.jpg"/><Relationship Id="rId25" Type="http://schemas.openxmlformats.org/officeDocument/2006/relationships/image" Target="media/649bafc3e3136a7471d0bf5fdd0d83317ede7675.jpg"/><Relationship Id="rId26" Type="http://schemas.openxmlformats.org/officeDocument/2006/relationships/image" Target="media/a8a71184e59512c25dafda218dc628e66d1d82f3.jpg"/><Relationship Id="rId27" Type="http://schemas.openxmlformats.org/officeDocument/2006/relationships/image" Target="media/bcea65b5bcf272c9c6e5cee3f05446ae80aba41e.jpg"/><Relationship Id="rId28" Type="http://schemas.openxmlformats.org/officeDocument/2006/relationships/image" Target="media/b631cb7636aed9f711732aa350f5b14b0699733c.jpg"/><Relationship Id="rId29" Type="http://schemas.openxmlformats.org/officeDocument/2006/relationships/image" Target="media/a0b779bfa410f2b9cbcbfaba1fae5ee074f4dec0.jpg"/><Relationship Id="rId30" Type="http://schemas.openxmlformats.org/officeDocument/2006/relationships/image" Target="media/3a3e84559e226f35caac07ec577d214fdacdecb4.jpg"/><Relationship Id="rId31" Type="http://schemas.openxmlformats.org/officeDocument/2006/relationships/image" Target="media/2ed13f9a8d51f6d50a6dba6d8fc007712e254cc2.jpg"/><Relationship Id="rId32" Type="http://schemas.openxmlformats.org/officeDocument/2006/relationships/image" Target="media/69d0e55da9c5f7b587dcad65b185ff51a0e0a281.jpg"/><Relationship Id="rId33" Type="http://schemas.openxmlformats.org/officeDocument/2006/relationships/image" Target="media/0023dbb5c10df6c7956bf220e47e0d43f6c2b545.jpg"/><Relationship Id="rId34" Type="http://schemas.openxmlformats.org/officeDocument/2006/relationships/image" Target="media/005b51fb9d19168dac6759172641307838732c45.jpg"/><Relationship Id="rId35" Type="http://schemas.openxmlformats.org/officeDocument/2006/relationships/image" Target="media/9270647ad1be7f00e24fe19712812ed4e0dc7a08.jpg"/><Relationship Id="rId36" Type="http://schemas.openxmlformats.org/officeDocument/2006/relationships/image" Target="media/509acd9f3a36088e06b237eba6fa58e8a82fc95d.jpg"/><Relationship Id="rId37" Type="http://schemas.openxmlformats.org/officeDocument/2006/relationships/image" Target="media/e5b3f7387220f6fb69d027b7d131c620fc4d5567.jp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2026-06-09T11:20:47.921Z</dcterms:created>
  <dcterms:modified xsi:type="dcterms:W3CDTF">2026-06-09T11:20:47.921Z</dcterms:modified>
</cp:coreProperties>
</file>

<file path=docProps/custom.xml><?xml version="1.0" encoding="utf-8"?>
<Properties xmlns="http://schemas.openxmlformats.org/officeDocument/2006/custom-properties" xmlns:vt="http://schemas.openxmlformats.org/officeDocument/2006/docPropsVTypes"/>
</file>