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DE59F" w14:textId="77777777" w:rsidR="00310DD5" w:rsidRPr="00310DD5" w:rsidRDefault="00310DD5" w:rsidP="00310DD5">
      <w:pPr>
        <w:spacing w:after="100"/>
        <w:jc w:val="center"/>
        <w:rPr>
          <w:sz w:val="24"/>
          <w:szCs w:val="24"/>
        </w:rPr>
      </w:pPr>
      <w:r w:rsidRPr="00310DD5">
        <w:rPr>
          <w:b/>
          <w:bCs/>
          <w:color w:val="1F497D"/>
          <w:sz w:val="48"/>
          <w:szCs w:val="48"/>
        </w:rPr>
        <w:t xml:space="preserve">SSKZM OLD </w:t>
      </w:r>
      <w:proofErr w:type="gramStart"/>
      <w:r w:rsidRPr="00310DD5">
        <w:rPr>
          <w:b/>
          <w:bCs/>
          <w:color w:val="1F497D"/>
          <w:sz w:val="48"/>
          <w:szCs w:val="48"/>
        </w:rPr>
        <w:t>BOYS</w:t>
      </w:r>
      <w:proofErr w:type="gramEnd"/>
      <w:r w:rsidRPr="00310DD5">
        <w:rPr>
          <w:b/>
          <w:bCs/>
          <w:color w:val="1F497D"/>
          <w:sz w:val="48"/>
          <w:szCs w:val="48"/>
        </w:rPr>
        <w:t xml:space="preserve"> ASSOCIATION</w:t>
      </w:r>
    </w:p>
    <w:p w14:paraId="09DEDBE8" w14:textId="77777777" w:rsidR="00310DD5" w:rsidRPr="00310DD5" w:rsidRDefault="00310DD5" w:rsidP="00310DD5">
      <w:pPr>
        <w:rPr>
          <w:sz w:val="24"/>
          <w:szCs w:val="24"/>
        </w:rPr>
      </w:pPr>
    </w:p>
    <w:p w14:paraId="45A71046" w14:textId="77777777" w:rsidR="00310DD5" w:rsidRPr="00310DD5" w:rsidRDefault="00310DD5" w:rsidP="00310DD5">
      <w:pPr>
        <w:spacing w:after="80"/>
        <w:jc w:val="center"/>
        <w:rPr>
          <w:sz w:val="24"/>
          <w:szCs w:val="24"/>
        </w:rPr>
      </w:pPr>
      <w:r w:rsidRPr="00310DD5">
        <w:rPr>
          <w:b/>
          <w:bCs/>
          <w:color w:val="1F497D"/>
          <w:sz w:val="44"/>
          <w:szCs w:val="44"/>
        </w:rPr>
        <w:t>BYLAWS – ARTICLE IV SECTION 1A</w:t>
      </w:r>
    </w:p>
    <w:p w14:paraId="352821BA" w14:textId="77777777" w:rsidR="00310DD5" w:rsidRPr="00310DD5" w:rsidRDefault="00310DD5" w:rsidP="00310DD5">
      <w:pPr>
        <w:rPr>
          <w:sz w:val="24"/>
          <w:szCs w:val="24"/>
        </w:rPr>
      </w:pPr>
    </w:p>
    <w:p w14:paraId="5FA29D4F" w14:textId="77777777" w:rsidR="00310DD5" w:rsidRPr="00310DD5" w:rsidRDefault="00310DD5" w:rsidP="00310DD5">
      <w:pPr>
        <w:spacing w:after="80"/>
        <w:jc w:val="center"/>
        <w:rPr>
          <w:sz w:val="24"/>
          <w:szCs w:val="24"/>
        </w:rPr>
      </w:pPr>
      <w:r w:rsidRPr="00310DD5">
        <w:rPr>
          <w:b/>
          <w:bCs/>
          <w:color w:val="000000"/>
          <w:sz w:val="36"/>
          <w:szCs w:val="36"/>
        </w:rPr>
        <w:t>Proposed Sub Section (iii) - Elections</w:t>
      </w:r>
      <w:r w:rsidRPr="00310DD5">
        <w:rPr>
          <w:color w:val="000000"/>
          <w:sz w:val="32"/>
          <w:szCs w:val="32"/>
        </w:rPr>
        <w:t>  </w:t>
      </w:r>
    </w:p>
    <w:p w14:paraId="7C79B723" w14:textId="77777777" w:rsidR="00310DD5" w:rsidRPr="00310DD5" w:rsidRDefault="00310DD5" w:rsidP="00310DD5">
      <w:pPr>
        <w:spacing w:after="240"/>
        <w:rPr>
          <w:sz w:val="24"/>
          <w:szCs w:val="24"/>
        </w:rPr>
      </w:pPr>
      <w:r w:rsidRPr="00310DD5">
        <w:rPr>
          <w:sz w:val="24"/>
          <w:szCs w:val="24"/>
        </w:rPr>
        <w:br/>
      </w:r>
      <w:r w:rsidRPr="00310DD5">
        <w:rPr>
          <w:sz w:val="24"/>
          <w:szCs w:val="24"/>
        </w:rPr>
        <w:br/>
      </w:r>
      <w:r w:rsidRPr="00310DD5">
        <w:rPr>
          <w:sz w:val="24"/>
          <w:szCs w:val="24"/>
        </w:rPr>
        <w:br/>
      </w:r>
      <w:r w:rsidRPr="00310DD5">
        <w:rPr>
          <w:sz w:val="24"/>
          <w:szCs w:val="24"/>
        </w:rPr>
        <w:br/>
      </w:r>
      <w:r w:rsidRPr="00310DD5">
        <w:rPr>
          <w:sz w:val="24"/>
          <w:szCs w:val="24"/>
        </w:rPr>
        <w:br/>
      </w:r>
      <w:r w:rsidRPr="00310DD5">
        <w:rPr>
          <w:sz w:val="24"/>
          <w:szCs w:val="24"/>
        </w:rPr>
        <w:br/>
      </w:r>
      <w:r w:rsidRPr="00310DD5">
        <w:rPr>
          <w:sz w:val="24"/>
          <w:szCs w:val="24"/>
        </w:rPr>
        <w:br/>
      </w:r>
      <w:r w:rsidRPr="00310DD5">
        <w:rPr>
          <w:sz w:val="24"/>
          <w:szCs w:val="24"/>
        </w:rPr>
        <w:br/>
      </w:r>
      <w:r w:rsidRPr="00310DD5">
        <w:rPr>
          <w:sz w:val="24"/>
          <w:szCs w:val="24"/>
        </w:rPr>
        <w:br/>
      </w:r>
      <w:r w:rsidRPr="00310DD5">
        <w:rPr>
          <w:sz w:val="24"/>
          <w:szCs w:val="24"/>
        </w:rPr>
        <w:br/>
      </w:r>
      <w:r w:rsidRPr="00310DD5">
        <w:rPr>
          <w:sz w:val="24"/>
          <w:szCs w:val="24"/>
        </w:rPr>
        <w:br/>
      </w:r>
      <w:r w:rsidRPr="00310DD5">
        <w:rPr>
          <w:sz w:val="24"/>
          <w:szCs w:val="24"/>
        </w:rPr>
        <w:br/>
      </w:r>
      <w:r w:rsidRPr="00310DD5">
        <w:rPr>
          <w:sz w:val="24"/>
          <w:szCs w:val="24"/>
        </w:rPr>
        <w:br/>
      </w:r>
      <w:r w:rsidRPr="00310DD5">
        <w:rPr>
          <w:sz w:val="24"/>
          <w:szCs w:val="24"/>
        </w:rPr>
        <w:br/>
      </w:r>
      <w:r w:rsidRPr="00310DD5">
        <w:rPr>
          <w:sz w:val="24"/>
          <w:szCs w:val="24"/>
        </w:rPr>
        <w:br/>
      </w:r>
      <w:r w:rsidRPr="00310DD5">
        <w:rPr>
          <w:sz w:val="24"/>
          <w:szCs w:val="24"/>
        </w:rPr>
        <w:br/>
      </w:r>
      <w:r w:rsidRPr="00310DD5">
        <w:rPr>
          <w:sz w:val="24"/>
          <w:szCs w:val="24"/>
        </w:rPr>
        <w:br/>
      </w:r>
    </w:p>
    <w:p w14:paraId="6473B8F1" w14:textId="77777777" w:rsidR="00310DD5" w:rsidRPr="00310DD5" w:rsidRDefault="00310DD5" w:rsidP="00310DD5">
      <w:pPr>
        <w:spacing w:before="280" w:after="120"/>
        <w:rPr>
          <w:sz w:val="24"/>
          <w:szCs w:val="24"/>
        </w:rPr>
      </w:pPr>
      <w:r w:rsidRPr="00310DD5">
        <w:rPr>
          <w:rFonts w:ascii="Arial" w:hAnsi="Arial" w:cs="Arial"/>
          <w:b/>
          <w:bCs/>
          <w:color w:val="000000"/>
          <w:sz w:val="28"/>
          <w:szCs w:val="28"/>
        </w:rPr>
        <w:t>Preamble</w:t>
      </w:r>
    </w:p>
    <w:p w14:paraId="468ADFE0"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t>The existing sub-section (iii) of Article IV Section 1A of the Bylaws of SSKZM OBA reads as follows:</w:t>
      </w:r>
    </w:p>
    <w:p w14:paraId="58BB648C" w14:textId="77777777" w:rsidR="00310DD5" w:rsidRPr="00310DD5" w:rsidRDefault="00310DD5" w:rsidP="00310DD5">
      <w:pPr>
        <w:rPr>
          <w:sz w:val="24"/>
          <w:szCs w:val="24"/>
        </w:rPr>
      </w:pPr>
    </w:p>
    <w:p w14:paraId="280D3656"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t xml:space="preserve">"The senior-most Old Boy present (by batch / roll no.) during the AGBM on Old </w:t>
      </w:r>
      <w:proofErr w:type="gramStart"/>
      <w:r w:rsidRPr="00310DD5">
        <w:rPr>
          <w:rFonts w:ascii="Arial" w:hAnsi="Arial" w:cs="Arial"/>
          <w:color w:val="000000"/>
          <w:sz w:val="22"/>
          <w:szCs w:val="22"/>
        </w:rPr>
        <w:t>Boys' day</w:t>
      </w:r>
      <w:proofErr w:type="gramEnd"/>
      <w:r w:rsidRPr="00310DD5">
        <w:rPr>
          <w:rFonts w:ascii="Arial" w:hAnsi="Arial" w:cs="Arial"/>
          <w:color w:val="000000"/>
          <w:sz w:val="22"/>
          <w:szCs w:val="22"/>
        </w:rPr>
        <w:t xml:space="preserve"> shall be the Returning Officer and shall conduct the elections of all the Office bearers at the Annual General Body Meeting. The President shall assist in conducting the election if the Returning Officer requests help, provided he is not seeking re-election. If it so happens that the President is the senior-most Old Boy, then the senior-most Old Boy (other than the EC members) present during the Annual General Body Meeting shall conduct the election. The Returning Officer shall be an Old Boy who is not standing for the elections."</w:t>
      </w:r>
    </w:p>
    <w:p w14:paraId="1DEA552A" w14:textId="77777777" w:rsidR="00310DD5" w:rsidRPr="00310DD5" w:rsidRDefault="00310DD5" w:rsidP="00310DD5">
      <w:pPr>
        <w:rPr>
          <w:sz w:val="24"/>
          <w:szCs w:val="24"/>
        </w:rPr>
      </w:pPr>
    </w:p>
    <w:p w14:paraId="41D1F085"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t>The above sub-section is replaced in its entirety by the following principle-based elections clause comprising sub-clauses (a) through (n). Sub-sections (iv), (v), and (vi) of Article IV — governing candidate eligibility for President and General Secretary and the tenure bar — are unchanged and remain in force.</w:t>
      </w:r>
    </w:p>
    <w:p w14:paraId="4491FDE0" w14:textId="77777777" w:rsidR="00310DD5" w:rsidRDefault="00310DD5" w:rsidP="00310DD5">
      <w:pPr>
        <w:spacing w:before="200" w:after="80"/>
        <w:rPr>
          <w:rFonts w:ascii="Arial" w:hAnsi="Arial" w:cs="Arial"/>
          <w:b/>
          <w:bCs/>
          <w:color w:val="000000"/>
          <w:sz w:val="22"/>
          <w:szCs w:val="22"/>
        </w:rPr>
      </w:pPr>
    </w:p>
    <w:p w14:paraId="2E04E400" w14:textId="515BA9E8" w:rsidR="00310DD5" w:rsidRPr="00310DD5" w:rsidRDefault="00310DD5" w:rsidP="00310DD5">
      <w:pPr>
        <w:spacing w:before="200" w:after="80"/>
        <w:rPr>
          <w:sz w:val="24"/>
          <w:szCs w:val="24"/>
        </w:rPr>
      </w:pPr>
      <w:r w:rsidRPr="00310DD5">
        <w:rPr>
          <w:rFonts w:ascii="Arial" w:hAnsi="Arial" w:cs="Arial"/>
          <w:b/>
          <w:bCs/>
          <w:color w:val="000000"/>
          <w:sz w:val="22"/>
          <w:szCs w:val="22"/>
        </w:rPr>
        <w:lastRenderedPageBreak/>
        <w:t>Clause (a) — Returning Officer</w:t>
      </w:r>
    </w:p>
    <w:p w14:paraId="0CABAAFF"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t>The Executive Committee shall, sufficiently in advance of the Annual General Body Meeting, ascertain the willingness of Life Members in order of seniority to serve as Returning Officer and publish a panel for member objection. The senior-most willing eligible member against whom no valid objection stands shall be appointed Returning Officer. The Executive Committee shall continue this process down the order of seniority until the role is filled. The procedure for selection, objection, and appointment shall be as specified in the Operating Procedures laid down from time to time.</w:t>
      </w:r>
    </w:p>
    <w:p w14:paraId="30CBA7B1" w14:textId="77777777" w:rsidR="00310DD5" w:rsidRPr="00310DD5" w:rsidRDefault="00310DD5" w:rsidP="00310DD5">
      <w:pPr>
        <w:spacing w:before="200" w:after="80"/>
        <w:rPr>
          <w:sz w:val="24"/>
          <w:szCs w:val="24"/>
        </w:rPr>
      </w:pPr>
      <w:r w:rsidRPr="00310DD5">
        <w:rPr>
          <w:rFonts w:ascii="Arial" w:hAnsi="Arial" w:cs="Arial"/>
          <w:b/>
          <w:bCs/>
          <w:color w:val="000000"/>
          <w:sz w:val="22"/>
          <w:szCs w:val="22"/>
        </w:rPr>
        <w:t>Clause (b) — Deputy Returning Officer</w:t>
      </w:r>
    </w:p>
    <w:p w14:paraId="0FED0DD7"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t>The Returning Officer may designate a Deputy Returning Officer from the panel published for the purpose of RO selection. The Deputy Returning Officer may be activated only upon the Returning Officer's confirmed unavailability and shall operate under the same authority and constraints as the Returning Officer for the duration of activation. The Deputy Returning Officer shall satisfy the same eligibility conditions as the Returning Officer. Every office of the Deputy Returning Officer shall be honorary. The procedure for designation, activation, and operation shall be as specified in the Operating Procedures laid down from time to time.</w:t>
      </w:r>
    </w:p>
    <w:p w14:paraId="1438B119" w14:textId="77777777" w:rsidR="00310DD5" w:rsidRPr="00310DD5" w:rsidRDefault="00310DD5" w:rsidP="00310DD5">
      <w:pPr>
        <w:spacing w:before="200" w:after="80"/>
        <w:rPr>
          <w:sz w:val="24"/>
          <w:szCs w:val="24"/>
        </w:rPr>
      </w:pPr>
      <w:r w:rsidRPr="00310DD5">
        <w:rPr>
          <w:rFonts w:ascii="Arial" w:hAnsi="Arial" w:cs="Arial"/>
          <w:b/>
          <w:bCs/>
          <w:color w:val="000000"/>
          <w:sz w:val="22"/>
          <w:szCs w:val="22"/>
        </w:rPr>
        <w:t>Clause (c) — Technical Election Manager</w:t>
      </w:r>
    </w:p>
    <w:p w14:paraId="5DEEC434"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t>The Returning Officer may, if deemed necessary, appoint a Technical Election Manager to assist in the administration of the election management system. The Technical Election Manager shall act solely under the direction and authorisation of the Returning Officer and shall have no independent constitutional authority over the conduct of the election. The Technical Election Manager shall preferably be a Life Member of the Association. Every office of the Technical Election Manager shall be honorary where the appointee is a Life Member. The procedure for appointment and operation shall be as specified in the Operating Procedures laid down from time to time.</w:t>
      </w:r>
    </w:p>
    <w:p w14:paraId="2BE9DA9B" w14:textId="77777777" w:rsidR="00310DD5" w:rsidRPr="00310DD5" w:rsidRDefault="00310DD5" w:rsidP="00310DD5">
      <w:pPr>
        <w:spacing w:before="200" w:after="80"/>
        <w:rPr>
          <w:sz w:val="24"/>
          <w:szCs w:val="24"/>
        </w:rPr>
      </w:pPr>
      <w:r w:rsidRPr="00310DD5">
        <w:rPr>
          <w:rFonts w:ascii="Arial" w:hAnsi="Arial" w:cs="Arial"/>
          <w:b/>
          <w:bCs/>
          <w:color w:val="000000"/>
          <w:sz w:val="22"/>
          <w:szCs w:val="22"/>
        </w:rPr>
        <w:t>Clause (d) — Scrutineers and Observers</w:t>
      </w:r>
    </w:p>
    <w:p w14:paraId="45742C5F"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t>The Executive Committee shall appoint not less than two Scrutineers to witness and verify the election process. Scrutineers shall be Life Members of the Association who are not contesting any post and are not members of the current Executive Committee. The Returning Officer may accredit Observers for the election, who may include representatives nominated by contesting candidates. Observers shall have access to aggregate participation data only and shall have no access to individual voter information or vote data. The duties of Scrutineers and Observers and the procedure for their appointment shall be as specified in the Operating Procedures laid down from time to time.</w:t>
      </w:r>
    </w:p>
    <w:p w14:paraId="14D71DF8" w14:textId="77777777" w:rsidR="00310DD5" w:rsidRPr="00310DD5" w:rsidRDefault="00310DD5" w:rsidP="00310DD5">
      <w:pPr>
        <w:spacing w:before="200" w:after="80"/>
        <w:rPr>
          <w:sz w:val="24"/>
          <w:szCs w:val="24"/>
        </w:rPr>
      </w:pPr>
      <w:r w:rsidRPr="00310DD5">
        <w:rPr>
          <w:rFonts w:ascii="Arial" w:hAnsi="Arial" w:cs="Arial"/>
          <w:b/>
          <w:bCs/>
          <w:color w:val="000000"/>
          <w:sz w:val="22"/>
          <w:szCs w:val="22"/>
        </w:rPr>
        <w:t>Clause (e) — Voter Roll</w:t>
      </w:r>
    </w:p>
    <w:p w14:paraId="1BA56453"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t>Only Life Members of the Association as on a cutoff date determined by the Executive Committee shall be entitled to vote in Executive Committee elections. The office bearers shall prepare a draft voter roll and hand it to the Returning Officer. The Returning Officer shall publish the draft voter roll for member objection, consider all objections received, and certify the final voter roll before the voting window opens. No additions, deletions, or corrections shall be made to the certified voter roll after certification under any circumstance. The procedure for preparation, publication, objection, and certification shall be as specified in the Operating Procedures laid down from time to time.</w:t>
      </w:r>
    </w:p>
    <w:p w14:paraId="33068497" w14:textId="77777777" w:rsidR="00310DD5" w:rsidRPr="00310DD5" w:rsidRDefault="00310DD5" w:rsidP="00310DD5">
      <w:pPr>
        <w:spacing w:before="200" w:after="80"/>
        <w:rPr>
          <w:sz w:val="24"/>
          <w:szCs w:val="24"/>
        </w:rPr>
      </w:pPr>
      <w:r w:rsidRPr="00310DD5">
        <w:rPr>
          <w:rFonts w:ascii="Arial" w:hAnsi="Arial" w:cs="Arial"/>
          <w:b/>
          <w:bCs/>
          <w:color w:val="000000"/>
          <w:sz w:val="22"/>
          <w:szCs w:val="22"/>
        </w:rPr>
        <w:t>Clause (f) — Nominations</w:t>
      </w:r>
    </w:p>
    <w:p w14:paraId="1C1976CA"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lastRenderedPageBreak/>
        <w:t>The Returning Officer shall issue a notification calling for nominations to all posts of the Executive Committee. Each nomination shall require the confirmation of a proposer and a seconder, both of whom shall be Life Members of the Association. A candidate may not be their own proposer or seconder. Nominations shall be submitted through such means as designated by the Returning Officer, which shall include provision for online submission. The procedure for nomination, including timelines, forms, and confirmation requirements, shall be as specified in the Operating Procedures laid down from time to time.</w:t>
      </w:r>
    </w:p>
    <w:p w14:paraId="17EEE65F" w14:textId="77777777" w:rsidR="00310DD5" w:rsidRPr="00310DD5" w:rsidRDefault="00310DD5" w:rsidP="00310DD5">
      <w:pPr>
        <w:spacing w:before="200" w:after="80"/>
        <w:rPr>
          <w:sz w:val="24"/>
          <w:szCs w:val="24"/>
        </w:rPr>
      </w:pPr>
      <w:r w:rsidRPr="00310DD5">
        <w:rPr>
          <w:rFonts w:ascii="Arial" w:hAnsi="Arial" w:cs="Arial"/>
          <w:b/>
          <w:bCs/>
          <w:color w:val="000000"/>
          <w:sz w:val="22"/>
          <w:szCs w:val="22"/>
        </w:rPr>
        <w:t>Clause (g) — Scrutiny</w:t>
      </w:r>
    </w:p>
    <w:p w14:paraId="43088CD3"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t>The Returning Officer shall scrutinise each nomination received and verify the eligibility of the candidate for the post sought. The Returning Officer may seek clarification from any candidate or from the Executive Committee on matters of institutional record. The Returning Officer shall communicate the acceptance or rejection of each nomination to the candidate concerned, with written reasons in the case of rejection. Upon completion of scrutiny, the Returning Officer shall publish the final list of candidates for each post. The procedure for scrutiny, including timelines, query procedure, withdrawal, and publication, shall be as specified in the Operating Procedures laid down from time to time.</w:t>
      </w:r>
    </w:p>
    <w:p w14:paraId="3A0F4AFA" w14:textId="77777777" w:rsidR="00310DD5" w:rsidRPr="00310DD5" w:rsidRDefault="00310DD5" w:rsidP="00310DD5">
      <w:pPr>
        <w:spacing w:before="200" w:after="80"/>
        <w:rPr>
          <w:sz w:val="24"/>
          <w:szCs w:val="24"/>
        </w:rPr>
      </w:pPr>
      <w:r w:rsidRPr="00310DD5">
        <w:rPr>
          <w:rFonts w:ascii="Arial" w:hAnsi="Arial" w:cs="Arial"/>
          <w:b/>
          <w:bCs/>
          <w:color w:val="000000"/>
          <w:sz w:val="22"/>
          <w:szCs w:val="22"/>
        </w:rPr>
        <w:t>Clause (h) — Appeals Panel</w:t>
      </w:r>
    </w:p>
    <w:p w14:paraId="77BC27DE"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t>The Executive Committee shall constitute an Appeals Panel drawn from the panel published for RO selection. The Appeals Panel shall hear appeals against nomination rejections and against decisions or sanctions imposed in the conduct of the election. Any candidate or member directly affected by a decision or sanction imposed under these rules may file an appeal to the Appeals Panel. The decision of the Appeals Panel shall be final for the purposes of the current election. Nothing in this clause shall prejudice the right of any member to raise a governance grievance with the General Body. The procedure for constitution, appeal, and decision shall be as specified in the Operating Procedures laid down from time to time.</w:t>
      </w:r>
    </w:p>
    <w:p w14:paraId="085261B1" w14:textId="77777777" w:rsidR="00310DD5" w:rsidRPr="00310DD5" w:rsidRDefault="00310DD5" w:rsidP="00310DD5">
      <w:pPr>
        <w:rPr>
          <w:sz w:val="24"/>
          <w:szCs w:val="24"/>
        </w:rPr>
      </w:pPr>
    </w:p>
    <w:p w14:paraId="5B7A8875" w14:textId="77777777" w:rsidR="00310DD5" w:rsidRPr="00310DD5" w:rsidRDefault="00310DD5" w:rsidP="00310DD5">
      <w:pPr>
        <w:spacing w:before="200" w:after="80"/>
        <w:rPr>
          <w:sz w:val="24"/>
          <w:szCs w:val="24"/>
        </w:rPr>
      </w:pPr>
      <w:r w:rsidRPr="00310DD5">
        <w:rPr>
          <w:rFonts w:ascii="Arial" w:hAnsi="Arial" w:cs="Arial"/>
          <w:b/>
          <w:bCs/>
          <w:color w:val="000000"/>
          <w:sz w:val="22"/>
          <w:szCs w:val="22"/>
        </w:rPr>
        <w:t>Clause (</w:t>
      </w:r>
      <w:proofErr w:type="spellStart"/>
      <w:r w:rsidRPr="00310DD5">
        <w:rPr>
          <w:rFonts w:ascii="Arial" w:hAnsi="Arial" w:cs="Arial"/>
          <w:b/>
          <w:bCs/>
          <w:color w:val="000000"/>
          <w:sz w:val="22"/>
          <w:szCs w:val="22"/>
        </w:rPr>
        <w:t>i</w:t>
      </w:r>
      <w:proofErr w:type="spellEnd"/>
      <w:r w:rsidRPr="00310DD5">
        <w:rPr>
          <w:rFonts w:ascii="Arial" w:hAnsi="Arial" w:cs="Arial"/>
          <w:b/>
          <w:bCs/>
          <w:color w:val="000000"/>
          <w:sz w:val="22"/>
          <w:szCs w:val="22"/>
        </w:rPr>
        <w:t>) — Uncontested Posts</w:t>
      </w:r>
    </w:p>
    <w:p w14:paraId="06D1E373"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t>Where only one valid nomination is received for a post, the candidate shall be declared elected without proceeding to a vote. </w:t>
      </w:r>
    </w:p>
    <w:p w14:paraId="3D0F5851"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t>Where no valid nomination is received for any of the posts of President, Vice President (at least one), General Secretary, and Treasurer after the nominations process is concluded, the election shall not proceed, and the matter shall be placed before the General Body for a decision. The election may proceed without a mandatory post being contested only upon approval of the General Body. Where no valid nomination is received for any other post, that post shall remain vacant and shall be filled by co-option by the incoming Executive Committee in accordance with the Bylaws.</w:t>
      </w:r>
    </w:p>
    <w:p w14:paraId="10BBF558" w14:textId="77777777" w:rsidR="00310DD5" w:rsidRPr="00310DD5" w:rsidRDefault="00310DD5" w:rsidP="00310DD5">
      <w:pPr>
        <w:spacing w:before="200" w:after="80"/>
        <w:rPr>
          <w:sz w:val="24"/>
          <w:szCs w:val="24"/>
        </w:rPr>
      </w:pPr>
      <w:r w:rsidRPr="00310DD5">
        <w:rPr>
          <w:rFonts w:ascii="Arial" w:hAnsi="Arial" w:cs="Arial"/>
          <w:b/>
          <w:bCs/>
          <w:color w:val="000000"/>
          <w:sz w:val="22"/>
          <w:szCs w:val="22"/>
        </w:rPr>
        <w:t>Clause (j) — Voting</w:t>
      </w:r>
    </w:p>
    <w:p w14:paraId="15BFE340"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t xml:space="preserve">Voting shall be conducted in such mode as decided by the Executive Committee, preferably by electronic means to ensure wider participation. The mode of voting shall be independent of the mode of conduct of the Annual General Body Meeting. Where physical voting is used, the reasons shall be recorded and communicated to all members and placed before the next Annual General Body Meeting. Where physical voting is used it shall be by secret ballot. The mode of voting refers only to the </w:t>
      </w:r>
      <w:proofErr w:type="gramStart"/>
      <w:r w:rsidRPr="00310DD5">
        <w:rPr>
          <w:rFonts w:ascii="Arial" w:hAnsi="Arial" w:cs="Arial"/>
          <w:color w:val="000000"/>
          <w:sz w:val="22"/>
          <w:szCs w:val="22"/>
        </w:rPr>
        <w:t>manner in which</w:t>
      </w:r>
      <w:proofErr w:type="gramEnd"/>
      <w:r w:rsidRPr="00310DD5">
        <w:rPr>
          <w:rFonts w:ascii="Arial" w:hAnsi="Arial" w:cs="Arial"/>
          <w:color w:val="000000"/>
          <w:sz w:val="22"/>
          <w:szCs w:val="22"/>
        </w:rPr>
        <w:t xml:space="preserve"> votes are cast and counted. The full procedure of elections — including the selection of the Returning Officer, nominations, scrutiny, and publication of the candidate list — shall be conducted as specified in this clause and in the Operating Procedures laid down from time to time, regardless of the mode of voting. Each Life Member on the certified </w:t>
      </w:r>
      <w:r w:rsidRPr="00310DD5">
        <w:rPr>
          <w:rFonts w:ascii="Arial" w:hAnsi="Arial" w:cs="Arial"/>
          <w:color w:val="000000"/>
          <w:sz w:val="22"/>
          <w:szCs w:val="22"/>
        </w:rPr>
        <w:lastRenderedPageBreak/>
        <w:t>voter roll shall have one vote per post for which they are eligible. The secrecy and integrity of the ballot shall be preserved in all modes. The procedure for voting, including authentication, voting window, and closing of poll, shall be as specified in the Operating Procedures laid down from time to time.</w:t>
      </w:r>
    </w:p>
    <w:p w14:paraId="7D7DBD27" w14:textId="77777777" w:rsidR="00310DD5" w:rsidRPr="00310DD5" w:rsidRDefault="00310DD5" w:rsidP="00310DD5">
      <w:pPr>
        <w:spacing w:before="200" w:after="80"/>
        <w:rPr>
          <w:sz w:val="24"/>
          <w:szCs w:val="24"/>
        </w:rPr>
      </w:pPr>
      <w:r w:rsidRPr="00310DD5">
        <w:rPr>
          <w:rFonts w:ascii="Arial" w:hAnsi="Arial" w:cs="Arial"/>
          <w:b/>
          <w:bCs/>
          <w:color w:val="000000"/>
          <w:sz w:val="22"/>
          <w:szCs w:val="22"/>
        </w:rPr>
        <w:t>Clause (k) — Results</w:t>
      </w:r>
    </w:p>
    <w:p w14:paraId="5BCE7621"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t xml:space="preserve">Upon the close of voting, the Returning Officer, together with the Scrutineers, shall verify the count and certify the results. The Returning Officer shall declare the results at the earliest practicable time after verification and shall formally announce them at the Annual General Body Meeting where results have been declared prior to the AGM, or at such other meeting convened by the Executive Committee for the purpose where the election concludes after </w:t>
      </w:r>
      <w:proofErr w:type="gramStart"/>
      <w:r w:rsidRPr="00310DD5">
        <w:rPr>
          <w:rFonts w:ascii="Arial" w:hAnsi="Arial" w:cs="Arial"/>
          <w:color w:val="000000"/>
          <w:sz w:val="22"/>
          <w:szCs w:val="22"/>
        </w:rPr>
        <w:t>AGM day</w:t>
      </w:r>
      <w:proofErr w:type="gramEnd"/>
      <w:r w:rsidRPr="00310DD5">
        <w:rPr>
          <w:rFonts w:ascii="Arial" w:hAnsi="Arial" w:cs="Arial"/>
          <w:color w:val="000000"/>
          <w:sz w:val="22"/>
          <w:szCs w:val="22"/>
        </w:rPr>
        <w:t>. In the event of a tie between two or more candidates for a post, the Returning Officer shall conduct a draw of lots in the presence of the Scrutineers, and the result of the draw shall be final. The Returning Officer shall compile a complete election record and file it with the incoming General Secretary on the day the election period concludes. The procedure for verification, declaration, and filing shall be as specified in the Operating Procedures laid down from time to time.</w:t>
      </w:r>
    </w:p>
    <w:p w14:paraId="1A96BEA9" w14:textId="77777777" w:rsidR="00310DD5" w:rsidRPr="00310DD5" w:rsidRDefault="00310DD5" w:rsidP="00310DD5">
      <w:pPr>
        <w:spacing w:before="200" w:after="80"/>
        <w:rPr>
          <w:sz w:val="24"/>
          <w:szCs w:val="24"/>
        </w:rPr>
      </w:pPr>
      <w:r w:rsidRPr="00310DD5">
        <w:rPr>
          <w:rFonts w:ascii="Arial" w:hAnsi="Arial" w:cs="Arial"/>
          <w:b/>
          <w:bCs/>
          <w:color w:val="000000"/>
          <w:sz w:val="22"/>
          <w:szCs w:val="22"/>
        </w:rPr>
        <w:t>Clause (l) — Candidate Eligibility</w:t>
      </w:r>
    </w:p>
    <w:p w14:paraId="241D17BD"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t>Candidate eligibility for each post shall be as specified in sub-sections (iv), (v), and (vi) of this Article, which shall apply equally regardless of the mode of voting. The detailed eligibility criteria and scrutiny procedure shall be as specified in the Operating Procedures laid down from time to time.</w:t>
      </w:r>
    </w:p>
    <w:p w14:paraId="0B2465EF" w14:textId="77777777" w:rsidR="00310DD5" w:rsidRPr="00310DD5" w:rsidRDefault="00310DD5" w:rsidP="00310DD5">
      <w:pPr>
        <w:spacing w:before="200" w:after="80"/>
        <w:rPr>
          <w:sz w:val="24"/>
          <w:szCs w:val="24"/>
        </w:rPr>
      </w:pPr>
      <w:r w:rsidRPr="00310DD5">
        <w:rPr>
          <w:rFonts w:ascii="Arial" w:hAnsi="Arial" w:cs="Arial"/>
          <w:b/>
          <w:bCs/>
          <w:color w:val="000000"/>
          <w:sz w:val="22"/>
          <w:szCs w:val="22"/>
        </w:rPr>
        <w:t>Clause (m) — Caretaker Executive Committee  </w:t>
      </w:r>
    </w:p>
    <w:p w14:paraId="0E67451D"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t>Where the election cannot be concluded by the date of the Annual General Body Meeting, the outgoing Executive Committee shall continue in a caretaker capacity with powers as determined by the General Body at the Annual General Body Meeting, until the incoming Executive Committee takes charge on conclusion of the election which shall be at the earliest practicable time at a meeting convened by the outgoing Executive Committee for the purpose.</w:t>
      </w:r>
    </w:p>
    <w:p w14:paraId="2AD3215C" w14:textId="77777777" w:rsidR="00310DD5" w:rsidRPr="00310DD5" w:rsidRDefault="00310DD5" w:rsidP="00310DD5">
      <w:pPr>
        <w:spacing w:before="200" w:after="80"/>
        <w:rPr>
          <w:sz w:val="24"/>
          <w:szCs w:val="24"/>
        </w:rPr>
      </w:pPr>
      <w:r w:rsidRPr="00310DD5">
        <w:rPr>
          <w:rFonts w:ascii="Arial" w:hAnsi="Arial" w:cs="Arial"/>
          <w:b/>
          <w:bCs/>
          <w:color w:val="000000"/>
          <w:sz w:val="22"/>
          <w:szCs w:val="22"/>
        </w:rPr>
        <w:t>Clause (n) — Operating Procedures  </w:t>
      </w:r>
    </w:p>
    <w:p w14:paraId="00B38644" w14:textId="77777777" w:rsidR="00310DD5" w:rsidRPr="00310DD5" w:rsidRDefault="00310DD5" w:rsidP="00310DD5">
      <w:pPr>
        <w:spacing w:before="60" w:after="80"/>
        <w:jc w:val="both"/>
        <w:rPr>
          <w:sz w:val="24"/>
          <w:szCs w:val="24"/>
        </w:rPr>
      </w:pPr>
      <w:r w:rsidRPr="00310DD5">
        <w:rPr>
          <w:rFonts w:ascii="Arial" w:hAnsi="Arial" w:cs="Arial"/>
          <w:color w:val="000000"/>
          <w:sz w:val="22"/>
          <w:szCs w:val="22"/>
        </w:rPr>
        <w:t>The Executive Committee shall frame Operating Procedures for the conduct of elections consistent with this clause. Such Operating Procedures shall be placed before the Annual General Body Meeting for ratification. The Executive Committee may amend the Operating Procedures from time to time consistent with the Bylaws.</w:t>
      </w:r>
    </w:p>
    <w:p w14:paraId="6344F4A2" w14:textId="6F19A28D" w:rsidR="00A35D59" w:rsidRPr="00310DD5" w:rsidRDefault="00A35D59" w:rsidP="00310DD5"/>
    <w:sectPr w:rsidR="00A35D59" w:rsidRPr="00310D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306D3"/>
    <w:multiLevelType w:val="hybridMultilevel"/>
    <w:tmpl w:val="07187894"/>
    <w:lvl w:ilvl="0" w:tplc="4C2C8BAA">
      <w:start w:val="1"/>
      <w:numFmt w:val="bullet"/>
      <w:lvlText w:val="●"/>
      <w:lvlJc w:val="left"/>
      <w:pPr>
        <w:ind w:left="720" w:hanging="360"/>
      </w:pPr>
    </w:lvl>
    <w:lvl w:ilvl="1" w:tplc="968ADB42">
      <w:start w:val="1"/>
      <w:numFmt w:val="bullet"/>
      <w:lvlText w:val="○"/>
      <w:lvlJc w:val="left"/>
      <w:pPr>
        <w:ind w:left="1440" w:hanging="360"/>
      </w:pPr>
    </w:lvl>
    <w:lvl w:ilvl="2" w:tplc="F272CAA4">
      <w:start w:val="1"/>
      <w:numFmt w:val="bullet"/>
      <w:lvlText w:val="■"/>
      <w:lvlJc w:val="left"/>
      <w:pPr>
        <w:ind w:left="2160" w:hanging="360"/>
      </w:pPr>
    </w:lvl>
    <w:lvl w:ilvl="3" w:tplc="73842100">
      <w:start w:val="1"/>
      <w:numFmt w:val="bullet"/>
      <w:lvlText w:val="●"/>
      <w:lvlJc w:val="left"/>
      <w:pPr>
        <w:ind w:left="2880" w:hanging="360"/>
      </w:pPr>
    </w:lvl>
    <w:lvl w:ilvl="4" w:tplc="5ACEF568">
      <w:start w:val="1"/>
      <w:numFmt w:val="bullet"/>
      <w:lvlText w:val="○"/>
      <w:lvlJc w:val="left"/>
      <w:pPr>
        <w:ind w:left="3600" w:hanging="360"/>
      </w:pPr>
    </w:lvl>
    <w:lvl w:ilvl="5" w:tplc="31529A3C">
      <w:start w:val="1"/>
      <w:numFmt w:val="bullet"/>
      <w:lvlText w:val="■"/>
      <w:lvlJc w:val="left"/>
      <w:pPr>
        <w:ind w:left="4320" w:hanging="360"/>
      </w:pPr>
    </w:lvl>
    <w:lvl w:ilvl="6" w:tplc="973C6BB2">
      <w:start w:val="1"/>
      <w:numFmt w:val="bullet"/>
      <w:lvlText w:val="●"/>
      <w:lvlJc w:val="left"/>
      <w:pPr>
        <w:ind w:left="5040" w:hanging="360"/>
      </w:pPr>
    </w:lvl>
    <w:lvl w:ilvl="7" w:tplc="F2926BF8">
      <w:start w:val="1"/>
      <w:numFmt w:val="bullet"/>
      <w:lvlText w:val="●"/>
      <w:lvlJc w:val="left"/>
      <w:pPr>
        <w:ind w:left="5760" w:hanging="360"/>
      </w:pPr>
    </w:lvl>
    <w:lvl w:ilvl="8" w:tplc="7BF274B2">
      <w:start w:val="1"/>
      <w:numFmt w:val="bullet"/>
      <w:lvlText w:val="●"/>
      <w:lvlJc w:val="left"/>
      <w:pPr>
        <w:ind w:left="6480" w:hanging="360"/>
      </w:pPr>
    </w:lvl>
  </w:abstractNum>
  <w:num w:numId="1" w16cid:durableId="693120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D59"/>
    <w:rsid w:val="00310DD5"/>
    <w:rsid w:val="00A35D59"/>
    <w:rsid w:val="00CC224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4F47C"/>
  <w15:docId w15:val="{39EE6D39-32A9-4C82-B1F5-E66E14433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1613</Words>
  <Characters>9197</Characters>
  <Application>Microsoft Office Word</Application>
  <DocSecurity>0</DocSecurity>
  <Lines>76</Lines>
  <Paragraphs>21</Paragraphs>
  <ScaleCrop>false</ScaleCrop>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Shelley K Das</cp:lastModifiedBy>
  <cp:revision>2</cp:revision>
  <dcterms:created xsi:type="dcterms:W3CDTF">2026-07-12T06:59:00Z</dcterms:created>
  <dcterms:modified xsi:type="dcterms:W3CDTF">2026-07-22T13:17:00Z</dcterms:modified>
</cp:coreProperties>
</file>