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宋体" w:hAnsi="宋体"/>
          <w:b/>
          <w:sz w:val="24"/>
        </w:rPr>
        <w:t>（一）病例特点</w:t>
      </w:r>
    </w:p>
    <w:p>
      <w:pPr>
        <w:spacing w:line="360" w:lineRule="auto"/>
      </w:pPr>
      <w:r>
        <w:rPr>
          <w:rFonts w:ascii="宋体" w:hAnsi="宋体"/>
          <w:sz w:val="24"/>
        </w:rPr>
        <w:t>因"饮酒20余年，加重伴戒断症状1月"入院。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1. 一般特征及起病形式：患者45岁，男，慢性。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2. 病程：总病程20余年。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3. 病情演变特点：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4. 既往诊疗经过：既往未予诊治。。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5. 本次入院原因：近期患者酒精使用：啤酒，12度，近一个月内每周发作1次，每次持续7-12小时，饮用7-20瓶，家属觉其病情严重，遂至门诊就诊，诊断"酒精使用障碍"，以"自愿住院"收入我科。，遂至门诊/急诊就诊，诊断“”，以“自愿住院/非自愿情形一”收入我科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6. 一般情况：无头颅外伤，昏迷，抽搐等病史，近期近期食欲减退，进食困难差，近期入睡困难，饮酒后短暂入睡但易惊醒，多梦、有梦魇欠佳，大小便如常，体重未测。。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7. 与鉴别诊断有关的阳性或阴性资料：否认既往有情绪低落、兴趣减退、精力下降等抑郁综合征表现。。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8. 既往史：否认高血压、糖尿病、冠心病等慢性病史。否认肝炎、肺结核等传染病史。否认头颅外伤史，否认癫痫、晕倒史，否认手术史，否认输血史。否认药物过敏史。。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9. 个人史：胞？行？，病前性格待问，否认吸烟、酗酒嗜好。。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10. 家族史：父母两系三代中，否认有神经、精神疾病或者类似疾病的个体。。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11. 体格检查：查体合作，全身皮肤无黄染、皮疹、瘢痕。咽部无红肿，双侧扁桃体无肿大。双肺呼吸音清，未闻及干湿啰音。心率次/分，心律齐，各瓣膜未闻及病理性杂音。腹部平软，全腹无压痛、反跳痛，未触及腹部包块，肠鸣音正常。四肢活动正常，双下肢无水肿。双侧瞳孔等大等圆，d=3mm，对光反射存在。双侧鼻唇沟对称，示齿双侧嘴角对称，伸舌居中。四肢肌力、肌张力正常，肌力Ⅴ级，生理反射存在，病理反射未引出；感觉系统、共济系统未见明显异常；脑膜刺激征阴性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12. 专科检查：意识清晰，定向力完整，接触被动可合作。仪容仪表符合年龄，衣着整洁。注意力集中。</w:t>
        <w:br/>
        <w:t>未引出幻觉、妄想等感知觉和思维内容异常。言语连贯，思维形式无障碍。</w:t>
        <w:br/>
        <w:t>情感反应协调，情绪稳定。意志活动无异常。记忆力、一般智能检查、常识粗测无异常。自知力部分存在。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13. 辅助检查：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（二）诊断依据与鉴别诊断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初步诊断：酒精使用障碍（待医生确认）</w:t>
      </w:r>
    </w:p>
    <w:p>
      <w:pPr>
        <w:spacing w:line="360" w:lineRule="auto"/>
      </w:pPr>
      <w:r>
        <w:rPr>
          <w:rFonts w:ascii="宋体" w:hAnsi="宋体"/>
          <w:b/>
          <w:sz w:val="24"/>
        </w:rPr>
        <w:t>（三）诊疗计划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