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1.svg" ContentType="image/svg+xml"/>
  <Override PartName="/word/media/image33.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25711"/>
      <w:bookmarkStart w:id="1" w:name="_Toc8598"/>
      <w:bookmarkStart w:id="2" w:name="_Toc7456"/>
      <w:bookmarkStart w:id="3" w:name="_Toc12951"/>
      <w:bookmarkStart w:id="4" w:name="_Toc12473"/>
      <w:bookmarkStart w:id="5" w:name="_Toc11806"/>
      <w:bookmarkStart w:id="6" w:name="_Toc21715"/>
      <w:bookmarkStart w:id="7" w:name="_Toc10403"/>
      <w:bookmarkStart w:id="8" w:name="_Toc211470751"/>
      <w:bookmarkStart w:id="9" w:name="_Toc6575"/>
      <w:bookmarkStart w:id="10" w:name="_Toc222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21</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7917"/>
      <w:bookmarkStart w:id="14" w:name="_Toc24376"/>
      <w:bookmarkStart w:id="15" w:name="_Toc23928"/>
      <w:bookmarkStart w:id="16" w:name="_Toc22267"/>
      <w:bookmarkStart w:id="17" w:name="_Toc26449"/>
      <w:bookmarkStart w:id="18" w:name="_Toc211470756"/>
      <w:bookmarkStart w:id="19" w:name="_Toc870"/>
      <w:bookmarkStart w:id="20" w:name="_Toc25211"/>
      <w:bookmarkStart w:id="21" w:name="_Toc15094"/>
      <w:bookmarkStart w:id="22" w:name="_Toc9147"/>
      <w:bookmarkStart w:id="23" w:name="_Toc6356"/>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1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2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w:t>
      </w:r>
      <w:r>
        <w:rPr>
          <w:rFonts w:hint="eastAsia"/>
          <w:bCs/>
          <w:lang w:val="en-US" w:eastAsia="zh-CN"/>
        </w:rPr>
        <w:t>统一</w:t>
      </w:r>
      <w:r>
        <w:rPr>
          <w:rFonts w:hint="eastAsia"/>
          <w:bCs/>
        </w:rPr>
        <w:t>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6014"/>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w:t>
      </w:r>
      <w:r>
        <w:rPr>
          <w:rFonts w:hint="eastAsia"/>
          <w:lang w:eastAsia="zh-CN"/>
        </w:rPr>
        <w:t>古树名木多模态展示与检索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w:t>
      </w:r>
      <w:r>
        <w:rPr>
          <w:rFonts w:hint="eastAsia"/>
          <w:lang w:eastAsia="zh-CN"/>
        </w:rPr>
        <w:t>古树名木多模态展示与检索</w:t>
      </w:r>
      <w:r>
        <w:rPr>
          <w:rFonts w:hint="eastAsia"/>
        </w:rPr>
        <w:t>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w:t>
      </w:r>
      <w:r>
        <w:rPr>
          <w:rFonts w:hint="eastAsia"/>
          <w:lang w:eastAsia="zh-CN"/>
        </w:rPr>
        <w:t>古树名木多模态展示与检索</w:t>
      </w:r>
      <w:r>
        <w:rPr>
          <w:rFonts w:hint="eastAsia"/>
        </w:rPr>
        <w:t>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11772"/>
      <w:bookmarkStart w:id="53" w:name="_Toc9784"/>
      <w:bookmarkStart w:id="54" w:name="_Toc27995"/>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lang w:eastAsia="zh-CN"/>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230367B8">
      <w:pPr>
        <w:bidi w:val="0"/>
        <w:rPr>
          <w:rFonts w:hint="eastAsia"/>
          <w:lang w:eastAsia="zh-CN"/>
        </w:rPr>
      </w:pPr>
      <w:r>
        <w:rPr>
          <w:rFonts w:hint="eastAsia"/>
          <w:lang w:eastAsia="zh-CN"/>
        </w:rPr>
        <w:t>多模态特征融合策略的选择直接影响后续哈希层的输入质量和检索性能。现有深度哈希学习中常用的融合策略主要包括以下四类：（1）特征拼接（concat）：将不同模态特征向量在通道维度直接拼接，保留各模态完整信息，不引入额外可学习参数；（2）逐元素相加（add）：将各模态特征映射至相同维度后逐元素相加，实现信息融合；（3）逐元素相乘（multiply）：与相加类似，以逐元素相乘方式实现特征交互；（4）门控融合（gate）：通过学习得到的标量门控系数对多模态特征进行</w:t>
      </w:r>
      <w:bookmarkStart w:id="234" w:name="_GoBack"/>
      <w:r>
        <w:rPr>
          <w:rFonts w:hint="eastAsia"/>
          <w:lang w:eastAsia="zh-CN"/>
        </w:rPr>
        <w:t>自适应</w:t>
      </w:r>
      <w:bookmarkEnd w:id="234"/>
      <w:r>
        <w:rPr>
          <w:rFonts w:hint="eastAsia"/>
          <w:lang w:eastAsia="zh-CN"/>
        </w:rPr>
        <w:t>加权融合。此外，如第2章所述，双线性融合（公式2-12）和交叉注意力融合（公式2-13至2-16）等更复杂的交互式融合策略在部分多模态任务中也展现出较强的建模能力，本文将其一并纳入比较分析。为确定最适合本文应用场景的融合策略，下面从信息保留能力、模型参数量和模态输入特性三个维度，对各类融合策略进行理论分析。</w:t>
      </w:r>
    </w:p>
    <w:p w14:paraId="42D50258">
      <w:pPr>
        <w:numPr>
          <w:ilvl w:val="0"/>
          <w:numId w:val="5"/>
        </w:numPr>
        <w:bidi w:val="0"/>
        <w:rPr>
          <w:rFonts w:hint="eastAsia"/>
          <w:lang w:eastAsia="zh-CN"/>
        </w:rPr>
      </w:pPr>
      <w:r>
        <w:rPr>
          <w:rFonts w:hint="eastAsia"/>
          <w:lang w:eastAsia="zh-CN"/>
        </w:rPr>
        <w:t>从信息保留角度：特征拼接将各模态特征直接拼接，不做任何信息压缩或交互运算，最大程度保留了原始特征信息的独立性，将模态间关系学习交由后续哈希层自动建模，避免了在语义未充分对齐时过早交互带来的信息损失；逐元素相加和逐元素相乘通过算术运算强行融合多模态信息，在图像特征与位置特征的语义空间未对齐时，易造成信息抵消（相加时正负分量相消）或放大失真（相乘时极端值被放大）</w:t>
      </w:r>
    </w:p>
    <w:p w14:paraId="7396A01C">
      <w:pPr>
        <w:numPr>
          <w:ilvl w:val="0"/>
          <w:numId w:val="5"/>
        </w:numPr>
        <w:bidi w:val="0"/>
        <w:rPr>
          <w:rFonts w:hint="eastAsia"/>
          <w:lang w:eastAsia="zh-CN"/>
        </w:rPr>
      </w:pPr>
      <w:r>
        <w:rPr>
          <w:rFonts w:hint="eastAsia"/>
          <w:lang w:eastAsia="zh-CN"/>
        </w:rPr>
        <w:t>从模型参数量角度：门控融合虽具动态调整能力，但门控网络引入额外参数（约131k），而特征拼接、逐元素相加和逐元素相乘均不增加额外参数量；双线性融合产生</w:t>
      </w:r>
      <w:r>
        <w:rPr>
          <w:rFonts w:hint="eastAsia"/>
          <w:lang w:val="en-US" w:eastAsia="zh-CN"/>
        </w:rPr>
        <w:t>d</w:t>
      </w:r>
      <w:r>
        <w:rPr>
          <w:rFonts w:hint="eastAsia"/>
          <w:vertAlign w:val="subscript"/>
          <w:lang w:val="en-US" w:eastAsia="zh-CN"/>
        </w:rPr>
        <w:t>1</w:t>
      </w:r>
      <w:r>
        <w:rPr>
          <w:rFonts w:hint="eastAsia"/>
          <w:lang w:eastAsia="zh-CN"/>
        </w:rPr>
        <w:t>×</w:t>
      </w:r>
      <w:r>
        <w:rPr>
          <w:rFonts w:hint="eastAsia"/>
          <w:lang w:val="en-US" w:eastAsia="zh-CN"/>
        </w:rPr>
        <w:t>d</w:t>
      </w:r>
      <w:r>
        <w:rPr>
          <w:rFonts w:hint="eastAsia"/>
          <w:vertAlign w:val="subscript"/>
          <w:lang w:val="en-US" w:eastAsia="zh-CN"/>
        </w:rPr>
        <w:t>2</w:t>
      </w:r>
      <w:r>
        <w:rPr>
          <w:rFonts w:hint="eastAsia"/>
          <w:lang w:eastAsia="zh-CN"/>
        </w:rPr>
        <w:t>维高维特征，参数量剧增，在小规模数据集上过拟合风险显著。</w:t>
      </w:r>
    </w:p>
    <w:p w14:paraId="1E7F9018">
      <w:pPr>
        <w:numPr>
          <w:ilvl w:val="0"/>
          <w:numId w:val="5"/>
        </w:numPr>
        <w:bidi w:val="0"/>
        <w:rPr>
          <w:rFonts w:hint="eastAsia"/>
          <w:lang w:eastAsia="zh-CN"/>
        </w:rPr>
      </w:pPr>
      <w:r>
        <w:rPr>
          <w:rFonts w:hint="eastAsia"/>
          <w:lang w:eastAsia="zh-CN"/>
        </w:rPr>
        <w:t>从模态输入特性角度：交叉注意力融合要求各模态提供局部特征序列作为键和值，而地理位置元数据仅为二维全局坐标，不满足局部注意力的输入前提；门控融合的门控系数学习依赖足够的样本支持，在有限数据下</w:t>
      </w:r>
      <w:r>
        <w:rPr>
          <w:rFonts w:hint="eastAsia"/>
          <w:lang w:val="en-US" w:eastAsia="zh-CN"/>
        </w:rPr>
        <w:t>门控权重的估计方差较大，稳健性不足</w:t>
      </w:r>
      <w:r>
        <w:rPr>
          <w:rFonts w:hint="eastAsia"/>
          <w:lang w:eastAsia="zh-CN"/>
        </w:rPr>
        <w:t>。综上所述，特征拼接在信息保留、模型复杂度和输入适配性三个维度上均与本文的应用场景最为匹配。</w:t>
      </w:r>
    </w:p>
    <w:p w14:paraId="5D2B6CDE">
      <w:pPr>
        <w:bidi w:val="0"/>
        <w:rPr>
          <w:rFonts w:hint="default"/>
          <w:lang w:val="en-US" w:eastAsia="zh-CN"/>
        </w:rPr>
      </w:pPr>
      <w:r>
        <w:rPr>
          <w:rFonts w:hint="eastAsia"/>
          <w:lang w:eastAsia="zh-CN"/>
        </w:rPr>
        <w:t>基于</w:t>
      </w:r>
      <w:r>
        <w:rPr>
          <w:rFonts w:hint="eastAsia"/>
          <w:lang w:val="en-US" w:eastAsia="zh-CN"/>
        </w:rPr>
        <w:t>上述理论</w:t>
      </w:r>
      <w:r>
        <w:rPr>
          <w:rFonts w:hint="eastAsia"/>
          <w:lang w:eastAsia="zh-CN"/>
        </w:rPr>
        <w:t>分析，本文采用特征拼接方法构建多模态融合层，将512维图像特征向量与256维位置特征向量按通道维度拼接为768维融合特征向量，其数学表达式如公式（3-5）所示：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46FFF886">
      <w:pPr>
        <w:bidi w:val="0"/>
        <w:rPr>
          <w:rFonts w:hint="eastAsia"/>
        </w:rPr>
      </w:pPr>
      <w:r>
        <w:rPr>
          <w:rFonts w:hint="eastAsia"/>
        </w:rPr>
        <w:t>四种融合策略的对比实验结果见3.4.2节表3.6，实验结果与上述理论分析一致：特征拼接在mAP上取得最优性能（0.741），门控融合次之（0.738），二者差距仅为0.3个百分点；逐元素相加（0.729）和逐元素相乘（0.712）性能下降明显，验证了理论分析中关于</w:t>
      </w:r>
      <w:r>
        <w:rPr>
          <w:rFonts w:hint="eastAsia"/>
          <w:lang w:eastAsia="zh-CN"/>
        </w:rPr>
        <w:t>“</w:t>
      </w:r>
      <w:r>
        <w:rPr>
          <w:rFonts w:hint="eastAsia"/>
        </w:rPr>
        <w:t>过早交互导致信息损失</w:t>
      </w:r>
      <w:r>
        <w:rPr>
          <w:rFonts w:hint="eastAsia"/>
          <w:lang w:eastAsia="zh-CN"/>
        </w:rPr>
        <w:t>”</w:t>
      </w:r>
      <w:r>
        <w:rPr>
          <w:rFonts w:hint="eastAsia"/>
        </w:rPr>
        <w:t>的判断。</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6"/>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6"/>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6"/>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383CF14">
      <w:pPr>
        <w:rPr>
          <w:rFonts w:hint="eastAsia"/>
          <w:lang w:val="en-US" w:eastAsia="zh-CN"/>
        </w:rPr>
      </w:pPr>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542B1214">
      <w:pPr>
        <w:bidi w:val="0"/>
        <w:rPr>
          <w:rFonts w:hint="eastAsia"/>
          <w:lang w:val="en-US" w:eastAsia="zh-CN"/>
        </w:rPr>
      </w:pP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7"/>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7"/>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7"/>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7"/>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古树名木数据集的样本分布呈现显著的长尾分布特性：少数常见树种（如侧柏、油松）拥有大量样本记录，而多数珍稀树种样本稀少，类别间样本数量差异悬殊。这种分布导致模型训练过程中头部类别主导梯度更新，尾部类别特征学习不充分，进而造成检索时尾部类别命中率偏低。针对该问题，</w:t>
      </w:r>
      <w:r>
        <w:rPr>
          <w:rFonts w:hint="eastAsia"/>
          <w:lang w:val="en-US" w:eastAsia="zh-CN"/>
        </w:rPr>
        <w:t>本文</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7"/>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8"/>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8"/>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8"/>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9"/>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9"/>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9"/>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9"/>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10"/>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10"/>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10"/>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检索半径＜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10"/>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55930B8A">
      <w:pPr>
        <w:bidi w:val="0"/>
      </w:pPr>
      <w:bookmarkStart w:id="121" w:name="_Toc8211"/>
    </w:p>
    <w:p w14:paraId="6E81C1BF">
      <w:pPr>
        <w:pStyle w:val="4"/>
      </w:pPr>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1"/>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1"/>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1"/>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2"/>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2"/>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3"/>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3"/>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3"/>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w:t>
      </w:r>
      <w:r>
        <w:rPr>
          <w:rFonts w:hint="eastAsia"/>
          <w:lang w:val="en-US" w:eastAsia="zh-CN"/>
        </w:rPr>
        <w:t>导致的</w:t>
      </w:r>
      <w:r>
        <w:rPr>
          <w:rFonts w:hint="eastAsia"/>
        </w:rPr>
        <w:t>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0" w:name="_Toc8339"/>
      <w:bookmarkStart w:id="131" w:name="_Toc16225"/>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098ACB07">
      <w:pPr>
        <w:bidi w:val="0"/>
        <w:ind w:left="0" w:leftChars="0" w:firstLine="420" w:firstLineChars="0"/>
        <w:rPr>
          <w:rFonts w:hint="eastAsia"/>
        </w:rPr>
      </w:pPr>
    </w:p>
    <w:p w14:paraId="017EAA81">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1CA4BD24">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2E70D14F">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554974FA">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4CB5FDC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00AC8E8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3D711F5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7BF78EFA">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120EABE6">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2ED8B46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1D7EC654">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2FDF6E6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6A4C47D1">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4857715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6B34D17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411CE12">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78A04D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53D74DF">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766FA6C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EB80E96">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344A987F">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4F450E5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E96B62A">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8B4CB3A">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E9AE51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E781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DD737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3805E82">
      <w:pPr>
        <w:bidi w:val="0"/>
        <w:ind w:left="0" w:leftChars="0" w:firstLine="420" w:firstLineChars="0"/>
        <w:rPr>
          <w:rFonts w:hint="eastAsia"/>
        </w:rPr>
      </w:pPr>
    </w:p>
    <w:p w14:paraId="552C632F">
      <w:pPr>
        <w:ind w:left="0" w:leftChars="0" w:firstLine="420" w:firstLineChars="0"/>
        <w:jc w:val="left"/>
      </w:pPr>
      <w:r>
        <w:rPr>
          <w:rFonts w:hint="eastAsia"/>
          <w:lang w:val="en-US" w:eastAsia="zh-CN"/>
        </w:rPr>
        <w:t>见上</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4"/>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4"/>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4"/>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4"/>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0F05733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FF43B6C">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0C6E034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A0B87D9">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2D57C676">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42F2F87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840D70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4642008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B7D3955">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583FDAFF">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A82A5D5">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400E8CF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30C2465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45A26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6E4DB8A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2AB8D3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A46099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7411C8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0C50391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636E9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109FA30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7E9460B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06F6A7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3D22DFDC">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57C4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6DE5CE49">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5DE40E62">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625A5302">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0BEA5E">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13E4D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89AF5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0572EC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E5A4FD">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7388AF5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2683F2E9">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340"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340"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340"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w:t>
      </w:r>
      <w:r>
        <w:rPr>
          <w:rFonts w:hint="eastAsia"/>
          <w:lang w:eastAsia="zh-CN"/>
        </w:rPr>
        <w:t>古树名木多模态展示与检索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w:t>
      </w:r>
      <w:r>
        <w:rPr>
          <w:rFonts w:hint="eastAsia"/>
          <w:lang w:eastAsia="zh-CN"/>
        </w:rPr>
        <w:t>古树名木多模态展示与检索</w:t>
      </w:r>
      <w:r>
        <w:rPr>
          <w:rFonts w:hint="eastAsia"/>
        </w:rPr>
        <w:t>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w:t>
      </w:r>
      <w:r>
        <w:rPr>
          <w:rFonts w:hint="eastAsia"/>
          <w:lang w:eastAsia="zh-CN"/>
        </w:rPr>
        <w:t>古树名木多模态展示与检索</w:t>
      </w:r>
      <w:r>
        <w:rPr>
          <w:rFonts w:hint="eastAsia"/>
        </w:rPr>
        <w:t>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1759"/>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6"/>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372100" cy="4657725"/>
                    </a:xfrm>
                    <a:prstGeom prst="rect">
                      <a:avLst/>
                    </a:prstGeom>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6"/>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2296"/>
      <w:bookmarkStart w:id="145" w:name="_Toc3858"/>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w:t>
      </w:r>
      <w:r>
        <w:rPr>
          <w:rFonts w:hint="eastAsia"/>
          <w:lang w:eastAsia="zh-CN"/>
        </w:rPr>
        <w:t>古树名木多模态展示与检索</w:t>
      </w:r>
      <w:r>
        <w:rPr>
          <w:rFonts w:hint="eastAsia"/>
        </w:rPr>
        <w:t>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16453"/>
      <w:bookmarkStart w:id="155" w:name="_Toc9556"/>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4"/>
                    <a:stretch>
                      <a:fillRect/>
                    </a:stretch>
                  </pic:blipFill>
                  <pic:spPr>
                    <a:xfrm>
                      <a:off x="0" y="0"/>
                      <a:ext cx="3644900" cy="3489325"/>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5"/>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5"/>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5"/>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5"/>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5"/>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bidi w:val="0"/>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bidi w:val="0"/>
      </w:pPr>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6"/>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287905"/>
            <wp:effectExtent l="9525" t="9525" r="9525" b="1397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7"/>
                    <a:stretch>
                      <a:fillRect/>
                    </a:stretch>
                  </pic:blipFill>
                  <pic:spPr>
                    <a:xfrm>
                      <a:off x="0" y="0"/>
                      <a:ext cx="5568950" cy="228790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bidi w:val="0"/>
        <w:rPr>
          <w:rFonts w:hint="eastAsia"/>
          <w:lang w:val="en-US" w:eastAsia="zh-CN"/>
        </w:rPr>
      </w:pPr>
      <w:r>
        <w:rPr>
          <w:rFonts w:hint="eastAsia"/>
        </w:rPr>
        <w:t>4.3.</w:t>
      </w:r>
      <w:r>
        <w:rPr>
          <w:rFonts w:hint="eastAsia"/>
          <w:lang w:val="en-US" w:eastAsia="zh-CN"/>
        </w:rPr>
        <w:t>2 古树名木信息查询详细设计与实现</w:t>
      </w:r>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8"/>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4918075" cy="2724785"/>
            <wp:effectExtent l="9525" t="9525" r="12700" b="2159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9"/>
                    <a:stretch>
                      <a:fillRect/>
                    </a:stretch>
                  </pic:blipFill>
                  <pic:spPr>
                    <a:xfrm>
                      <a:off x="0" y="0"/>
                      <a:ext cx="4918075" cy="272478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243476EC">
      <w:pPr>
        <w:numPr>
          <w:ilvl w:val="0"/>
          <w:numId w:val="0"/>
        </w:numPr>
        <w:rPr>
          <w:rFonts w:hint="default"/>
          <w:lang w:val="en-US" w:eastAsia="zh-CN"/>
        </w:rPr>
      </w:pPr>
    </w:p>
    <w:p w14:paraId="430BE57B">
      <w:pPr>
        <w:ind w:left="0" w:leftChars="0" w:firstLine="0" w:firstLineChars="0"/>
        <w:jc w:val="center"/>
        <w:rPr>
          <w:b/>
          <w:bCs/>
          <w:color w:val="FF0000"/>
        </w:rPr>
      </w:pPr>
      <w:r>
        <w:drawing>
          <wp:inline distT="0" distB="0" distL="114300" distR="114300">
            <wp:extent cx="4907280" cy="2407920"/>
            <wp:effectExtent l="9525" t="9525" r="10795" b="2095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0"/>
                    <a:stretch>
                      <a:fillRect/>
                    </a:stretch>
                  </pic:blipFill>
                  <pic:spPr>
                    <a:xfrm>
                      <a:off x="0" y="0"/>
                      <a:ext cx="4907280" cy="2407920"/>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2" w:name="_Toc23342"/>
      <w:bookmarkStart w:id="163"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bidi w:val="0"/>
      </w:pPr>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62"/>
      <w:bookmarkEnd w:id="163"/>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1"/>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72"/>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4"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3"/>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74"/>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5" w:name="_Toc7167"/>
    </w:p>
    <w:p w14:paraId="4670FDCD">
      <w:pPr>
        <w:pStyle w:val="3"/>
        <w:spacing w:before="193"/>
      </w:pPr>
      <w:r>
        <w:t>4.4</w:t>
      </w:r>
      <w:r>
        <w:rPr>
          <w:rFonts w:hint="eastAsia"/>
          <w:lang w:val="en-US" w:eastAsia="zh-CN"/>
        </w:rPr>
        <w:t xml:space="preserve"> </w:t>
      </w:r>
      <w:r>
        <w:t>系统测试</w:t>
      </w:r>
      <w:bookmarkEnd w:id="164"/>
      <w:bookmarkEnd w:id="165"/>
      <w:r>
        <w:t xml:space="preserve"> </w:t>
      </w:r>
    </w:p>
    <w:p w14:paraId="705D239C">
      <w:pPr>
        <w:pStyle w:val="4"/>
      </w:pPr>
      <w:bookmarkStart w:id="166" w:name="_Toc19790"/>
      <w:bookmarkStart w:id="167" w:name="_Toc8060"/>
      <w:r>
        <w:rPr>
          <w:rFonts w:hint="eastAsia"/>
        </w:rPr>
        <w:t>4.4.1</w:t>
      </w:r>
      <w:r>
        <w:rPr>
          <w:rFonts w:hint="eastAsia"/>
          <w:lang w:val="en-US" w:eastAsia="zh-CN"/>
        </w:rPr>
        <w:t xml:space="preserve"> </w:t>
      </w:r>
      <w:r>
        <w:rPr>
          <w:rFonts w:hint="eastAsia"/>
        </w:rPr>
        <w:t>功能测试</w:t>
      </w:r>
      <w:bookmarkEnd w:id="166"/>
      <w:bookmarkEnd w:id="167"/>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68" w:name="_Toc7376"/>
      <w:bookmarkStart w:id="169" w:name="_Toc15930"/>
    </w:p>
    <w:p w14:paraId="59753215">
      <w:pPr>
        <w:pStyle w:val="4"/>
      </w:pPr>
      <w:r>
        <w:rPr>
          <w:rFonts w:hint="eastAsia"/>
        </w:rPr>
        <w:t>4.4.2</w:t>
      </w:r>
      <w:r>
        <w:rPr>
          <w:rFonts w:hint="eastAsia"/>
          <w:lang w:val="en-US" w:eastAsia="zh-CN"/>
        </w:rPr>
        <w:t xml:space="preserve"> </w:t>
      </w:r>
      <w:r>
        <w:rPr>
          <w:rFonts w:hint="eastAsia"/>
        </w:rPr>
        <w:t>非功能测试</w:t>
      </w:r>
      <w:bookmarkEnd w:id="168"/>
      <w:bookmarkEnd w:id="169"/>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0" w:name="_Toc25949"/>
      <w:bookmarkStart w:id="171" w:name="_Toc25481"/>
      <w:bookmarkStart w:id="172" w:name="_Toc2024"/>
      <w:r>
        <w:rPr>
          <w:rFonts w:hint="eastAsia"/>
        </w:rPr>
        <w:t>4</w:t>
      </w:r>
      <w:r>
        <w:t>.</w:t>
      </w:r>
      <w:r>
        <w:rPr>
          <w:rFonts w:hint="eastAsia"/>
        </w:rPr>
        <w:t>5</w:t>
      </w:r>
      <w:r>
        <w:rPr>
          <w:rFonts w:hint="eastAsia"/>
          <w:lang w:val="en-US" w:eastAsia="zh-CN"/>
        </w:rPr>
        <w:t xml:space="preserve"> </w:t>
      </w:r>
      <w:r>
        <w:t>本章小</w:t>
      </w:r>
      <w:bookmarkEnd w:id="170"/>
      <w:bookmarkEnd w:id="171"/>
      <w:r>
        <w:rPr>
          <w:rFonts w:hint="eastAsia"/>
          <w:lang w:val="en-US" w:eastAsia="zh-CN"/>
        </w:rPr>
        <w:t>结</w:t>
      </w:r>
      <w:bookmarkEnd w:id="172"/>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73" w:name="_Toc28146"/>
      <w:bookmarkStart w:id="174" w:name="_Toc13268"/>
      <w:bookmarkStart w:id="175" w:name="_Toc16137"/>
      <w:r>
        <w:t>5</w:t>
      </w:r>
      <w:r>
        <w:rPr>
          <w:rFonts w:hint="eastAsia"/>
          <w:lang w:val="en-US" w:eastAsia="zh-CN"/>
        </w:rPr>
        <w:t xml:space="preserve"> </w:t>
      </w:r>
      <w:r>
        <w:t>总结与展望</w:t>
      </w:r>
      <w:bookmarkEnd w:id="173"/>
      <w:bookmarkEnd w:id="174"/>
      <w:bookmarkEnd w:id="175"/>
    </w:p>
    <w:p w14:paraId="5A7075C4">
      <w:pPr>
        <w:pStyle w:val="3"/>
        <w:spacing w:before="193"/>
      </w:pPr>
      <w:bookmarkStart w:id="176" w:name="_Toc7441"/>
      <w:bookmarkStart w:id="177" w:name="_Toc21248"/>
      <w:bookmarkStart w:id="178" w:name="_Toc26958"/>
      <w:r>
        <w:t>5.1</w:t>
      </w:r>
      <w:r>
        <w:rPr>
          <w:rFonts w:hint="eastAsia"/>
          <w:lang w:val="en-US" w:eastAsia="zh-CN"/>
        </w:rPr>
        <w:t xml:space="preserve"> </w:t>
      </w:r>
      <w:r>
        <w:t>总结</w:t>
      </w:r>
      <w:bookmarkEnd w:id="176"/>
      <w:bookmarkEnd w:id="177"/>
      <w:bookmarkEnd w:id="178"/>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rPr>
          <w:rFonts w:hint="eastAsia" w:eastAsia="宋体"/>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79"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0" w:name="_Toc4921"/>
      <w:bookmarkStart w:id="181" w:name="_Toc17533"/>
      <w:r>
        <w:t>5.2</w:t>
      </w:r>
      <w:r>
        <w:rPr>
          <w:rFonts w:hint="eastAsia"/>
          <w:lang w:val="en-US" w:eastAsia="zh-CN"/>
        </w:rPr>
        <w:t xml:space="preserve"> </w:t>
      </w:r>
      <w:r>
        <w:t>展望</w:t>
      </w:r>
      <w:bookmarkEnd w:id="179"/>
      <w:bookmarkEnd w:id="180"/>
      <w:bookmarkEnd w:id="181"/>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6"/>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6"/>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6"/>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6"/>
        </w:numPr>
        <w:ind w:firstLine="420"/>
        <w:jc w:val="left"/>
      </w:pPr>
      <w:r>
        <w:rPr>
          <w:rFonts w:hint="eastAsia"/>
        </w:rPr>
        <w:t>系统层面，当前</w:t>
      </w:r>
      <w:r>
        <w:rPr>
          <w:rFonts w:hint="eastAsia"/>
          <w:lang w:eastAsia="zh-CN"/>
        </w:rPr>
        <w:t>古树名木多模态展示与检索</w:t>
      </w:r>
      <w:r>
        <w:rPr>
          <w:rFonts w:hint="eastAsia"/>
        </w:rPr>
        <w:t>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2" w:name="_Toc258"/>
      <w:bookmarkStart w:id="183" w:name="_Toc2584"/>
      <w:r>
        <w:rPr>
          <w:rFonts w:hint="eastAsia"/>
        </w:rPr>
        <w:t>参考文献</w:t>
      </w:r>
      <w:bookmarkEnd w:id="182"/>
      <w:bookmarkEnd w:id="183"/>
    </w:p>
    <w:p w14:paraId="62A03112">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4" w:name="_Ref18718"/>
      <w:r>
        <w:rPr>
          <w:rFonts w:hint="eastAsia"/>
          <w:color w:val="000000"/>
          <w:sz w:val="21"/>
          <w:szCs w:val="21"/>
        </w:rPr>
        <w:t>诸</w:t>
      </w:r>
      <w:bookmarkEnd w:id="184"/>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5" w:name="_Ref978240614"/>
      <w:r>
        <w:rPr>
          <w:rFonts w:hint="eastAsia"/>
          <w:color w:val="000000"/>
          <w:sz w:val="21"/>
          <w:szCs w:val="21"/>
        </w:rPr>
        <w:t>国家古树名木保护专项调查组. 第二次全国古树名木资源普查结果[R]. 北京: 国家林业和草原局, 2023.</w:t>
      </w:r>
      <w:bookmarkEnd w:id="185"/>
    </w:p>
    <w:p w14:paraId="1E2C8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986610500"/>
      <w:r>
        <w:rPr>
          <w:rFonts w:hint="eastAsia"/>
          <w:color w:val="000000"/>
          <w:sz w:val="21"/>
          <w:szCs w:val="21"/>
        </w:rPr>
        <w:t>Kalaivani P, Sharma T P, Mandal D, et al. Deep Learning in Plant Biology: A Comprehensive Review[J]. Frontiers in Plant Science, 2022, 13: 924412.</w:t>
      </w:r>
      <w:bookmarkEnd w:id="186"/>
    </w:p>
    <w:p w14:paraId="290205E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87081096"/>
      <w:r>
        <w:rPr>
          <w:rFonts w:hint="eastAsia"/>
          <w:color w:val="000000"/>
          <w:sz w:val="21"/>
          <w:szCs w:val="21"/>
        </w:rPr>
        <w:t>Ferreira A S, Da Silva N F, Papa J P, et al. Plant Leaf Classification Using Color and Texture Features[J]. IEEE Transactions on Image Processing, 2020, 29: 7565-7576.</w:t>
      </w:r>
      <w:bookmarkEnd w:id="187"/>
    </w:p>
    <w:p w14:paraId="5834E71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88"/>
    </w:p>
    <w:p w14:paraId="001ED1F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89"/>
    </w:p>
    <w:p w14:paraId="6704C8B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0"/>
    </w:p>
    <w:p w14:paraId="38FB150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1"/>
    </w:p>
    <w:p w14:paraId="792C2E4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4291464"/>
      <w:r>
        <w:rPr>
          <w:rFonts w:hint="eastAsia"/>
          <w:color w:val="000000"/>
          <w:sz w:val="21"/>
          <w:szCs w:val="21"/>
        </w:rPr>
        <w:t>Jiang Q Y, Li W J. Deep Cross-Modal Hashing[C]//Proceedings of the IEEE Conference on Computer Vision and Pattern Recognition. Honolulu, USA, 2017: 3232-3240.</w:t>
      </w:r>
      <w:bookmarkEnd w:id="192"/>
    </w:p>
    <w:p w14:paraId="44771A2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3"/>
    </w:p>
    <w:p w14:paraId="0119669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4"/>
    </w:p>
    <w:p w14:paraId="5683E29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5"/>
    </w:p>
    <w:p w14:paraId="178000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6"/>
    </w:p>
    <w:p w14:paraId="248FAEC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7"/>
    </w:p>
    <w:p w14:paraId="630E9E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198"/>
    </w:p>
    <w:p w14:paraId="74D805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199"/>
    </w:p>
    <w:p w14:paraId="59D6509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0"/>
    </w:p>
    <w:p w14:paraId="7ACC43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1"/>
    </w:p>
    <w:p w14:paraId="12E6CDA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2"/>
    </w:p>
    <w:p w14:paraId="463F559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3"/>
    </w:p>
    <w:p w14:paraId="27B9856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4"/>
    </w:p>
    <w:p w14:paraId="48ACCCD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5"/>
    </w:p>
    <w:p w14:paraId="57C2D6B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4359187"/>
      <w:r>
        <w:rPr>
          <w:rFonts w:hint="eastAsia"/>
          <w:color w:val="000000"/>
          <w:sz w:val="21"/>
          <w:szCs w:val="21"/>
        </w:rPr>
        <w:t>Lin M, Chen Q, Yan S. Network In Network[C]//Proceedings of the 2nd International Conference on Learning Representations. Banff, Canada, 2014.</w:t>
      </w:r>
      <w:bookmarkEnd w:id="206"/>
    </w:p>
    <w:p w14:paraId="7DA27D1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7"/>
    </w:p>
    <w:p w14:paraId="35896D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08"/>
    </w:p>
    <w:p w14:paraId="41DA5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09"/>
    </w:p>
    <w:p w14:paraId="16BD65F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0"/>
    </w:p>
    <w:p w14:paraId="6E2180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1"/>
    </w:p>
    <w:p w14:paraId="2753C1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2"/>
    </w:p>
    <w:p w14:paraId="28218E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3"/>
    </w:p>
    <w:p w14:paraId="7BBFD74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40964338"/>
      <w:r>
        <w:rPr>
          <w:rFonts w:hint="eastAsia"/>
          <w:color w:val="000000"/>
          <w:sz w:val="21"/>
          <w:szCs w:val="21"/>
        </w:rPr>
        <w:t>Zhang S, Wang Z, Zhang Y, et al. A Survey of Vision and Language Related Multi-Modal Task[J]. Artificial Intelligence Review, 2022, 55(6): 4685-4715.</w:t>
      </w:r>
      <w:bookmarkEnd w:id="214"/>
    </w:p>
    <w:p w14:paraId="2974D01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5"/>
    </w:p>
    <w:p w14:paraId="237D8B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6"/>
    </w:p>
    <w:p w14:paraId="2B48DC4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7"/>
    </w:p>
    <w:p w14:paraId="2B88EE1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18"/>
    </w:p>
    <w:p w14:paraId="16BC834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19"/>
    </w:p>
    <w:p w14:paraId="6823039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0"/>
    </w:p>
    <w:p w14:paraId="581834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8124780"/>
      <w:r>
        <w:rPr>
          <w:rFonts w:hint="eastAsia"/>
          <w:color w:val="000000"/>
          <w:sz w:val="21"/>
          <w:szCs w:val="21"/>
        </w:rPr>
        <w:t>Li X, Yang J, Ma J. Recent Developments of Content-Based Image Retrieval (CBIR)[J]. Neurocomputing, 2021, 452: 675-689.</w:t>
      </w:r>
      <w:bookmarkEnd w:id="221"/>
    </w:p>
    <w:p w14:paraId="72E60E0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2"/>
    </w:p>
    <w:p w14:paraId="259C207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3"/>
    </w:p>
    <w:p w14:paraId="007BE63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4"/>
    </w:p>
    <w:p w14:paraId="74E570A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91771899"/>
      <w:r>
        <w:rPr>
          <w:rFonts w:hint="eastAsia"/>
          <w:color w:val="000000"/>
          <w:sz w:val="21"/>
          <w:szCs w:val="21"/>
        </w:rPr>
        <w:t>京津冀古树名木保护研究中心. 京津冀古树寻踪[M]. 北京: 中国建筑工业出版社, 2019.</w:t>
      </w:r>
      <w:bookmarkEnd w:id="225"/>
    </w:p>
    <w:p w14:paraId="2BF009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2881161"/>
      <w:r>
        <w:rPr>
          <w:rFonts w:hint="eastAsia"/>
          <w:color w:val="000000"/>
          <w:sz w:val="21"/>
          <w:szCs w:val="21"/>
        </w:rPr>
        <w:t>Shorten C, Khoshgoftaar T M. A Survey on Image Data Augmentation for Deep Learning[J]. Journal of Big Data, 2019, 6(1): 1-48.</w:t>
      </w:r>
      <w:bookmarkEnd w:id="226"/>
    </w:p>
    <w:p w14:paraId="3B092F2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7"/>
    </w:p>
    <w:p w14:paraId="3E2DF2F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5099685"/>
      <w:r>
        <w:rPr>
          <w:rFonts w:hint="eastAsia"/>
          <w:color w:val="000000"/>
          <w:sz w:val="21"/>
          <w:szCs w:val="21"/>
        </w:rPr>
        <w:t>Sommerville I. Software Engineering[M]. 10th ed. Boston: Addison-Wesley, 2015: 125-130.</w:t>
      </w:r>
      <w:bookmarkEnd w:id="228"/>
    </w:p>
    <w:p w14:paraId="51A512E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6124912"/>
      <w:r>
        <w:rPr>
          <w:rFonts w:hint="eastAsia"/>
          <w:color w:val="000000"/>
          <w:sz w:val="21"/>
          <w:szCs w:val="21"/>
        </w:rPr>
        <w:t>Sandhu R S, Coyne E J, Feinstein H L, et al. Role-Based Access Control Models[J]. Computer, 1996, 29(2): 38-47.</w:t>
      </w:r>
      <w:bookmarkEnd w:id="229"/>
    </w:p>
    <w:p w14:paraId="383CB1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6645929"/>
      <w:r>
        <w:rPr>
          <w:rFonts w:hint="eastAsia"/>
          <w:color w:val="000000"/>
          <w:sz w:val="21"/>
          <w:szCs w:val="21"/>
        </w:rPr>
        <w:t>You Y. Vue.js[M]. Birmingham: Packt Publishing Ltd, 2022.</w:t>
      </w:r>
      <w:bookmarkEnd w:id="230"/>
    </w:p>
    <w:p w14:paraId="420B4EF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1"/>
    </w:p>
    <w:p w14:paraId="4FCBCA1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2"/>
    </w:p>
    <w:p w14:paraId="2D1133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4601"/>
      <w:r>
        <w:rPr>
          <w:rFonts w:hint="eastAsia"/>
          <w:color w:val="000000"/>
          <w:sz w:val="21"/>
          <w:szCs w:val="21"/>
        </w:rPr>
        <w:t>国家林业局. 古树名木普查技术规范: LY/T 2738-2016[S]. 北京: 中国标准出版社, 2016.</w:t>
      </w:r>
      <w:bookmarkEnd w:id="233"/>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1DD2A2C"/>
    <w:multiLevelType w:val="singleLevel"/>
    <w:tmpl w:val="51DD2A2C"/>
    <w:lvl w:ilvl="0" w:tentative="0">
      <w:start w:val="1"/>
      <w:numFmt w:val="decimal"/>
      <w:suff w:val="nothing"/>
      <w:lvlText w:val="（%1）"/>
      <w:lvlJc w:val="left"/>
    </w:lvl>
  </w:abstractNum>
  <w:abstractNum w:abstractNumId="10">
    <w:nsid w:val="530E1F57"/>
    <w:multiLevelType w:val="singleLevel"/>
    <w:tmpl w:val="530E1F57"/>
    <w:lvl w:ilvl="0" w:tentative="0">
      <w:start w:val="2"/>
      <w:numFmt w:val="decimal"/>
      <w:suff w:val="nothing"/>
      <w:lvlText w:val="（%1）"/>
      <w:lvlJc w:val="left"/>
    </w:lvl>
  </w:abstractNum>
  <w:abstractNum w:abstractNumId="11">
    <w:nsid w:val="571303EE"/>
    <w:multiLevelType w:val="singleLevel"/>
    <w:tmpl w:val="571303EE"/>
    <w:lvl w:ilvl="0" w:tentative="0">
      <w:start w:val="1"/>
      <w:numFmt w:val="decimal"/>
      <w:suff w:val="nothing"/>
      <w:lvlText w:val="（%1）"/>
      <w:lvlJc w:val="left"/>
    </w:lvl>
  </w:abstractNum>
  <w:abstractNum w:abstractNumId="12">
    <w:nsid w:val="59546352"/>
    <w:multiLevelType w:val="singleLevel"/>
    <w:tmpl w:val="59546352"/>
    <w:lvl w:ilvl="0" w:tentative="0">
      <w:start w:val="1"/>
      <w:numFmt w:val="decimal"/>
      <w:suff w:val="nothing"/>
      <w:lvlText w:val="（%1）"/>
      <w:lvlJc w:val="left"/>
    </w:lvl>
  </w:abstractNum>
  <w:abstractNum w:abstractNumId="13">
    <w:nsid w:val="6AC83C8B"/>
    <w:multiLevelType w:val="singleLevel"/>
    <w:tmpl w:val="6AC83C8B"/>
    <w:lvl w:ilvl="0" w:tentative="0">
      <w:start w:val="1"/>
      <w:numFmt w:val="decimal"/>
      <w:suff w:val="space"/>
      <w:lvlText w:val="(%1)"/>
      <w:lvlJc w:val="left"/>
    </w:lvl>
  </w:abstractNum>
  <w:abstractNum w:abstractNumId="14">
    <w:nsid w:val="7BF7FD39"/>
    <w:multiLevelType w:val="singleLevel"/>
    <w:tmpl w:val="7BF7FD39"/>
    <w:lvl w:ilvl="0" w:tentative="0">
      <w:start w:val="1"/>
      <w:numFmt w:val="decimal"/>
      <w:suff w:val="nothing"/>
      <w:lvlText w:val="（%1）"/>
      <w:lvlJc w:val="left"/>
    </w:lvl>
  </w:abstractNum>
  <w:abstractNum w:abstractNumId="15">
    <w:nsid w:val="7CF275E0"/>
    <w:multiLevelType w:val="singleLevel"/>
    <w:tmpl w:val="7CF275E0"/>
    <w:lvl w:ilvl="0" w:tentative="0">
      <w:start w:val="2"/>
      <w:numFmt w:val="decimal"/>
      <w:suff w:val="nothing"/>
      <w:lvlText w:val="（%1）"/>
      <w:lvlJc w:val="left"/>
    </w:lvl>
  </w:abstractNum>
  <w:abstractNum w:abstractNumId="16">
    <w:nsid w:val="7EF3084F"/>
    <w:multiLevelType w:val="singleLevel"/>
    <w:tmpl w:val="7EF3084F"/>
    <w:lvl w:ilvl="0" w:tentative="0">
      <w:start w:val="1"/>
      <w:numFmt w:val="decimal"/>
      <w:suff w:val="nothing"/>
      <w:lvlText w:val="（%1）"/>
      <w:lvlJc w:val="left"/>
    </w:lvl>
  </w:abstractNum>
  <w:num w:numId="1">
    <w:abstractNumId w:val="12"/>
  </w:num>
  <w:num w:numId="2">
    <w:abstractNumId w:val="13"/>
  </w:num>
  <w:num w:numId="3">
    <w:abstractNumId w:val="15"/>
  </w:num>
  <w:num w:numId="4">
    <w:abstractNumId w:val="3"/>
  </w:num>
  <w:num w:numId="5">
    <w:abstractNumId w:val="9"/>
  </w:num>
  <w:num w:numId="6">
    <w:abstractNumId w:val="16"/>
  </w:num>
  <w:num w:numId="7">
    <w:abstractNumId w:val="5"/>
  </w:num>
  <w:num w:numId="8">
    <w:abstractNumId w:val="4"/>
  </w:num>
  <w:num w:numId="9">
    <w:abstractNumId w:val="8"/>
  </w:num>
  <w:num w:numId="10">
    <w:abstractNumId w:val="10"/>
  </w:num>
  <w:num w:numId="11">
    <w:abstractNumId w:val="2"/>
  </w:num>
  <w:num w:numId="12">
    <w:abstractNumId w:val="11"/>
  </w:num>
  <w:num w:numId="13">
    <w:abstractNumId w:val="0"/>
  </w:num>
  <w:num w:numId="14">
    <w:abstractNumId w:val="7"/>
  </w:num>
  <w:num w:numId="15">
    <w:abstractNumId w:val="14"/>
  </w:num>
  <w:num w:numId="16">
    <w:abstractNumId w:val="1"/>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47F12"/>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97D30"/>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743B5"/>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0B6A0C"/>
    <w:rsid w:val="02105DD0"/>
    <w:rsid w:val="0216715F"/>
    <w:rsid w:val="021C29C7"/>
    <w:rsid w:val="021D04ED"/>
    <w:rsid w:val="021F7DC1"/>
    <w:rsid w:val="0224362A"/>
    <w:rsid w:val="022573A2"/>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0291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A5E33"/>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1C4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8358F"/>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4DF1"/>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014FAA"/>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AF2C58"/>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1697"/>
    <w:rsid w:val="113F4015"/>
    <w:rsid w:val="114415F3"/>
    <w:rsid w:val="11477282"/>
    <w:rsid w:val="114A0BD3"/>
    <w:rsid w:val="11585FBF"/>
    <w:rsid w:val="115D0906"/>
    <w:rsid w:val="11687925"/>
    <w:rsid w:val="11731ED8"/>
    <w:rsid w:val="11762382"/>
    <w:rsid w:val="117874EE"/>
    <w:rsid w:val="117B1425"/>
    <w:rsid w:val="11825E91"/>
    <w:rsid w:val="118440E5"/>
    <w:rsid w:val="119027DB"/>
    <w:rsid w:val="119A3908"/>
    <w:rsid w:val="119B1D62"/>
    <w:rsid w:val="11B10C8D"/>
    <w:rsid w:val="11B81FE1"/>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81312C"/>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957B5"/>
    <w:rsid w:val="193C7053"/>
    <w:rsid w:val="193E0B05"/>
    <w:rsid w:val="1942602D"/>
    <w:rsid w:val="19435421"/>
    <w:rsid w:val="194D1260"/>
    <w:rsid w:val="195C14A3"/>
    <w:rsid w:val="195C5DF6"/>
    <w:rsid w:val="19631CB7"/>
    <w:rsid w:val="19706118"/>
    <w:rsid w:val="19744A3F"/>
    <w:rsid w:val="197D4330"/>
    <w:rsid w:val="199A4A77"/>
    <w:rsid w:val="199B6470"/>
    <w:rsid w:val="19AC242B"/>
    <w:rsid w:val="19B6671E"/>
    <w:rsid w:val="19B854D3"/>
    <w:rsid w:val="19B915C3"/>
    <w:rsid w:val="19BA4605"/>
    <w:rsid w:val="19C0022C"/>
    <w:rsid w:val="19C220EE"/>
    <w:rsid w:val="19C71B4A"/>
    <w:rsid w:val="19CB211F"/>
    <w:rsid w:val="19D64119"/>
    <w:rsid w:val="19E33973"/>
    <w:rsid w:val="19E90135"/>
    <w:rsid w:val="19E90A8E"/>
    <w:rsid w:val="19EA2F53"/>
    <w:rsid w:val="19EC7C28"/>
    <w:rsid w:val="19F20775"/>
    <w:rsid w:val="19F25277"/>
    <w:rsid w:val="19F450C8"/>
    <w:rsid w:val="19FA6567"/>
    <w:rsid w:val="1A041C53"/>
    <w:rsid w:val="1A080271"/>
    <w:rsid w:val="1A141D7E"/>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6923E1"/>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CF16A6"/>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34627"/>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C02A2"/>
    <w:rsid w:val="22CD73BB"/>
    <w:rsid w:val="22D14565"/>
    <w:rsid w:val="22D57C93"/>
    <w:rsid w:val="22DD18A7"/>
    <w:rsid w:val="22E22A19"/>
    <w:rsid w:val="22E76282"/>
    <w:rsid w:val="22F6534C"/>
    <w:rsid w:val="22F776BB"/>
    <w:rsid w:val="22FB7368"/>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5D6CCF"/>
    <w:rsid w:val="25641BC4"/>
    <w:rsid w:val="256A6A4D"/>
    <w:rsid w:val="257A162F"/>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D3F2A"/>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1714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247DBB"/>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B01B4"/>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47877"/>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8E56A9"/>
    <w:rsid w:val="2D974A4D"/>
    <w:rsid w:val="2D9818DA"/>
    <w:rsid w:val="2D996C9F"/>
    <w:rsid w:val="2D9B4310"/>
    <w:rsid w:val="2D9E3EBE"/>
    <w:rsid w:val="2D9E7E85"/>
    <w:rsid w:val="2DA03EB2"/>
    <w:rsid w:val="2DAA5406"/>
    <w:rsid w:val="2DB256DE"/>
    <w:rsid w:val="2DC428C2"/>
    <w:rsid w:val="2DC7118A"/>
    <w:rsid w:val="2DCE1EBA"/>
    <w:rsid w:val="2DCE51F6"/>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931C8"/>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0D15A9"/>
    <w:rsid w:val="31142151"/>
    <w:rsid w:val="31164B35"/>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9E298D"/>
    <w:rsid w:val="33A146B4"/>
    <w:rsid w:val="33AA78FC"/>
    <w:rsid w:val="33AE32BE"/>
    <w:rsid w:val="33B4169A"/>
    <w:rsid w:val="33B52BE2"/>
    <w:rsid w:val="33B57CD6"/>
    <w:rsid w:val="33BA009C"/>
    <w:rsid w:val="33BB54C8"/>
    <w:rsid w:val="33BC72B7"/>
    <w:rsid w:val="33BD46BD"/>
    <w:rsid w:val="33BD5082"/>
    <w:rsid w:val="33C54C52"/>
    <w:rsid w:val="33C9467F"/>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02734"/>
    <w:rsid w:val="34A57E48"/>
    <w:rsid w:val="34AE3A24"/>
    <w:rsid w:val="34B70380"/>
    <w:rsid w:val="34BBBCAD"/>
    <w:rsid w:val="34BE0AAF"/>
    <w:rsid w:val="34CA3E47"/>
    <w:rsid w:val="34D728C5"/>
    <w:rsid w:val="34D73428"/>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280C33"/>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4343E"/>
    <w:rsid w:val="3697ACF5"/>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33692"/>
    <w:rsid w:val="37170710"/>
    <w:rsid w:val="37200240"/>
    <w:rsid w:val="37213662"/>
    <w:rsid w:val="37270EEB"/>
    <w:rsid w:val="372F1658"/>
    <w:rsid w:val="37335AE2"/>
    <w:rsid w:val="373374EF"/>
    <w:rsid w:val="37350AF3"/>
    <w:rsid w:val="37425D25"/>
    <w:rsid w:val="37472E2C"/>
    <w:rsid w:val="374A56DA"/>
    <w:rsid w:val="37591B4A"/>
    <w:rsid w:val="375C50DA"/>
    <w:rsid w:val="3765796B"/>
    <w:rsid w:val="37667C65"/>
    <w:rsid w:val="37690C0C"/>
    <w:rsid w:val="376911DC"/>
    <w:rsid w:val="376F7F2C"/>
    <w:rsid w:val="37702892"/>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46968"/>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0099C"/>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5BA1"/>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74E47"/>
    <w:rsid w:val="3C0B2B89"/>
    <w:rsid w:val="3C0F3CD2"/>
    <w:rsid w:val="3C114363"/>
    <w:rsid w:val="3C19512D"/>
    <w:rsid w:val="3C24649A"/>
    <w:rsid w:val="3C291261"/>
    <w:rsid w:val="3C397F0C"/>
    <w:rsid w:val="3C3E2F5F"/>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83F05"/>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1A9"/>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E7F68"/>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96E1C"/>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01BA1"/>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A4797"/>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E8208B"/>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4B5402"/>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8E50B1"/>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DF590D"/>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692FE8"/>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C332C4"/>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20310C"/>
    <w:rsid w:val="4E371BEE"/>
    <w:rsid w:val="4E3917D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2C1180"/>
    <w:rsid w:val="512F2A1E"/>
    <w:rsid w:val="51387B25"/>
    <w:rsid w:val="513E5E10"/>
    <w:rsid w:val="514069D9"/>
    <w:rsid w:val="51407A55"/>
    <w:rsid w:val="51453FF0"/>
    <w:rsid w:val="51581F75"/>
    <w:rsid w:val="51625807"/>
    <w:rsid w:val="51644DBE"/>
    <w:rsid w:val="516A1CA8"/>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DF269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426781"/>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AD03B6"/>
    <w:rsid w:val="55BBB0B5"/>
    <w:rsid w:val="55BF31FD"/>
    <w:rsid w:val="55BFA47E"/>
    <w:rsid w:val="55C23E61"/>
    <w:rsid w:val="55D0251B"/>
    <w:rsid w:val="55D676A6"/>
    <w:rsid w:val="55DA1CA8"/>
    <w:rsid w:val="55E115A8"/>
    <w:rsid w:val="55F312DF"/>
    <w:rsid w:val="55F34CF7"/>
    <w:rsid w:val="55F72CAE"/>
    <w:rsid w:val="55FF932F"/>
    <w:rsid w:val="5606119F"/>
    <w:rsid w:val="560C5B61"/>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132D4"/>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4A7EBE"/>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05E30"/>
    <w:rsid w:val="5AF1353F"/>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2051D"/>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6D58CD"/>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1F635B"/>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55C05"/>
    <w:rsid w:val="6B8F08DB"/>
    <w:rsid w:val="6B9145AA"/>
    <w:rsid w:val="6B9B2D32"/>
    <w:rsid w:val="6BA16F19"/>
    <w:rsid w:val="6BA79EDB"/>
    <w:rsid w:val="6BAE29BD"/>
    <w:rsid w:val="6BB13EA5"/>
    <w:rsid w:val="6BB1CE4A"/>
    <w:rsid w:val="6BB31F44"/>
    <w:rsid w:val="6BB649E3"/>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01176"/>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078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71838"/>
    <w:rsid w:val="731D7050"/>
    <w:rsid w:val="73243F55"/>
    <w:rsid w:val="7327151F"/>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B605B"/>
    <w:rsid w:val="74AFA636"/>
    <w:rsid w:val="74B46920"/>
    <w:rsid w:val="74B819D9"/>
    <w:rsid w:val="74B86703"/>
    <w:rsid w:val="74BE69A6"/>
    <w:rsid w:val="74C13CF7"/>
    <w:rsid w:val="74C54FD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02CEA"/>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85868"/>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6C5A"/>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3DCD"/>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40FD"/>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svg"/><Relationship Id="rId62" Type="http://schemas.openxmlformats.org/officeDocument/2006/relationships/image" Target="media/image32.png"/><Relationship Id="rId61" Type="http://schemas.openxmlformats.org/officeDocument/2006/relationships/image" Target="media/image31.sv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12107</Words>
  <Characters>16523</Characters>
  <Lines>1628</Lines>
  <Paragraphs>1460</Paragraphs>
  <TotalTime>115</TotalTime>
  <ScaleCrop>false</ScaleCrop>
  <LinksUpToDate>false</LinksUpToDate>
  <CharactersWithSpaces>17347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2026-06-01T03:14:50Z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