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Contrastive Loss and Quantization Loss is adopted together with hard negative mining to handle imbalanced categories. An FC-Tanh-Sign hash layer maps continuous features into compact 128-bit binary codes, reducing</w:t>
      </w:r>
      <w:r>
        <w:rPr>
          <w:rFonts w:hint="eastAsia"/>
          <w:sz w:val="21"/>
          <w:szCs w:val="21"/>
          <w:lang w:val="en-US" w:eastAsia="zh-CN"/>
        </w:rPr>
        <w:t xml:space="preserve"> </w:t>
      </w:r>
      <w:r>
        <w:rPr>
          <w:rFonts w:hint="eastAsia"/>
          <w:sz w:val="21"/>
          <w:szCs w:val="21"/>
        </w:rPr>
        <w:t>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The full DHLAM model achieves an mAP of 0.741 (on iNaturalist 2018)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w:t>
      </w:r>
      <w:r>
        <w:rPr>
          <w:rFonts w:hint="eastAsia"/>
          <w:sz w:val="21"/>
          <w:szCs w:val="21"/>
          <w:lang w:val="en-US" w:eastAsia="zh-CN"/>
        </w:rPr>
        <w:t>-</w:t>
      </w:r>
      <w:r>
        <w:rPr>
          <w:rFonts w:hint="eastAsia"/>
          <w:sz w:val="21"/>
          <w:szCs w:val="21"/>
        </w:rPr>
        <w:t>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655AE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w:t>
      </w:r>
      <w:bookmarkStart w:id="235" w:name="_GoBack"/>
      <w:bookmarkEnd w:id="235"/>
      <w:r>
        <w:rPr>
          <w:rFonts w:hint="eastAsia"/>
        </w:rPr>
        <w:t>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10BB8"/>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77FBB"/>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11CE3"/>
    <w:rsid w:val="652561BA"/>
    <w:rsid w:val="652D7DDC"/>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9606</Words>
  <Characters>13374</Characters>
  <Lines>1628</Lines>
  <Paragraphs>1460</Paragraphs>
  <TotalTime>120</TotalTime>
  <ScaleCrop>false</ScaleCrop>
  <LinksUpToDate>false</LinksUpToDate>
  <CharactersWithSpaces>13979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2026-05-15T03:59:58Z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