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21715"/>
      <w:bookmarkStart w:id="2" w:name="_Toc8598"/>
      <w:bookmarkStart w:id="3" w:name="_Toc22211"/>
      <w:bookmarkStart w:id="4" w:name="_Toc211470751"/>
      <w:bookmarkStart w:id="5" w:name="_Toc25711"/>
      <w:bookmarkStart w:id="6" w:name="_Toc7456"/>
      <w:bookmarkStart w:id="7" w:name="_Toc11806"/>
      <w:bookmarkStart w:id="8" w:name="_Toc10403"/>
      <w:bookmarkStart w:id="9" w:name="_Toc12473"/>
      <w:bookmarkStart w:id="10" w:name="_Toc6575"/>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Fonts w:hint="eastAsia"/>
          <w:sz w:val="24"/>
          <w:lang w:eastAsia="zh-CN"/>
        </w:rPr>
        <w:t>DHLM</w:t>
      </w:r>
      <w:r>
        <w:rPr>
          <w:rFonts w:hint="default"/>
          <w:sz w:val="24"/>
        </w:rPr>
        <w:t>（</w:t>
      </w:r>
      <w:r>
        <w:rPr>
          <w:rFonts w:hint="default"/>
          <w:b/>
          <w:bCs/>
          <w:sz w:val="24"/>
        </w:rPr>
        <w:t>D</w:t>
      </w:r>
      <w:r>
        <w:rPr>
          <w:rFonts w:hint="default"/>
          <w:sz w:val="24"/>
        </w:rPr>
        <w:t xml:space="preserve">eep </w:t>
      </w:r>
      <w:r>
        <w:rPr>
          <w:rFonts w:hint="default"/>
          <w:b/>
          <w:bCs/>
          <w:sz w:val="24"/>
        </w:rPr>
        <w:t>H</w:t>
      </w:r>
      <w:r>
        <w:rPr>
          <w:rFonts w:hint="default"/>
          <w:sz w:val="24"/>
        </w:rPr>
        <w:t xml:space="preserve">ashing </w:t>
      </w:r>
      <w:r>
        <w:rPr>
          <w:rFonts w:hint="default"/>
          <w:b/>
          <w:bCs/>
          <w:sz w:val="24"/>
        </w:rPr>
        <w:t>L</w:t>
      </w:r>
      <w:r>
        <w:rPr>
          <w:rFonts w:hint="default"/>
          <w:sz w:val="24"/>
        </w:rPr>
        <w:t xml:space="preserve">earning </w:t>
      </w:r>
      <w:r>
        <w:rPr>
          <w:rFonts w:hint="default"/>
          <w:b/>
          <w:bCs/>
          <w:sz w:val="24"/>
        </w:rPr>
        <w:t>M</w:t>
      </w:r>
      <w:r>
        <w:rPr>
          <w:rFonts w:hint="default"/>
          <w:sz w:val="24"/>
        </w:rPr>
        <w:t>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w:t>
      </w:r>
      <w:r>
        <w:rPr>
          <w:rFonts w:hint="eastAsia"/>
          <w:sz w:val="24"/>
          <w:lang w:eastAsia="zh-CN"/>
        </w:rPr>
        <w:t>DHLM</w:t>
      </w:r>
      <w:r>
        <w:rPr>
          <w:rFonts w:hint="default"/>
          <w:sz w:val="24"/>
        </w:rPr>
        <w:t>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设计双分支哈希投影机制，将图像特征与位置特征分别映射至128维哈希语义空间后加权融合，生成128位二进制哈希码；此外，通过多路融合策略验证确定特征拼接为最优融合方案，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基线对比与消融实验，与HashNet、DCH和MDSH三个基线模型公平对比；在自建BFATH数据集上进行领域微调与系统演示验证，以mAP、Recall@K和Precision@K验证模型有效性。实验结果表明，DHL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870"/>
      <w:bookmarkStart w:id="15" w:name="_Toc27917"/>
      <w:bookmarkStart w:id="16" w:name="_Toc26449"/>
      <w:bookmarkStart w:id="17" w:name="_Toc6356"/>
      <w:bookmarkStart w:id="18" w:name="_Toc24376"/>
      <w:bookmarkStart w:id="19" w:name="_Toc25211"/>
      <w:bookmarkStart w:id="20" w:name="_Toc23928"/>
      <w:bookmarkStart w:id="21" w:name="_Toc211470756"/>
      <w:bookmarkStart w:id="22" w:name="_Toc22267"/>
      <w:bookmarkStart w:id="23" w:name="_Toc9147"/>
      <w:bookmarkStart w:id="24" w:name="_Toc31812"/>
      <w:bookmarkStart w:id="25" w:name="_Toc26034"/>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 proposes the DHLM model to tackle class imbalance and complex background interference in ancient tree retrieval. A joint loss combining Triplet Loss, Contrastive Loss and Quantization Loss is adopted together with hard negative mining. A dual-branch hash projection mechanism is designed to map image and location features into 128-dimensional hash semantic spaces respectively, followed by weighted fusion to generate 128-bit binary hash codes. A multi-path fusion verification strategy is employed to confirm feature concatenation as the optimal fusion scheme, integrating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Fine-tuning along with system demonstration validation are performed on our self-built BFATH dataset, with mAP, Recall@K, and Precision@K as evaluation metrics.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w:t>
      </w:r>
      <w:r>
        <w:rPr>
          <w:rFonts w:hint="eastAsia"/>
          <w:sz w:val="21"/>
          <w:szCs w:val="21"/>
          <w:lang w:eastAsia="zh-CN"/>
        </w:rPr>
        <w:t>DHLM</w:t>
      </w:r>
      <w:r>
        <w:rPr>
          <w:rFonts w:hint="eastAsia"/>
          <w:sz w:val="21"/>
          <w:szCs w:val="21"/>
        </w:rPr>
        <w:t xml:space="preserve">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4984"/>
      <w:bookmarkStart w:id="31" w:name="_Toc26559"/>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9217"/>
      <w:bookmarkStart w:id="36" w:name="_Toc17178"/>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Multi-modal Network，简称</w:t>
      </w:r>
      <w:r>
        <w:rPr>
          <w:rFonts w:hint="eastAsia"/>
          <w:sz w:val="24"/>
          <w:lang w:eastAsia="zh-CN"/>
        </w:rPr>
        <w:t>DHLM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在哈希生成层，构建双分支哈希投影机制，将图像特征与位置特征分别映射至128维哈希语义空间后加权融合，配合量化损失模块生成128位二进制哈希码。通过引入Triplet Loss和Contrastive Loss进行度量学习优化，提升网络对古树名木的多模态特征对齐能力。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哈希层、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模态检索模型。本章提出了基于ResNet-50、LocationEncoder和双分支哈希投影机制</w:t>
      </w:r>
      <w:r>
        <w:rPr>
          <w:rFonts w:hint="eastAsia"/>
          <w:lang w:val="en-US" w:eastAsia="zh-CN"/>
        </w:rPr>
        <w:t>的DHLM模型</w:t>
      </w:r>
      <w:r>
        <w:rPr>
          <w:rFonts w:hint="eastAsia"/>
        </w:rPr>
        <w:t>，提出结合Triplet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图像-地理位置多模态检索。基于需求分析进行数据库设计，实现了用户权限管理、资源管理、古树名木信息展示和古树名木检索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9721"/>
      <w:bookmarkStart w:id="57" w:name="_Toc2112"/>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6642"/>
      <w:bookmarkStart w:id="75" w:name="_Toc31038"/>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重点阐述多路融合策略验证过程与双分支哈希投影机制（Dual-branch Hash Projection, DBHP）的设计动机，并设计多损失联合优化策略贯穿训练过程。为验证模型的有效性，本章选取iNaturalist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8"/>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2018验证集上对比了特征拼接、门控融合、逐元素相加和逐元素相乘四种方案，详细实验结果与论证见3.4.2节与表3.6。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哈希层负责将融合特征向量映射为紧凑的二进制哈希码，以实现高效的近似最近邻检索。该层采用双分支哈希投影机制（</w:t>
      </w:r>
      <w:r>
        <w:rPr>
          <w:rFonts w:hint="eastAsia"/>
        </w:rPr>
        <w:t>DBHP</w:t>
      </w:r>
      <w:r>
        <w:rPr>
          <w:rFonts w:hint="eastAsia"/>
          <w:lang w:val="en-US" w:eastAsia="zh-CN"/>
        </w:rPr>
        <w:t>），将图像特征与位置特征分别通过独立投影矩阵映射至128维哈希语义空间，再通过可学习权重在哈希空间进行加权融合；在训练阶段输出连续值，并通过量化损失约束减小与离散哈希码之间的量化差距；在推理阶段通过符号函数（Sign）将连续值量化为二进制哈希码，最终生成128位二进制哈希码。哈希层的详细设计与数学表达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w:t>
      </w:r>
      <w:r>
        <w:rPr>
          <w:rFonts w:hint="eastAsia"/>
          <w:lang w:val="en-US" w:eastAsia="zh-CN"/>
        </w:rPr>
        <w:t>6</w:t>
      </w:r>
      <w:r>
        <w:rPr>
          <w:rFonts w:hint="eastAsia"/>
        </w:rPr>
        <w:t>）和公式（3-</w:t>
      </w:r>
      <w:r>
        <w:rPr>
          <w:rFonts w:hint="eastAsia"/>
          <w:lang w:val="en-US" w:eastAsia="zh-CN"/>
        </w:rPr>
        <w:t>7</w:t>
      </w:r>
      <w:r>
        <w:rPr>
          <w:rFonts w:hint="eastAsia"/>
        </w:rPr>
        <w:t>）所示：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w:t>
      </w:r>
      <w:r>
        <w:rPr>
          <w:rFonts w:hint="eastAsia" w:cs="Times New Roman"/>
          <w:i w:val="0"/>
          <w:iCs/>
          <w:lang w:val="en-US" w:eastAsia="zh-CN"/>
        </w:rPr>
        <w:t>6</w:t>
      </w:r>
      <w:r>
        <w:rPr>
          <w:rFonts w:hint="default" w:ascii="Times New Roman" w:hAnsi="Times New Roman" w:cs="Times New Roman"/>
          <w:i w:val="0"/>
          <w:iCs/>
          <w:lang w:val="en-US" w:eastAsia="zh-CN"/>
        </w:rPr>
        <w:t>）</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iCs/>
          <w:lang w:val="en-US" w:eastAsia="zh-CN"/>
        </w:rPr>
        <w:t>（3-</w:t>
      </w:r>
      <w:r>
        <w:rPr>
          <w:rFonts w:hint="eastAsia" w:cs="Times New Roman"/>
          <w:i w:val="0"/>
          <w:iCs/>
          <w:lang w:val="en-US" w:eastAsia="zh-CN"/>
        </w:rPr>
        <w:t>7</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w:t>
      </w:r>
      <w:r>
        <w:rPr>
          <w:rFonts w:hint="eastAsia"/>
          <w:lang w:val="en-US" w:eastAsia="zh-CN"/>
        </w:rPr>
        <w:t>8</w:t>
      </w:r>
      <w:r>
        <w:rPr>
          <w:rFonts w:hint="default"/>
          <w:lang w:val="en-US" w:eastAsia="zh-CN"/>
        </w:rPr>
        <w:t>）和公式（3-</w:t>
      </w:r>
      <w:r>
        <w:rPr>
          <w:rFonts w:hint="eastAsia"/>
          <w:lang w:val="en-US" w:eastAsia="zh-CN"/>
        </w:rPr>
        <w:t>9</w:t>
      </w:r>
      <w:r>
        <w:rPr>
          <w:rFonts w:hint="default"/>
          <w:lang w:val="en-US" w:eastAsia="zh-CN"/>
        </w:rPr>
        <w:t>）所示：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w:t>
      </w:r>
      <w:r>
        <w:rPr>
          <w:rStyle w:val="55"/>
          <w:rFonts w:hint="eastAsia" w:cs="Times New Roman"/>
          <w:i w:val="0"/>
          <w:iCs/>
          <w:lang w:val="en-US" w:eastAsia="zh-CN"/>
        </w:rPr>
        <w:t>8</w:t>
      </w:r>
      <w:r>
        <w:rPr>
          <w:rStyle w:val="55"/>
          <w:rFonts w:hint="default" w:ascii="Times New Roman" w:hAnsi="Times New Roman" w:cs="Times New Roman"/>
          <w:i w:val="0"/>
          <w:iCs/>
          <w:lang w:val="en-US" w:eastAsia="zh-CN"/>
        </w:rPr>
        <w:t>）</w:t>
      </w:r>
    </w:p>
    <w:p w14:paraId="3EDC95F1">
      <w:pPr>
        <w:bidi w:val="0"/>
        <w:ind w:firstLine="3403" w:firstLineChars="1418"/>
        <w:jc w:val="center"/>
        <w:rPr>
          <w:rStyle w:val="55"/>
          <w:rFonts w:hint="eastAsia"/>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default"/>
          <w:lang w:val="en-US" w:eastAsia="zh-CN"/>
        </w:rPr>
        <w:t>（3-</w:t>
      </w:r>
      <w:r>
        <w:rPr>
          <w:rStyle w:val="55"/>
          <w:rFonts w:hint="eastAsia"/>
          <w:lang w:val="en-US" w:eastAsia="zh-CN"/>
        </w:rPr>
        <w:t>9</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最终，通过符号函数将连续表示量化为二进制哈希码，如公式（3-10）所示：</w:t>
      </w:r>
    </w:p>
    <w:p w14:paraId="78E95238">
      <w:pPr>
        <w:pStyle w:val="54"/>
        <w:bidi w:val="0"/>
        <w:jc w:val="center"/>
        <w:rPr>
          <w:rFonts w:hint="eastAsia" w:eastAsia="宋体"/>
          <w:lang w:val="en-US" w:eastAsia="zh-CN"/>
        </w:rPr>
      </w:pPr>
      <w:r>
        <w:rPr>
          <w:rFonts w:hint="eastAsia" w:hAnsi="Cambria Math"/>
          <w:i w:val="0"/>
          <w:sz w:val="24"/>
          <w:lang w:val="en-US" w:eastAsia="zh-CN"/>
        </w:rPr>
        <w:t xml:space="preserve">      </w:t>
      </w:r>
      <w:r>
        <w:rPr>
          <w:rFonts w:hint="eastAsia" w:hAnsi="Cambria Math"/>
          <w:i w:val="0"/>
          <w:sz w:val="24"/>
          <w:lang w:val="en-US" w:eastAsia="zh-CN"/>
        </w:rPr>
        <w:tab/>
      </w:r>
      <m:oMath>
        <m:r>
          <m:rPr/>
          <w:rPr>
            <w:rFonts w:hint="default" w:ascii="Cambria Math" w:hAnsi="Cambria Math" w:eastAsia="宋体"/>
            <w:sz w:val="24"/>
          </w:rPr>
          <m:t>b=sign(h)</m:t>
        </m:r>
      </m:oMath>
      <w:r>
        <w:rPr>
          <w:rFonts w:hint="eastAsia" w:hAnsi="Cambria Math"/>
          <w:i w:val="0"/>
          <w:sz w:val="24"/>
          <w:lang w:val="en-US" w:eastAsia="zh-CN"/>
        </w:rPr>
        <w:tab/>
      </w:r>
      <w:r>
        <w:rPr>
          <w:rFonts w:hint="eastAsia" w:hAnsi="Cambria Math"/>
          <w:i w:val="0"/>
          <w:sz w:val="24"/>
          <w:lang w:eastAsia="zh-CN"/>
        </w:rPr>
        <w:t>（</w:t>
      </w:r>
      <w:r>
        <w:rPr>
          <w:rFonts w:hint="eastAsia" w:hAnsi="Cambria Math"/>
          <w:i w:val="0"/>
          <w:sz w:val="24"/>
          <w:lang w:val="en-US" w:eastAsia="zh-CN"/>
        </w:rPr>
        <w:t>3-10</w:t>
      </w:r>
      <w: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为减小训练阶段连续值与推理阶段离散值之间的量化误差，本文沿用量化损失进行约束，其数学表达式如公式（3-11）所示：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（3-11）</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需要注意的是，双分支投影未引入额外的非线性层或注意力模块，参数量与单路FC投影相比增量可忽略。现有图像-文本多模态哈希方法如DCMH</w:t>
      </w:r>
      <w:r>
        <w:rPr>
          <w:rFonts w:hint="eastAsia"/>
          <w:vertAlign w:val="superscript"/>
          <w:lang w:val="en-US" w:eastAsia="zh-CN"/>
        </w:rPr>
        <w:fldChar w:fldCharType="begin"/>
      </w:r>
      <w:r>
        <w:instrText xml:space="preserve"> REF _Ref1004291464 \r \h  \* MERGEFORMAT</w:instrText>
      </w:r>
      <w:r>
        <w:rPr>
          <w:rFonts w:hint="eastAsia"/>
          <w:vertAlign w:val="superscript"/>
          <w:lang w:val="en-US" w:eastAsia="zh-CN"/>
        </w:rPr>
        <w:fldChar w:fldCharType="separate"/>
      </w:r>
      <w:r>
        <w:rPr>
          <w:rFonts w:hint="eastAsia"/>
          <w:vertAlign w:val="superscript"/>
          <w:lang w:val="en-US" w:eastAsia="zh-CN"/>
        </w:rPr>
        <w:t>[9]</w:t>
      </w:r>
      <w:r>
        <w:rPr>
          <w:rFonts w:hint="eastAsia"/>
          <w:vertAlign w:val="superscript"/>
          <w:lang w:val="en-US" w:eastAsia="zh-CN"/>
        </w:rPr>
        <w:fldChar w:fldCharType="end"/>
      </w:r>
      <w:r>
        <w:rPr>
          <w:rFonts w:hint="eastAsia"/>
          <w:lang w:val="en-US" w:eastAsia="zh-CN"/>
        </w:rPr>
        <w:t>和SSAH</w:t>
      </w:r>
      <w:r>
        <w:rPr>
          <w:rFonts w:hint="eastAsia"/>
          <w:vertAlign w:val="superscript"/>
          <w:lang w:val="en-US" w:eastAsia="zh-CN"/>
        </w:rPr>
        <w:fldChar w:fldCharType="begin"/>
      </w:r>
      <w:r>
        <w:instrText xml:space="preserve"> REF _Ref1004678025 \r \h  \* MERGEFORMAT</w:instrText>
      </w:r>
      <w:r>
        <w:rPr>
          <w:rFonts w:hint="eastAsia"/>
          <w:vertAlign w:val="superscript"/>
          <w:lang w:val="en-US" w:eastAsia="zh-CN"/>
        </w:rPr>
        <w:fldChar w:fldCharType="separate"/>
      </w:r>
      <w:r>
        <w:rPr>
          <w:rFonts w:hint="eastAsia"/>
          <w:vertAlign w:val="superscript"/>
          <w:lang w:val="en-US" w:eastAsia="zh-CN"/>
        </w:rPr>
        <w:t>[10]</w:t>
      </w:r>
      <w:r>
        <w:rPr>
          <w:rFonts w:hint="eastAsia"/>
          <w:vertAlign w:val="superscript"/>
          <w:lang w:val="en-US" w:eastAsia="zh-CN"/>
        </w:rPr>
        <w:fldChar w:fldCharType="end"/>
      </w:r>
      <w:r>
        <w:rPr>
          <w:rFonts w:hint="eastAsia"/>
          <w:lang w:val="en-US" w:eastAsia="zh-CN"/>
        </w:rPr>
        <w:t>均同样采用各模态独立哈希投影的思想，但面向离散文本模态设计；本文将其适配至图像-地理位置坐标场景，并通过显式可学习融合权重增强哈希空间的可解释性，是针对古树名木多模态检索任务的适配性设计。</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Loss通过构建三元组(锚点a、正样本p、负样本n)学习判别性特征。对于每个锚点样本，从同类别中随机选取正样本，从不同类别中选取负样本。数学表达式如公式（3-12）所示：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2</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数学表达式如公式（3-13）所示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数学表达式如公式（3-14）所示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，其数学表达式见上述公式（3-11）。</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15）所示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，其数学表达式如公式（3-16）所示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w:t>
      </w:r>
      <w:r>
        <w:rPr>
          <w:rFonts w:hint="eastAsia"/>
          <w:lang w:val="en-US" w:eastAsia="zh-CN"/>
        </w:rPr>
        <w:t>10/16</w:t>
      </w:r>
      <w:r>
        <w:rPr>
          <w:rFonts w:hint="default"/>
          <w:lang w:val="en-US" w:eastAsia="zh-CN"/>
        </w:rPr>
        <w:t>，主导损失）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w:t>
      </w:r>
      <w:r>
        <w:rPr>
          <w:rFonts w:hint="eastAsia"/>
          <w:lang w:val="en-US" w:eastAsia="zh-CN"/>
        </w:rPr>
        <w:t>5/16</w:t>
      </w:r>
      <w:r>
        <w:rPr>
          <w:rFonts w:hint="default"/>
          <w:lang w:val="en-US" w:eastAsia="zh-CN"/>
        </w:rPr>
        <w:t>，辅助损失）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w:t>
      </w:r>
      <w:r>
        <w:rPr>
          <w:rFonts w:hint="eastAsia"/>
          <w:lang w:val="en-US" w:eastAsia="zh-CN"/>
        </w:rPr>
        <w:t>1/16</w:t>
      </w:r>
      <w:r>
        <w:rPr>
          <w:rFonts w:hint="default"/>
          <w:lang w:val="en-US" w:eastAsia="zh-CN"/>
        </w:rPr>
        <w:t>，约束损失）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三种损失权重按10:5:1的比例分配并归一化，满足λ₁+λ₂+λ₃=1。权重的设置遵循“主导-辅助”原则：Triplet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上述具体取值通过预实验探索确定，详细敏感性分析及验证见3.4.4节。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使用哈希层输出的连续值哈希码，通过余弦相似度度量查询样本与库样本的语义相似程度。余弦相似度计算数学表达式如公式（3-17）所示：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将哈希层输出的连续值通过Sign函数二值化为128位二进制哈希码，利用汉明距离度量样本间的相似性。汉明距离数学表达式如公式（3-18）所示：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未开启GPS导致坐标空值、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 200米的记录，该阈值覆盖消费级GPS在开阔地（5-50米）和城市峡谷（50-200米）的典型精度范围，同时有效剔除基站定位漂移及手动输入错误，此步保留率约83.2%；研究区域聚焦，保留北美东部温带区域（经度-100°W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移动设备GPS自动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经纬度坐标；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需要说明的是，DHLM-Image作为单模态变体，其哈希层沿用经典FC-Tanh-Sign结构；完整DHLM模型的多模态哈希层则采用3.2.4节所述的DBHP双分支投影机制。</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张）上设计消融实验。相比于BFATH测试集（30张），iNaturalist验证集样本量充足，统计波动显著降低，可为模块贡献提供更稳健的量化估计。本节设置以下五种模型配置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w:t>
      </w:r>
      <w:r>
        <w:rPr>
          <w:rFonts w:hint="eastAsia"/>
          <w:lang w:val="en-US" w:eastAsia="zh-CN"/>
        </w:rPr>
        <w:t>：</w:t>
      </w:r>
      <w:r>
        <w:rPr>
          <w:rFonts w:hint="default"/>
          <w:lang w:val="en-US" w:eastAsia="zh-CN"/>
        </w:rPr>
        <w:t>去除双分支哈希投影，改用单路FC(768→128)直接投影，其余配置不变。需要说明的是，该单路FC结构与HashNe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default"/>
          <w:lang w:val="en-US" w:eastAsia="zh-CN"/>
        </w:rPr>
        <w:t>、DCH</w:t>
      </w:r>
      <w:r>
        <w:rPr>
          <w:rFonts w:hint="default"/>
          <w:vertAlign w:val="superscript"/>
          <w:lang w:val="en-US" w:eastAsia="zh-CN"/>
        </w:rPr>
        <w:fldChar w:fldCharType="begin"/>
      </w:r>
      <w:r>
        <w:instrText xml:space="preserve"> REF _Ref1088561762 \r \h  \* MERGEFORMAT</w:instrText>
      </w:r>
      <w:r>
        <w:rPr>
          <w:rFonts w:hint="default"/>
          <w:vertAlign w:val="superscript"/>
          <w:lang w:val="en-US" w:eastAsia="zh-CN"/>
        </w:rPr>
        <w:fldChar w:fldCharType="separate"/>
      </w:r>
      <w:r>
        <w:rPr>
          <w:rFonts w:hint="default"/>
          <w:vertAlign w:val="superscript"/>
          <w:lang w:val="en-US" w:eastAsia="zh-CN"/>
        </w:rPr>
        <w:t>[41]</w:t>
      </w:r>
      <w:r>
        <w:rPr>
          <w:rFonts w:hint="default"/>
          <w:vertAlign w:val="superscript"/>
          <w:lang w:val="en-US" w:eastAsia="zh-CN"/>
        </w:rPr>
        <w:fldChar w:fldCharType="end"/>
      </w:r>
      <w:r>
        <w:rPr>
          <w:rFonts w:hint="default"/>
          <w:lang w:val="en-US" w:eastAsia="zh-CN"/>
        </w:rPr>
        <w:t>、MDSH</w:t>
      </w:r>
      <w:r>
        <w:rPr>
          <w:rFonts w:hint="default"/>
          <w:vertAlign w:val="superscript"/>
          <w:lang w:val="en-US" w:eastAsia="zh-CN"/>
        </w:rPr>
        <w:fldChar w:fldCharType="begin"/>
      </w:r>
      <w:r>
        <w:instrText xml:space="preserve"> REF _Ref1088864288 \r \h  \* MERGEFORMAT</w:instrText>
      </w:r>
      <w:r>
        <w:rPr>
          <w:rFonts w:hint="default"/>
          <w:vertAlign w:val="superscript"/>
          <w:lang w:val="en-US" w:eastAsia="zh-CN"/>
        </w:rPr>
        <w:fldChar w:fldCharType="separate"/>
      </w:r>
      <w:r>
        <w:rPr>
          <w:rFonts w:hint="default"/>
          <w:vertAlign w:val="superscript"/>
          <w:lang w:val="en-US" w:eastAsia="zh-CN"/>
        </w:rPr>
        <w:t>[42]</w:t>
      </w:r>
      <w:r>
        <w:rPr>
          <w:rFonts w:hint="default"/>
          <w:vertAlign w:val="superscript"/>
          <w:lang w:val="en-US" w:eastAsia="zh-CN"/>
        </w:rPr>
        <w:fldChar w:fldCharType="end"/>
      </w:r>
      <w:r>
        <w:rPr>
          <w:rFonts w:hint="default"/>
          <w:lang w:val="en-US" w:eastAsia="zh-CN"/>
        </w:rPr>
        <w:t>等基线方法的哈希层结构一致，因此w/o DBHP与FULL的对比可视为“已有单路投影方法”与“本文双分支投影方法”的公平对比。</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模型（含多模态融合、在线难例挖掘、量化损失和DBHP）</w:t>
      </w:r>
      <w:r>
        <w:rPr>
          <w:rFonts w:hint="eastAsia"/>
          <w:lang w:val="en-US" w:eastAsia="zh-CN"/>
        </w:rPr>
        <w:t>。</w:t>
      </w:r>
    </w:p>
    <w:p w14:paraId="6D8196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0A5327D">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5E8ADE2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100D6A5">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57656847">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5338B5EE">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6A90B61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14EB007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49" w:type="dxa"/>
            <w:tcBorders>
              <w:top w:val="single" w:color="000000" w:sz="12" w:space="0"/>
              <w:left w:val="nil"/>
              <w:bottom w:val="nil"/>
              <w:right w:val="nil"/>
            </w:tcBorders>
            <w:noWrap w:val="0"/>
            <w:tcMar>
              <w:top w:w="-1" w:type="dxa"/>
              <w:left w:w="-1" w:type="dxa"/>
              <w:bottom w:w="-1" w:type="dxa"/>
              <w:right w:w="-1" w:type="dxa"/>
            </w:tcMar>
            <w:vAlign w:val="center"/>
          </w:tcPr>
          <w:p w14:paraId="0964191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146D4FA4">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7A603467">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7E4C945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77838B6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2D7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49" w:type="dxa"/>
            <w:tcBorders>
              <w:top w:val="single" w:color="000000" w:sz="4" w:space="0"/>
              <w:left w:val="nil"/>
              <w:bottom w:val="nil"/>
              <w:right w:val="nil"/>
            </w:tcBorders>
            <w:noWrap w:val="0"/>
            <w:tcMar>
              <w:top w:w="-1" w:type="dxa"/>
              <w:left w:w="-1" w:type="dxa"/>
              <w:bottom w:w="-1" w:type="dxa"/>
              <w:right w:w="-1" w:type="dxa"/>
            </w:tcMar>
            <w:vAlign w:val="center"/>
          </w:tcPr>
          <w:p w14:paraId="78CDF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5B6FC7D5">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610B8A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862355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346350BB">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1F4464">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49" w:type="dxa"/>
            <w:tcBorders>
              <w:top w:val="nil"/>
              <w:left w:val="nil"/>
              <w:bottom w:val="nil"/>
              <w:right w:val="nil"/>
            </w:tcBorders>
            <w:noWrap w:val="0"/>
            <w:tcMar>
              <w:top w:w="-1" w:type="dxa"/>
              <w:left w:w="-1" w:type="dxa"/>
              <w:bottom w:w="-1" w:type="dxa"/>
              <w:right w:w="-1" w:type="dxa"/>
            </w:tcMar>
            <w:vAlign w:val="center"/>
          </w:tcPr>
          <w:p w14:paraId="1761FDC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6C0C0BCA">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9900CB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 xml:space="preserve">w/o </w:t>
            </w:r>
            <w:r>
              <w:rPr>
                <w:rFonts w:hint="eastAsia"/>
                <w:sz w:val="21"/>
                <w:lang w:val="en-US" w:eastAsia="zh-CN"/>
              </w:rPr>
              <w:t>DBHP</w:t>
            </w:r>
          </w:p>
        </w:tc>
        <w:tc>
          <w:tcPr>
            <w:tcW w:w="1332" w:type="dxa"/>
            <w:tcBorders>
              <w:top w:val="nil"/>
              <w:left w:val="nil"/>
              <w:bottom w:val="nil"/>
              <w:right w:val="nil"/>
            </w:tcBorders>
            <w:noWrap w:val="0"/>
            <w:tcMar>
              <w:top w:w="-1" w:type="dxa"/>
              <w:left w:w="-1" w:type="dxa"/>
              <w:bottom w:w="-1" w:type="dxa"/>
              <w:right w:w="-1" w:type="dxa"/>
            </w:tcMar>
            <w:vAlign w:val="center"/>
          </w:tcPr>
          <w:p w14:paraId="6D7D28E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729</w:t>
            </w:r>
          </w:p>
        </w:tc>
        <w:tc>
          <w:tcPr>
            <w:tcW w:w="1333" w:type="dxa"/>
            <w:tcBorders>
              <w:top w:val="nil"/>
              <w:left w:val="nil"/>
              <w:bottom w:val="nil"/>
              <w:right w:val="nil"/>
            </w:tcBorders>
            <w:noWrap w:val="0"/>
            <w:tcMar>
              <w:top w:w="-1" w:type="dxa"/>
              <w:left w:w="-1" w:type="dxa"/>
              <w:bottom w:w="-1" w:type="dxa"/>
              <w:right w:w="-1" w:type="dxa"/>
            </w:tcMar>
            <w:vAlign w:val="center"/>
          </w:tcPr>
          <w:p w14:paraId="0376595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566</w:t>
            </w:r>
          </w:p>
        </w:tc>
        <w:tc>
          <w:tcPr>
            <w:tcW w:w="1333" w:type="dxa"/>
            <w:tcBorders>
              <w:top w:val="nil"/>
              <w:left w:val="nil"/>
              <w:bottom w:val="nil"/>
              <w:right w:val="nil"/>
            </w:tcBorders>
            <w:noWrap w:val="0"/>
            <w:tcMar>
              <w:top w:w="-1" w:type="dxa"/>
              <w:left w:w="-1" w:type="dxa"/>
              <w:bottom w:w="-1" w:type="dxa"/>
              <w:right w:w="-1" w:type="dxa"/>
            </w:tcMar>
            <w:vAlign w:val="center"/>
          </w:tcPr>
          <w:p w14:paraId="4370F412">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0.794</w:t>
            </w:r>
          </w:p>
        </w:tc>
        <w:tc>
          <w:tcPr>
            <w:tcW w:w="1449" w:type="dxa"/>
            <w:tcBorders>
              <w:top w:val="nil"/>
              <w:left w:val="nil"/>
              <w:bottom w:val="nil"/>
              <w:right w:val="nil"/>
            </w:tcBorders>
            <w:noWrap w:val="0"/>
            <w:tcMar>
              <w:top w:w="-1" w:type="dxa"/>
              <w:left w:w="-1" w:type="dxa"/>
              <w:bottom w:w="-1" w:type="dxa"/>
              <w:right w:w="-1" w:type="dxa"/>
            </w:tcMar>
            <w:vAlign w:val="center"/>
          </w:tcPr>
          <w:p w14:paraId="6B4FF54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0.879</w:t>
            </w:r>
          </w:p>
        </w:tc>
      </w:tr>
      <w:tr w14:paraId="754BBFDD">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5C8A8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7AC8D0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3F1C9C4">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7A27CB0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49" w:type="dxa"/>
            <w:tcBorders>
              <w:top w:val="nil"/>
              <w:left w:val="nil"/>
              <w:bottom w:val="nil"/>
              <w:right w:val="nil"/>
            </w:tcBorders>
            <w:shd w:val="clear" w:color="auto" w:fill="auto"/>
            <w:noWrap w:val="0"/>
            <w:tcMar>
              <w:top w:w="-1" w:type="dxa"/>
              <w:left w:w="-1" w:type="dxa"/>
              <w:bottom w:w="-1" w:type="dxa"/>
              <w:right w:w="-1" w:type="dxa"/>
            </w:tcMar>
            <w:vAlign w:val="center"/>
          </w:tcPr>
          <w:p w14:paraId="1F7060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562EDFE7">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686472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2303D1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EDF4AE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744F0D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4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4982B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049059A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 xml:space="preserve">0.726，下降约1.3个百分点，P@1降至0.563、R@10降至0.875，验证了在线难例挖掘策略对长尾分布类别不平衡问题的优化作用；在缺少难例挖掘时，模型对尾部类别的判别能力下降，导致头部命中率损失明显。w/o DBHP取得mAP </w:t>
      </w:r>
      <w:r>
        <w:rPr>
          <w:rFonts w:hint="eastAsia"/>
          <w:lang w:val="en-US" w:eastAsia="zh-CN"/>
        </w:rPr>
        <w:t>=</w:t>
      </w:r>
      <w:r>
        <w:rPr>
          <w:rFonts w:hint="eastAsia"/>
        </w:rPr>
        <w:t>0.729，下降约1.2个百分点，P@1降至0.566、R@10降至0.879；单路FC投影将图像和位置信息混合后一次性降维，导致位置模态的地理判别信息被稀释，而DBHP通过独立投影保留各模态哈希语义，再通过λ加权融合实现有选择的信息整合。此外，训练过程中</w:t>
      </w:r>
      <w:r>
        <w:rPr>
          <w:rFonts w:hint="default"/>
          <w:lang w:val="en-US" w:eastAsia="zh-CN"/>
        </w:rPr>
        <w:t>λ</w:t>
      </w:r>
      <w:r>
        <w:rPr>
          <w:rFonts w:hint="eastAsia"/>
        </w:rPr>
        <w:t>最终收敛至0.62附近，表明模型对图像模态赋予略高权重，体现了DBHP的可解释性优势。w/o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1的程度增大，导致汉明距离检索精度略有下降。</w:t>
      </w:r>
    </w:p>
    <w:p w14:paraId="66F433B6">
      <w:pPr>
        <w:jc w:val="left"/>
        <w:rPr>
          <w:rFonts w:hint="eastAsia"/>
        </w:rPr>
      </w:pPr>
      <w:r>
        <w:rPr>
          <w:rFonts w:hint="eastAsia"/>
        </w:rPr>
        <w:t>综上所述，五个模块协同工作实现最优性能，证明了DHLM各模块设计的合理性与必要性。各模块的mAP贡献排序为“地理位置（约2.8个百分点）&gt; 难例挖掘（约1.3个百分点）&gt; DBHP（约1.2个百分点）&gt; 量化损失（约0.6个百分点）”。从相对贡献比例来看，地理位置元数据融合贡献了总性能提升的约48.3%（2.8/5.8），难例挖掘贡献约22.4%（1.3/5.8），DBHP贡献约20.7%（1.2/5.8），量化损失贡献约10.3%（0.6/5.8），四者形成“主导—辅助—结构优化—约束”的层级贡献格局。需要说明的是，上述消融实验在iNaturalist 2018验证集上完成，验证了模块设计的通用有效性；模型在真实古树名木场景（BFATH）中的迁移性能见3.4.2节，完整模型在BFATH上取得mAP 0.647，表明各模块设计具备良好的领域迁移能力。</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4173B821">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bookmarkStart w:id="133" w:name="_Toc18827"/>
      <w:bookmarkStart w:id="134" w:name="_Toc19354"/>
    </w:p>
    <w:p w14:paraId="26A5D9E0">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组合，在特征判别性、样本对相似度关系和哈希码质量三者间实现最佳平衡。该配比与原1.0/0.5/0.1配置保持相同的相对比例，仅通过归一化使权重之和为1，不影响优化方向与实验结果。</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系统。以系统需求分析、系统概要设计、数据库设计以及关键功能模块设计作为切入点，建立集双向检索与信息管理为一体的系统平台。本系统采用Browser/Server（B/S）架构设计古树名木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0250"/>
      <w:bookmarkStart w:id="138" w:name="_Toc6561"/>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165"/>
      <w:bookmarkStart w:id="142" w:name="_Toc25656"/>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古树名木检索系统总流程为：管理员进行古树名木管理及维护系统，包括用户管理等功能。用户端进行用户登录注册、个人信息管理和古树名木检索等功能；管理员端额外承担古树名木图像上传与数据管理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60"/>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w:t>
      </w:r>
      <w:r>
        <w:rPr>
          <w:rFonts w:hint="eastAsia"/>
          <w:lang w:val="en-US" w:eastAsia="zh-CN"/>
        </w:rPr>
        <w:t>名木</w:t>
      </w:r>
      <w:r>
        <w:rPr>
          <w:rFonts w:hint="eastAsia"/>
        </w:rPr>
        <w:t>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eastAsia"/>
          <w:lang w:eastAsia="zh-CN"/>
        </w:rPr>
        <w:t>DHLM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树高、保护级别等字段组合查询古树名木信息。系统支持科→属→种三级级联检索功能：左侧树形导航栏展示植物分类层级结构，用户逐层展开选择目标科（如"松科"），系统自动加载该科下所有属；选择属后，自动加载该属下所有树种；选择具体树种后，返回该树种下的全部古树名木记录</w:t>
      </w:r>
      <w:r>
        <w:rPr>
          <w:rFonts w:hint="eastAsia"/>
          <w:lang w:eastAsia="zh-CN"/>
        </w:rPr>
        <w:t>。</w:t>
      </w:r>
      <w:r>
        <w:rPr>
          <w:rFonts w:hint="eastAsia"/>
        </w:rPr>
        <w:t>系统为每株古树名木提供独立详情展示页面，集中展示该古树的完整档案信息，包括地理位置</w:t>
      </w:r>
      <w:r>
        <w:rPr>
          <w:rFonts w:hint="eastAsia"/>
          <w:lang w:val="en-US" w:eastAsia="zh-CN"/>
        </w:rPr>
        <w:t>坐标</w:t>
      </w:r>
      <w:r>
        <w:rPr>
          <w:rFonts w:hint="eastAsia"/>
        </w:rPr>
        <w:t>、科属种三级分类信息、树龄、树高、胸径、保护级别、生长环境描述及历史文化故事等，为林业管理人员和科研人员提供全面的古树名木档案信息。系统建立完善的古树名木信息管理库，支持</w:t>
      </w:r>
      <w:r>
        <w:rPr>
          <w:rFonts w:hint="eastAsia"/>
          <w:lang w:val="en-US" w:eastAsia="zh-CN"/>
        </w:rPr>
        <w:t>管理员</w:t>
      </w:r>
      <w:r>
        <w:rPr>
          <w:rFonts w:hint="eastAsia"/>
        </w:rPr>
        <w:t>手工录入或图像上传解析古树名木的详细信息，可对已存数据进行修改、删除，保证数据的准确性及实时性，并具备批量导入导出功能，便于数据存储。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w:t>
      </w:r>
      <w:r>
        <w:rPr>
          <w:rFonts w:hint="eastAsia"/>
          <w:lang w:eastAsia="zh-CN"/>
        </w:rPr>
        <w:t>登录名</w:t>
      </w:r>
      <w:r>
        <w:rPr>
          <w:rFonts w:hint="eastAsia"/>
        </w:rPr>
        <w:t>、密码。</w:t>
      </w:r>
      <w:r>
        <w:rPr>
          <w:rFonts w:hint="eastAsia"/>
          <w:lang w:eastAsia="zh-CN"/>
        </w:rPr>
        <w:t>登录名</w:t>
      </w:r>
      <w:r>
        <w:rPr>
          <w:rFonts w:hint="eastAsia"/>
        </w:rPr>
        <w:t>校验规则为8-12位，包含数字、区分大小写字母与符号；用户信息幂等校验采用邮箱唯一去重判断；密码通过</w:t>
      </w:r>
      <w:r>
        <w:rPr>
          <w:rFonts w:hint="eastAsia"/>
          <w:lang w:eastAsia="zh-CN"/>
        </w:rPr>
        <w:t>MD5加盐值</w:t>
      </w:r>
      <w:r>
        <w:rPr>
          <w:rFonts w:hint="eastAsia"/>
        </w:rPr>
        <w:t>哈希算法加密存储。用户登录时输入正确的</w:t>
      </w:r>
      <w:r>
        <w:rPr>
          <w:rFonts w:hint="eastAsia"/>
          <w:lang w:eastAsia="zh-CN"/>
        </w:rPr>
        <w:t>登录名</w:t>
      </w:r>
      <w:r>
        <w:rPr>
          <w:rFonts w:hint="eastAsia"/>
        </w:rPr>
        <w:t>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才能使用。用户可通过左侧菜单栏的古树名木一级目录下的数据管理进入页面，输入位置坐标、上传图像或输入树种名称进行条件检索，系统将输出相应的古树名木信息及地理位置元数据。条件检索支持多维度属性组合筛选：树龄区间筛选、树高范围筛选、保护级别筛选以及按科属种分类筛选。各筛选维度之间为</w:t>
      </w:r>
      <w:r>
        <w:rPr>
          <w:rFonts w:hint="eastAsia"/>
          <w:lang w:eastAsia="zh-CN"/>
        </w:rPr>
        <w:t>“</w:t>
      </w:r>
      <w:r>
        <w:rPr>
          <w:rFonts w:hint="eastAsia"/>
        </w:rPr>
        <w:t>与</w:t>
      </w:r>
      <w:r>
        <w:rPr>
          <w:rFonts w:hint="eastAsia"/>
          <w:lang w:eastAsia="zh-CN"/>
        </w:rPr>
        <w:t>”</w:t>
      </w:r>
      <w:r>
        <w:rPr>
          <w:rFonts w:hint="eastAsia"/>
        </w:rPr>
        <w:t>逻辑关系，系统返回同时满足所有条件的古树名木记录列表。</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支持三种多模态哈希检索模式（图像到图像检索、图像到位置检索和位置到图像检索）、传统条件检索（按树种名称查询）以及科属种分类检索。古树名木展示支持单株详情页面展示，集成属性信息和地图坐标等模块。</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3">
                      <a:extLst>
                        <a:ext uri="{96DAC541-7B7A-43D3-8B79-37D633B846F1}">
                          <asvg:svgBlip xmlns:asvg="http://schemas.microsoft.com/office/drawing/2016/SVG/main" r:embed="rId64"/>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w:t>
      </w:r>
      <w:r>
        <w:rPr>
          <w:rFonts w:hint="eastAsia"/>
        </w:rPr>
        <w:t>管理员可根据</w:t>
      </w:r>
      <w:r>
        <w:rPr>
          <w:rFonts w:hint="eastAsia"/>
          <w:lang w:eastAsia="zh-CN"/>
        </w:rPr>
        <w:t>登录名</w:t>
      </w:r>
      <w:r>
        <w:rPr>
          <w:rFonts w:hint="eastAsia"/>
        </w:rPr>
        <w:t>查询用户信息，并对用户进行重置密码、编辑和删除等维护操作</w:t>
      </w:r>
      <w:r>
        <w:t>。对于用户的特别动作，例如数据修改删除等进行记录。将长时间未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w:t>
      </w:r>
      <w:r>
        <w:rPr>
          <w:rFonts w:hint="eastAsia"/>
          <w:lang w:eastAsia="zh-CN"/>
        </w:rPr>
        <w:t>登录名</w:t>
      </w:r>
      <w:r>
        <w:t>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w:t>
      </w:r>
      <w:r>
        <w:rPr>
          <w:rFonts w:hint="eastAsia"/>
          <w:lang w:val="en-US" w:eastAsia="zh-CN"/>
        </w:rPr>
        <w:t>名木</w:t>
      </w:r>
      <w:r>
        <w:rPr>
          <w:rFonts w:hint="eastAsia"/>
        </w:rPr>
        <w:t>分布；位置到图像检索</w:t>
      </w:r>
      <w:r>
        <w:rPr>
          <w:rFonts w:hint="eastAsia"/>
          <w:lang w:eastAsia="zh-CN"/>
        </w:rPr>
        <w:t>，</w:t>
      </w:r>
      <w:r>
        <w:rPr>
          <w:rFonts w:hint="eastAsia"/>
        </w:rPr>
        <w:t>用户输入地理位置坐标，系统返回该位置附近的古树</w:t>
      </w:r>
      <w:r>
        <w:rPr>
          <w:rFonts w:hint="eastAsia"/>
          <w:lang w:val="en-US" w:eastAsia="zh-CN"/>
        </w:rPr>
        <w:t>名木</w:t>
      </w:r>
      <w:r>
        <w:rPr>
          <w:rFonts w:hint="eastAsia"/>
        </w:rPr>
        <w:t>图像。系统支持JPG和PNG两种格式的图像上传，基于集成的</w:t>
      </w:r>
      <w:r>
        <w:rPr>
          <w:rFonts w:hint="eastAsia"/>
          <w:lang w:eastAsia="zh-CN"/>
        </w:rPr>
        <w:t>DHLM</w:t>
      </w:r>
      <w:r>
        <w:rPr>
          <w:rFonts w:hint="eastAsia"/>
        </w:rPr>
        <w:t>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563870" cy="1268095"/>
            <wp:effectExtent l="0" t="0" r="11430" b="190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5"/>
                    <a:stretch>
                      <a:fillRect/>
                    </a:stretch>
                  </pic:blipFill>
                  <pic:spPr>
                    <a:xfrm>
                      <a:off x="0" y="0"/>
                      <a:ext cx="5563870" cy="1268095"/>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43"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31"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2"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31"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2"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2"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767A56A5">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用户管理详细设计</w:t>
      </w:r>
    </w:p>
    <w:p w14:paraId="5C941BC5">
      <w:pPr>
        <w:numPr>
          <w:ilvl w:val="0"/>
          <w:numId w:val="0"/>
        </w:numPr>
        <w:ind w:firstLine="420" w:firstLineChars="0"/>
        <w:rPr>
          <w:rFonts w:hint="eastAsia"/>
          <w:lang w:val="en-US"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3C0996D6">
      <w:pPr>
        <w:numPr>
          <w:ilvl w:val="0"/>
          <w:numId w:val="0"/>
        </w:numPr>
        <w:rPr>
          <w:rFonts w:hint="eastAsia"/>
          <w:lang w:eastAsia="zh-CN"/>
        </w:rPr>
      </w:pP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6"/>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用户管理实现</w:t>
      </w:r>
    </w:p>
    <w:p w14:paraId="4D971F7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如下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0F09BA8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p>
    <w:p w14:paraId="39A00BBA">
      <w:pPr>
        <w:ind w:left="0" w:leftChars="0" w:firstLine="0" w:firstLineChars="0"/>
        <w:jc w:val="center"/>
        <w:rPr>
          <w:b/>
          <w:bCs/>
          <w:color w:val="FF0000"/>
        </w:rPr>
      </w:pPr>
      <w:r>
        <w:drawing>
          <wp:inline distT="0" distB="0" distL="114300" distR="114300">
            <wp:extent cx="5577205" cy="3237230"/>
            <wp:effectExtent l="0" t="0" r="10795" b="127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7"/>
                    <a:stretch>
                      <a:fillRect/>
                    </a:stretch>
                  </pic:blipFill>
                  <pic:spPr>
                    <a:xfrm>
                      <a:off x="0" y="0"/>
                      <a:ext cx="5577205" cy="3237230"/>
                    </a:xfrm>
                    <a:prstGeom prst="rect">
                      <a:avLst/>
                    </a:prstGeom>
                    <a:noFill/>
                    <a:ln>
                      <a:no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w:t>
      </w:r>
      <w:r>
        <w:rPr>
          <w:rFonts w:hint="eastAsia"/>
          <w:sz w:val="21"/>
          <w:szCs w:val="21"/>
          <w:highlight w:val="none"/>
          <w:lang w:val="en-US" w:eastAsia="zh-CN"/>
        </w:rPr>
        <w:t>管理</w:t>
      </w:r>
      <w:r>
        <w:rPr>
          <w:rFonts w:hint="eastAsia"/>
          <w:sz w:val="21"/>
          <w:szCs w:val="21"/>
          <w:highlight w:val="none"/>
        </w:rPr>
        <w:t>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w:t>
      </w:r>
      <w:r>
        <w:rPr>
          <w:rFonts w:hint="eastAsia"/>
          <w:sz w:val="21"/>
          <w:szCs w:val="21"/>
          <w:lang w:val="en-US" w:eastAsia="zh-CN"/>
        </w:rPr>
        <w:t>Manage</w:t>
      </w:r>
      <w:r>
        <w:rPr>
          <w:rFonts w:hint="eastAsia"/>
          <w:sz w:val="21"/>
          <w:szCs w:val="21"/>
        </w:rPr>
        <w:t xml:space="preserve"> Page </w:t>
      </w:r>
    </w:p>
    <w:p w14:paraId="3E6E3587">
      <w:pPr>
        <w:pStyle w:val="4"/>
        <w:spacing w:before="193"/>
      </w:pPr>
      <w:r>
        <w:rPr>
          <w:rFonts w:hint="eastAsia"/>
        </w:rPr>
        <w:t>4.3.2</w:t>
      </w:r>
      <w:r>
        <w:rPr>
          <w:rFonts w:hint="eastAsia"/>
          <w:lang w:val="en-US" w:eastAsia="zh-CN"/>
        </w:rPr>
        <w:t xml:space="preserve">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bookmarkStart w:id="236" w:name="_GoBack"/>
      <w:bookmarkEnd w:id="236"/>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14940939">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75935" cy="2355215"/>
            <wp:effectExtent l="0" t="0" r="12065" b="6985"/>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68"/>
                    <a:stretch>
                      <a:fillRect/>
                    </a:stretch>
                  </pic:blipFill>
                  <pic:spPr>
                    <a:xfrm>
                      <a:off x="0" y="0"/>
                      <a:ext cx="5575935" cy="2355215"/>
                    </a:xfrm>
                    <a:prstGeom prst="rect">
                      <a:avLst/>
                    </a:prstGeom>
                    <a:noFill/>
                    <a:ln>
                      <a:no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293FECD2">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7</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C79E47F">
      <w:pPr>
        <w:bidi w:val="0"/>
        <w:rPr>
          <w:rFonts w:hint="eastAsia"/>
        </w:rPr>
      </w:pPr>
    </w:p>
    <w:p w14:paraId="68140187">
      <w:pPr>
        <w:pStyle w:val="4"/>
        <w:spacing w:before="193"/>
        <w:rPr>
          <w:rFonts w:hint="eastAsia"/>
          <w:lang w:val="en-US" w:eastAsia="zh-CN"/>
        </w:rPr>
      </w:pPr>
      <w:r>
        <w:rPr>
          <w:rFonts w:hint="eastAsia"/>
        </w:rPr>
        <w:t>4.3.</w:t>
      </w:r>
      <w:r>
        <w:rPr>
          <w:rFonts w:hint="eastAsia"/>
          <w:lang w:val="en-US" w:eastAsia="zh-CN"/>
        </w:rPr>
        <w:t>3 古树名木信息查询详细设计与实现</w:t>
      </w:r>
    </w:p>
    <w:p w14:paraId="53A6732D">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59827CFE">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4753F8EF">
      <w:pPr>
        <w:numPr>
          <w:ilvl w:val="0"/>
          <w:numId w:val="0"/>
        </w:numPr>
        <w:ind w:firstLine="420" w:firstLineChars="0"/>
        <w:rPr>
          <w:rFonts w:hint="eastAsia"/>
          <w:lang w:val="en-US" w:eastAsia="zh-CN"/>
        </w:rPr>
      </w:pPr>
    </w:p>
    <w:p w14:paraId="2860EBDC">
      <w:pPr>
        <w:numPr>
          <w:ilvl w:val="0"/>
          <w:numId w:val="0"/>
        </w:numPr>
        <w:jc w:val="left"/>
        <w:rPr>
          <w:rFonts w:hint="default"/>
          <w:lang w:val="en-US" w:eastAsia="zh-CN"/>
        </w:rPr>
      </w:pPr>
      <w:r>
        <w:drawing>
          <wp:inline distT="0" distB="0" distL="114300" distR="114300">
            <wp:extent cx="5577840" cy="3125470"/>
            <wp:effectExtent l="0" t="0" r="10160" b="11430"/>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69"/>
                    <a:stretch>
                      <a:fillRect/>
                    </a:stretch>
                  </pic:blipFill>
                  <pic:spPr>
                    <a:xfrm>
                      <a:off x="0" y="0"/>
                      <a:ext cx="5577840" cy="3125470"/>
                    </a:xfrm>
                    <a:prstGeom prst="rect">
                      <a:avLst/>
                    </a:prstGeom>
                    <a:noFill/>
                    <a:ln>
                      <a:noFill/>
                    </a:ln>
                  </pic:spPr>
                </pic:pic>
              </a:graphicData>
            </a:graphic>
          </wp:inline>
        </w:drawing>
      </w:r>
    </w:p>
    <w:p w14:paraId="4F27D92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4082A2C7">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430BE57B">
      <w:pPr>
        <w:ind w:left="0" w:leftChars="0" w:firstLine="0" w:firstLineChars="0"/>
        <w:rPr>
          <w:b/>
          <w:bCs/>
          <w:color w:val="FF0000"/>
        </w:rPr>
      </w:pPr>
      <w:r>
        <w:drawing>
          <wp:inline distT="0" distB="0" distL="114300" distR="114300">
            <wp:extent cx="5565775" cy="2841625"/>
            <wp:effectExtent l="0" t="0" r="9525" b="317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70"/>
                    <a:stretch>
                      <a:fillRect/>
                    </a:stretch>
                  </pic:blipFill>
                  <pic:spPr>
                    <a:xfrm>
                      <a:off x="0" y="0"/>
                      <a:ext cx="5565775" cy="2841625"/>
                    </a:xfrm>
                    <a:prstGeom prst="rect">
                      <a:avLst/>
                    </a:prstGeom>
                    <a:noFill/>
                    <a:ln>
                      <a:noFill/>
                    </a:ln>
                  </pic:spPr>
                </pic:pic>
              </a:graphicData>
            </a:graphic>
          </wp:inline>
        </w:drawing>
      </w:r>
    </w:p>
    <w:p w14:paraId="21BA8968">
      <w:pPr>
        <w:ind w:left="0" w:leftChars="0" w:firstLine="0" w:firstLineChars="0"/>
        <w:jc w:val="center"/>
        <w:rPr>
          <w:sz w:val="21"/>
          <w:szCs w:val="21"/>
          <w:highlight w:val="none"/>
        </w:rPr>
      </w:pPr>
      <w:bookmarkStart w:id="164" w:name="_Toc23342"/>
      <w:bookmarkStart w:id="165"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8A1A645">
      <w:pPr>
        <w:bidi w:val="0"/>
        <w:ind w:left="0" w:leftChars="0" w:firstLine="0" w:firstLineChars="0"/>
        <w:jc w:val="center"/>
        <w:rPr>
          <w:rFonts w:hint="default" w:eastAsia="宋体"/>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5895C9A3">
      <w:pPr>
        <w:bidi w:val="0"/>
        <w:ind w:left="0" w:leftChars="0" w:firstLine="0" w:firstLineChars="0"/>
        <w:jc w:val="center"/>
        <w:rPr>
          <w:rFonts w:hint="eastAsia"/>
        </w:rPr>
      </w:pPr>
    </w:p>
    <w:p w14:paraId="29D7DD59">
      <w:pPr>
        <w:bidi w:val="0"/>
        <w:rPr>
          <w:rFonts w:hint="eastAsia"/>
        </w:rPr>
      </w:pPr>
    </w:p>
    <w:p w14:paraId="6D779172">
      <w:pPr>
        <w:pStyle w:val="4"/>
        <w:spacing w:before="193"/>
      </w:pPr>
      <w:r>
        <w:rPr>
          <w:rFonts w:hint="eastAsia"/>
        </w:rPr>
        <w:t>4.3.</w:t>
      </w:r>
      <w:r>
        <w:rPr>
          <w:rFonts w:hint="eastAsia"/>
          <w:lang w:val="en-US" w:eastAsia="zh-CN"/>
        </w:rPr>
        <w:t xml:space="preserve">4 </w:t>
      </w:r>
      <w:r>
        <w:rPr>
          <w:rFonts w:hint="eastAsia"/>
        </w:rPr>
        <w:t>古树名木</w:t>
      </w:r>
      <w:r>
        <w:rPr>
          <w:rFonts w:hint="eastAsia"/>
          <w:lang w:val="en-US" w:eastAsia="zh-CN"/>
        </w:rPr>
        <w:t>多模态</w:t>
      </w:r>
      <w:r>
        <w:rPr>
          <w:rFonts w:hint="eastAsia"/>
        </w:rPr>
        <w:t>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w:t>
      </w:r>
      <w:r>
        <w:rPr>
          <w:rFonts w:hint="eastAsia"/>
        </w:rPr>
        <w:t>详细设计</w:t>
      </w:r>
    </w:p>
    <w:p w14:paraId="7D327BE7">
      <w:pPr>
        <w:ind w:left="0" w:leftChars="0" w:firstLine="0" w:firstLineChars="0"/>
        <w:jc w:val="center"/>
      </w:pPr>
      <w:r>
        <w:drawing>
          <wp:inline distT="0" distB="0" distL="114300" distR="114300">
            <wp:extent cx="5187950" cy="2987675"/>
            <wp:effectExtent l="0" t="0" r="6350" b="952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1"/>
                    <a:stretch>
                      <a:fillRect/>
                    </a:stretch>
                  </pic:blipFill>
                  <pic:spPr>
                    <a:xfrm>
                      <a:off x="0" y="0"/>
                      <a:ext cx="5187950" cy="298767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10</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10</w:t>
      </w:r>
      <w:r>
        <w:rPr>
          <w:rFonts w:hint="eastAsia"/>
          <w:sz w:val="21"/>
          <w:szCs w:val="21"/>
        </w:rPr>
        <w:t xml:space="preserve">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10</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w:t>
      </w:r>
      <w:r>
        <w:rPr>
          <w:rFonts w:ascii="宋体" w:hAnsi="宋体" w:cs="宋体"/>
        </w:rPr>
        <w:t>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w:t>
      </w:r>
      <w:r>
        <w:rPr>
          <w:rFonts w:hint="eastAsia"/>
          <w:lang w:val="en-US" w:eastAsia="zh-CN"/>
        </w:rPr>
        <w:t>名木</w:t>
      </w:r>
      <w:r>
        <w:rPr>
          <w:rFonts w:hint="eastAsia"/>
        </w:rPr>
        <w:t>列表并按相似度排序；图4.9通过图像检索返回古树</w:t>
      </w:r>
      <w:r>
        <w:rPr>
          <w:rFonts w:hint="eastAsia"/>
          <w:lang w:val="en-US" w:eastAsia="zh-CN"/>
        </w:rPr>
        <w:t>名木</w:t>
      </w:r>
      <w:r>
        <w:rPr>
          <w:rFonts w:hint="eastAsia"/>
        </w:rPr>
        <w:t>地理位置；图4.10基于输入坐标检索周边古树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72"/>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3"/>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4"/>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263A3313">
      <w:pPr>
        <w:numPr>
          <w:numId w:val="0"/>
        </w:numPr>
        <w:rPr>
          <w:rFonts w:hint="default"/>
          <w:lang w:val="en-US" w:eastAsia="zh-CN"/>
        </w:rPr>
      </w:pPr>
      <w:bookmarkStart w:id="167" w:name="_Toc7167"/>
    </w:p>
    <w:p w14:paraId="794EA99B">
      <w:pPr>
        <w:bidi w:val="0"/>
        <w:ind w:left="0" w:leftChars="0" w:firstLine="0" w:firstLineChars="0"/>
      </w:pPr>
    </w:p>
    <w:p w14:paraId="4670FDCD">
      <w:pPr>
        <w:pStyle w:val="3"/>
        <w:spacing w:before="193"/>
      </w:pPr>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模型，支持用户端与管理端的多角色操作，具备图像-地理位置多模态检索、科属种三级分类检索、按树种名称条件检索、古树</w:t>
      </w:r>
      <w:r>
        <w:rPr>
          <w:rFonts w:hint="eastAsia"/>
          <w:lang w:val="en-US" w:eastAsia="zh-CN"/>
        </w:rPr>
        <w:t>名木</w:t>
      </w:r>
      <w:r>
        <w:rPr>
          <w:rFonts w:hint="eastAsia"/>
        </w:rPr>
        <w:t>档案展示、信息管理和权限控制等功能模块。在系统测试阶段，系统集成的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2695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采用双分支哈希投影机制（DBHP）将图像特征与位置特征分别映射至哈希语义空间后加权融合，生成128位二进制哈希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w:t>
      </w:r>
      <w:r>
        <w:rPr>
          <w:rFonts w:hint="eastAsia"/>
          <w:lang w:val="en-US" w:eastAsia="zh-CN"/>
        </w:rPr>
        <w:t>约</w:t>
      </w:r>
      <w:r>
        <w:rPr>
          <w:rFonts w:hint="eastAsia"/>
        </w:rPr>
        <w:t>2.8个百分点）&gt; 难例挖掘（</w:t>
      </w:r>
      <w:r>
        <w:rPr>
          <w:rFonts w:hint="eastAsia"/>
          <w:lang w:val="en-US" w:eastAsia="zh-CN"/>
        </w:rPr>
        <w:t>约</w:t>
      </w:r>
      <w:r>
        <w:rPr>
          <w:rFonts w:hint="eastAsia"/>
        </w:rPr>
        <w:t>1.</w:t>
      </w:r>
      <w:r>
        <w:rPr>
          <w:rFonts w:hint="eastAsia"/>
          <w:lang w:val="en-US" w:eastAsia="zh-CN"/>
        </w:rPr>
        <w:t>3</w:t>
      </w:r>
      <w:r>
        <w:rPr>
          <w:rFonts w:hint="eastAsia"/>
        </w:rPr>
        <w:t>个百分点）&gt; DBHP（</w:t>
      </w:r>
      <w:r>
        <w:rPr>
          <w:rFonts w:hint="eastAsia"/>
          <w:lang w:val="en-US" w:eastAsia="zh-CN"/>
        </w:rPr>
        <w:t>约</w:t>
      </w:r>
      <w:r>
        <w:rPr>
          <w:rFonts w:hint="eastAsia"/>
        </w:rPr>
        <w:t>1.</w:t>
      </w:r>
      <w:r>
        <w:rPr>
          <w:rFonts w:hint="eastAsia"/>
          <w:lang w:val="en-US" w:eastAsia="zh-CN"/>
        </w:rPr>
        <w:t>2</w:t>
      </w:r>
      <w:r>
        <w:rPr>
          <w:rFonts w:hint="eastAsia"/>
        </w:rPr>
        <w:t>个百分点）&gt; 量化损失（</w:t>
      </w:r>
      <w:r>
        <w:rPr>
          <w:rFonts w:hint="eastAsia"/>
          <w:lang w:val="en-US" w:eastAsia="zh-CN"/>
        </w:rPr>
        <w:t>约</w:t>
      </w:r>
      <w:r>
        <w:rPr>
          <w:rFonts w:hint="eastAsia"/>
        </w:rPr>
        <w:t>0.</w:t>
      </w:r>
      <w:r>
        <w:rPr>
          <w:rFonts w:hint="eastAsia"/>
          <w:lang w:val="en-US" w:eastAsia="zh-CN"/>
        </w:rPr>
        <w:t>6</w:t>
      </w:r>
      <w:r>
        <w:rPr>
          <w:rFonts w:hint="eastAsia"/>
        </w:rPr>
        <w:t>个百分点），在</w:t>
      </w:r>
      <w:r>
        <w:rPr>
          <w:rFonts w:hint="eastAsia"/>
          <w:lang w:eastAsia="zh-CN"/>
        </w:rPr>
        <w:t>2509</w:t>
      </w:r>
      <w:r>
        <w:rPr>
          <w:rFonts w:hint="eastAsia"/>
        </w:rPr>
        <w:t>张验证样本上具有统计稳健性；BFATH数据集上的领域迁移验证表明完整模型在真实古树名木场景中取得mAP 0.647，具备良好的领域适应能力。</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数据管理、古树名木信息展示（科属种分级展示、树龄树高等信息展示）、古树名木检索（以图搜图、以图搜位置、以位置搜图和按树种名称条件检索）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w:t>
      </w:r>
      <w:r>
        <w:rPr>
          <w:rFonts w:hint="eastAsia"/>
          <w:lang w:val="en-US" w:eastAsia="zh-CN"/>
        </w:rPr>
        <w:t>展示与</w:t>
      </w:r>
      <w:r>
        <w:rPr>
          <w:rFonts w:hint="eastAsia"/>
        </w:rPr>
        <w:t>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模型当前通过多路融合策略验证确定特征拼接为最优融合方案，并采用双分支哈希投影机制在哈希空间实现模态加权融合。后续可探索将地理位置的空间关联特性（如距离衰减、地理围栏）显式编码进位置特征，或引入图神经网络建模古树名木间的空间邻接关系，进一步提升位置特征的判别性</w:t>
      </w:r>
      <w:r>
        <w:rPr>
          <w:rFonts w:hint="eastAsia"/>
        </w:rPr>
        <w:t>。</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SSAH等图像-文本多模态哈希方法适配至图像-位置坐标场景，在统一的图像-位置数据上与本文DBHP机制开展公平对比。</w:t>
      </w:r>
    </w:p>
    <w:p w14:paraId="7713EF47">
      <w:pPr>
        <w:numPr>
          <w:ilvl w:val="0"/>
          <w:numId w:val="14"/>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进一步关联中国植物志数据库实现科属种层级的智能推荐与自动补全</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p w14:paraId="2D1133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4601"/>
      <w:r>
        <w:rPr>
          <w:rFonts w:hint="eastAsia"/>
          <w:color w:val="000000"/>
          <w:sz w:val="21"/>
          <w:szCs w:val="21"/>
        </w:rPr>
        <w:t>国家林业局. 古树名木普查技术规范: LY/T 2738-2016[S]. 北京: 中国标准出版社, 2016.</w:t>
      </w:r>
      <w:bookmarkEnd w:id="235"/>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50AB6"/>
    <w:rsid w:val="038720C2"/>
    <w:rsid w:val="038A3B08"/>
    <w:rsid w:val="038C592B"/>
    <w:rsid w:val="038C76D9"/>
    <w:rsid w:val="038D3451"/>
    <w:rsid w:val="03925CD1"/>
    <w:rsid w:val="039667A9"/>
    <w:rsid w:val="039E011A"/>
    <w:rsid w:val="03A37933"/>
    <w:rsid w:val="03AB567B"/>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774EA"/>
    <w:rsid w:val="060C2D53"/>
    <w:rsid w:val="060F2738"/>
    <w:rsid w:val="0616772D"/>
    <w:rsid w:val="061D286A"/>
    <w:rsid w:val="064504DC"/>
    <w:rsid w:val="06471FDD"/>
    <w:rsid w:val="06472842"/>
    <w:rsid w:val="064737C1"/>
    <w:rsid w:val="0649108C"/>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D20E2"/>
    <w:rsid w:val="08C2594B"/>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B3F92"/>
    <w:rsid w:val="0E3F0DAA"/>
    <w:rsid w:val="0E5139F9"/>
    <w:rsid w:val="0E57377F"/>
    <w:rsid w:val="0E5F3B43"/>
    <w:rsid w:val="0E6772DC"/>
    <w:rsid w:val="0E7862A5"/>
    <w:rsid w:val="0E8518F4"/>
    <w:rsid w:val="0EB2602B"/>
    <w:rsid w:val="0EB2767E"/>
    <w:rsid w:val="0EB74AE1"/>
    <w:rsid w:val="0EB7AA10"/>
    <w:rsid w:val="0EB863CE"/>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351626"/>
    <w:rsid w:val="14461872"/>
    <w:rsid w:val="144638D4"/>
    <w:rsid w:val="14503670"/>
    <w:rsid w:val="1450551C"/>
    <w:rsid w:val="14601058"/>
    <w:rsid w:val="1461426A"/>
    <w:rsid w:val="14696839"/>
    <w:rsid w:val="146F2F85"/>
    <w:rsid w:val="147B708C"/>
    <w:rsid w:val="147E4E1C"/>
    <w:rsid w:val="1487769E"/>
    <w:rsid w:val="148A7C64"/>
    <w:rsid w:val="14900FF3"/>
    <w:rsid w:val="149667EE"/>
    <w:rsid w:val="14966EE6"/>
    <w:rsid w:val="149B3054"/>
    <w:rsid w:val="14A01EC6"/>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90A3D"/>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61B9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8539B"/>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74FD"/>
    <w:rsid w:val="18B6485F"/>
    <w:rsid w:val="18C272A1"/>
    <w:rsid w:val="18C33745"/>
    <w:rsid w:val="18C63B73"/>
    <w:rsid w:val="18E84F59"/>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943933"/>
    <w:rsid w:val="1A952EBF"/>
    <w:rsid w:val="1AA24D9F"/>
    <w:rsid w:val="1AAA5CD7"/>
    <w:rsid w:val="1AB27C85"/>
    <w:rsid w:val="1ABC1257"/>
    <w:rsid w:val="1AC71042"/>
    <w:rsid w:val="1AD10211"/>
    <w:rsid w:val="1ADD35D2"/>
    <w:rsid w:val="1ADD4E90"/>
    <w:rsid w:val="1AED6432"/>
    <w:rsid w:val="1AF35FC0"/>
    <w:rsid w:val="1AF40A84"/>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B0A8F"/>
    <w:rsid w:val="1FAF895C"/>
    <w:rsid w:val="1FB13C8F"/>
    <w:rsid w:val="1FB337F2"/>
    <w:rsid w:val="1FB7C317"/>
    <w:rsid w:val="1FB811C3"/>
    <w:rsid w:val="1FBC7140"/>
    <w:rsid w:val="1FBF1809"/>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C43277"/>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63165"/>
    <w:rsid w:val="214C1F7C"/>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57C93"/>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36D4"/>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70432"/>
    <w:rsid w:val="2409256C"/>
    <w:rsid w:val="24093AE4"/>
    <w:rsid w:val="24155071"/>
    <w:rsid w:val="241A4943"/>
    <w:rsid w:val="241B5E88"/>
    <w:rsid w:val="241E3E9B"/>
    <w:rsid w:val="241E3F25"/>
    <w:rsid w:val="241F1A4B"/>
    <w:rsid w:val="24213A15"/>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B12D5"/>
    <w:rsid w:val="253152E6"/>
    <w:rsid w:val="25316E3B"/>
    <w:rsid w:val="253F4153"/>
    <w:rsid w:val="2547746B"/>
    <w:rsid w:val="25513497"/>
    <w:rsid w:val="255362FC"/>
    <w:rsid w:val="255D56EE"/>
    <w:rsid w:val="25641BC4"/>
    <w:rsid w:val="257A162F"/>
    <w:rsid w:val="257F09F3"/>
    <w:rsid w:val="257F5D61"/>
    <w:rsid w:val="25836BCB"/>
    <w:rsid w:val="258555C1"/>
    <w:rsid w:val="259326F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053E"/>
    <w:rsid w:val="27904D63"/>
    <w:rsid w:val="2793524C"/>
    <w:rsid w:val="27972FEB"/>
    <w:rsid w:val="27A6495D"/>
    <w:rsid w:val="27A75FE0"/>
    <w:rsid w:val="27B14AF6"/>
    <w:rsid w:val="27B74619"/>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9724F8"/>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5E6AA0"/>
    <w:rsid w:val="2B6111BC"/>
    <w:rsid w:val="2B642979"/>
    <w:rsid w:val="2B692999"/>
    <w:rsid w:val="2B7B3A0B"/>
    <w:rsid w:val="2B920981"/>
    <w:rsid w:val="2B922E0C"/>
    <w:rsid w:val="2B97CE49"/>
    <w:rsid w:val="2B9E79FB"/>
    <w:rsid w:val="2BA7764A"/>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5A67"/>
    <w:rsid w:val="2FDFA678"/>
    <w:rsid w:val="2FDFB25D"/>
    <w:rsid w:val="2FE42CDE"/>
    <w:rsid w:val="2FE70B2C"/>
    <w:rsid w:val="2FE80B7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13662"/>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7217A"/>
    <w:rsid w:val="388E3785"/>
    <w:rsid w:val="389E4E7A"/>
    <w:rsid w:val="38A359B8"/>
    <w:rsid w:val="38B16CBE"/>
    <w:rsid w:val="38B927E7"/>
    <w:rsid w:val="38BC07AA"/>
    <w:rsid w:val="38BC6103"/>
    <w:rsid w:val="38BD52D9"/>
    <w:rsid w:val="38BD569C"/>
    <w:rsid w:val="38BE762D"/>
    <w:rsid w:val="38C84008"/>
    <w:rsid w:val="38E45372"/>
    <w:rsid w:val="38F1098C"/>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B65A3"/>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D2543"/>
    <w:rsid w:val="3C9E7C2D"/>
    <w:rsid w:val="3CA95927"/>
    <w:rsid w:val="3CAC21A2"/>
    <w:rsid w:val="3CAC5F43"/>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3839"/>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36138"/>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0274F"/>
    <w:rsid w:val="44957494"/>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1F2B54"/>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7EDA"/>
    <w:rsid w:val="4A506EBA"/>
    <w:rsid w:val="4A511AC0"/>
    <w:rsid w:val="4A5A33C8"/>
    <w:rsid w:val="4A5B2E22"/>
    <w:rsid w:val="4A6022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20442F"/>
    <w:rsid w:val="4C2A0B13"/>
    <w:rsid w:val="4C2FF311"/>
    <w:rsid w:val="4C304467"/>
    <w:rsid w:val="4C3A1686"/>
    <w:rsid w:val="4C3FA161"/>
    <w:rsid w:val="4C44439A"/>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1471C"/>
    <w:rsid w:val="503362B0"/>
    <w:rsid w:val="503C4051"/>
    <w:rsid w:val="503E30D6"/>
    <w:rsid w:val="50436713"/>
    <w:rsid w:val="5044111C"/>
    <w:rsid w:val="50444D71"/>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A55DB"/>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674E4C"/>
    <w:rsid w:val="5677A6AF"/>
    <w:rsid w:val="567D633A"/>
    <w:rsid w:val="567F201A"/>
    <w:rsid w:val="567F61F6"/>
    <w:rsid w:val="568B4B9E"/>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E77BD"/>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4622B"/>
    <w:rsid w:val="5AAE2914"/>
    <w:rsid w:val="5AAF779E"/>
    <w:rsid w:val="5ABD20D4"/>
    <w:rsid w:val="5ABF62C1"/>
    <w:rsid w:val="5AC221FF"/>
    <w:rsid w:val="5AC661A1"/>
    <w:rsid w:val="5ACE75A8"/>
    <w:rsid w:val="5AD14B46"/>
    <w:rsid w:val="5ADC3431"/>
    <w:rsid w:val="5ADD4D38"/>
    <w:rsid w:val="5ADD8A57"/>
    <w:rsid w:val="5ADF5D54"/>
    <w:rsid w:val="5ADF7C89"/>
    <w:rsid w:val="5ADF9E61"/>
    <w:rsid w:val="5AEA6714"/>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11D6A"/>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223F4F"/>
    <w:rsid w:val="5D276FD6"/>
    <w:rsid w:val="5D2E2B33"/>
    <w:rsid w:val="5D36D1C1"/>
    <w:rsid w:val="5D3B55E5"/>
    <w:rsid w:val="5D465377"/>
    <w:rsid w:val="5D4D7F34"/>
    <w:rsid w:val="5D50269A"/>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C313F2"/>
    <w:rsid w:val="60D61108"/>
    <w:rsid w:val="61005532"/>
    <w:rsid w:val="6103342C"/>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C60C4"/>
    <w:rsid w:val="6C2F3115"/>
    <w:rsid w:val="6C4E4249"/>
    <w:rsid w:val="6C5922CC"/>
    <w:rsid w:val="6C5A21CA"/>
    <w:rsid w:val="6C7155FB"/>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6082"/>
    <w:rsid w:val="6E3EE284"/>
    <w:rsid w:val="6E3FFC32"/>
    <w:rsid w:val="6E432C34"/>
    <w:rsid w:val="6E453429"/>
    <w:rsid w:val="6E4678CD"/>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24664"/>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0D083E"/>
    <w:rsid w:val="73154783"/>
    <w:rsid w:val="731D7050"/>
    <w:rsid w:val="73243F55"/>
    <w:rsid w:val="732D68E9"/>
    <w:rsid w:val="73304F94"/>
    <w:rsid w:val="733F154F"/>
    <w:rsid w:val="733F7B86"/>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2D72BB"/>
    <w:rsid w:val="7A3800AC"/>
    <w:rsid w:val="7A3866CC"/>
    <w:rsid w:val="7A392094"/>
    <w:rsid w:val="7A3E6488"/>
    <w:rsid w:val="7A431B85"/>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7" Type="http://schemas.openxmlformats.org/officeDocument/2006/relationships/fontTable" Target="fontTable.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sv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91</Pages>
  <Words>13771</Words>
  <Characters>18189</Characters>
  <Lines>1628</Lines>
  <Paragraphs>1460</Paragraphs>
  <TotalTime>12</TotalTime>
  <ScaleCrop>false</ScaleCrop>
  <LinksUpToDate>false</LinksUpToDate>
  <CharactersWithSpaces>19021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2026-05-19T05:50:17Z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