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21715"/>
      <w:bookmarkStart w:id="1" w:name="_Toc25711"/>
      <w:bookmarkStart w:id="2" w:name="_Toc8598"/>
      <w:bookmarkStart w:id="3" w:name="_Toc12951"/>
      <w:bookmarkStart w:id="4" w:name="_Toc22211"/>
      <w:bookmarkStart w:id="5" w:name="_Toc211470751"/>
      <w:bookmarkStart w:id="6" w:name="_Toc11806"/>
      <w:bookmarkStart w:id="7" w:name="_Toc6575"/>
      <w:bookmarkStart w:id="8" w:name="_Toc10403"/>
      <w:bookmarkStart w:id="9" w:name="_Toc12473"/>
      <w:bookmarkStart w:id="10" w:name="_Toc745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针对古树名木多模态检索中样本类别不平衡与复杂背景干扰等问题，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Style w:val="58"/>
          <w:rFonts w:hint="eastAsia" w:ascii="Times New Roman" w:hAnsi="Times New Roman" w:eastAsia="宋体" w:cs="Times New Roman"/>
          <w:kern w:val="2"/>
          <w:lang w:val="en-US" w:eastAsia="zh-CN" w:bidi="ar-SA"/>
        </w:rPr>
        <w:t>设计双分支哈希投影机制，将图像特征与位置特征分别映射至128维哈希语义空间后加权融合，生成128位二进制哈希码；此外，通过多路策略验证确定特征拼接为最优融合方案，联合图像和地理位置元数据构建统一语义空间。</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在自建BFATH数据集上进行领域微调与系统演示验证，以mAP、Recall@K和Precision@K验证模型有效性。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已完成开发和测试，可为古树名木检索相关管理提供有力支持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7917"/>
      <w:bookmarkStart w:id="15" w:name="_Toc26449"/>
      <w:bookmarkStart w:id="16" w:name="_Toc23928"/>
      <w:bookmarkStart w:id="17" w:name="_Toc211470756"/>
      <w:bookmarkStart w:id="18" w:name="_Toc6356"/>
      <w:bookmarkStart w:id="19" w:name="_Toc25211"/>
      <w:bookmarkStart w:id="20" w:name="_Toc9147"/>
      <w:bookmarkStart w:id="21" w:name="_Toc24376"/>
      <w:bookmarkStart w:id="22" w:name="_Toc22267"/>
      <w:bookmarkStart w:id="23" w:name="_Toc31812"/>
      <w:bookmarkStart w:id="24" w:name="_Toc26034"/>
      <w:bookmarkStart w:id="25" w:name="_Toc870"/>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Fine-tuning along with system demonstration validation are performed on our self-built BFATH dataset, with mAP, Recall@K, and Precision@K as evaluation metrics.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bookmarkStart w:id="236" w:name="_GoBack"/>
      <w:bookmarkEnd w:id="236"/>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C709E2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cs="Times New Roman"/>
              <w:sz w:val="21"/>
              <w:szCs w:val="21"/>
              <w:lang w:val="en-US" w:eastAsia="zh-CN"/>
            </w:rPr>
            <w:t>信息查询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C62EC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4 </w:t>
          </w:r>
          <w:r>
            <w:rPr>
              <w:rFonts w:hint="eastAsia" w:ascii="Times New Roman" w:hAnsi="Times New Roman" w:eastAsia="宋体" w:cs="Times New Roman"/>
              <w:sz w:val="21"/>
              <w:szCs w:val="21"/>
            </w:rPr>
            <w:t>古树名木</w:t>
          </w:r>
          <w:r>
            <w:rPr>
              <w:rFonts w:hint="eastAsia"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哈希层、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为满足古树名木在实际管理中的检索应用需求，本文针对古树名木保护与管理的实际需求构建了古树名木</w:t>
      </w:r>
      <w:r>
        <w:rPr>
          <w:rFonts w:hint="eastAsia"/>
          <w:lang w:val="en-US" w:eastAsia="zh-CN"/>
        </w:rPr>
        <w:t>展示与</w:t>
      </w:r>
      <w:r>
        <w:rPr>
          <w:rFonts w:hint="eastAsia"/>
        </w:rPr>
        <w:t>检索系统，前端使用Vue开发用户界面，后端采用SpringBoot做数据处理与服务管理，实现古树名木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52" name="图片 52" descr="第一章-1.1 技术路线图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第一章-1.1 技术路线图111"/>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11772"/>
      <w:bookmarkStart w:id="54" w:name="_Toc27995"/>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112"/>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21072"/>
      <w:bookmarkStart w:id="63" w:name="_Toc1332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38202898"/>
      <w:bookmarkStart w:id="86" w:name="_Toc42616464"/>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w:t>
      </w:r>
      <w:r>
        <w:rPr>
          <w:rFonts w:hint="eastAsia"/>
          <w:lang w:val="en-US" w:eastAsia="zh-CN"/>
        </w:rPr>
        <w:t>6</w:t>
      </w:r>
      <w:r>
        <w:rPr>
          <w:rFonts w:hint="eastAsia"/>
        </w:rPr>
        <w:t>）和公式（3-</w:t>
      </w:r>
      <w:r>
        <w:rPr>
          <w:rFonts w:hint="eastAsia"/>
          <w:lang w:val="en-US" w:eastAsia="zh-CN"/>
        </w:rPr>
        <w:t>7</w:t>
      </w:r>
      <w:r>
        <w:rPr>
          <w:rFonts w:hint="eastAsia"/>
        </w:rPr>
        <w:t>）所示：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w:t>
      </w:r>
      <w:r>
        <w:rPr>
          <w:rFonts w:hint="eastAsia" w:cs="Times New Roman"/>
          <w:i w:val="0"/>
          <w:iCs/>
          <w:lang w:val="en-US" w:eastAsia="zh-CN"/>
        </w:rPr>
        <w:t>6</w:t>
      </w:r>
      <w:r>
        <w:rPr>
          <w:rFonts w:hint="default" w:ascii="Times New Roman" w:hAnsi="Times New Roman" w:cs="Times New Roman"/>
          <w:i w:val="0"/>
          <w:iCs/>
          <w:lang w:val="en-US" w:eastAsia="zh-CN"/>
        </w:rPr>
        <w:t>）</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cs="Times New Roman"/>
          <w:i w:val="0"/>
          <w:iCs/>
          <w:lang w:val="en-US" w:eastAsia="zh-CN"/>
        </w:rPr>
        <w:t>7</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w:t>
      </w:r>
      <w:r>
        <w:rPr>
          <w:rFonts w:hint="eastAsia"/>
          <w:lang w:val="en-US" w:eastAsia="zh-CN"/>
        </w:rPr>
        <w:t>8</w:t>
      </w:r>
      <w:r>
        <w:rPr>
          <w:rFonts w:hint="default"/>
          <w:lang w:val="en-US" w:eastAsia="zh-CN"/>
        </w:rPr>
        <w:t>）和公式（3-</w:t>
      </w:r>
      <w:r>
        <w:rPr>
          <w:rFonts w:hint="eastAsia"/>
          <w:lang w:val="en-US" w:eastAsia="zh-CN"/>
        </w:rPr>
        <w:t>9</w:t>
      </w:r>
      <w:r>
        <w:rPr>
          <w:rFonts w:hint="default"/>
          <w:lang w:val="en-US" w:eastAsia="zh-CN"/>
        </w:rPr>
        <w:t>）所示：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w:t>
      </w:r>
      <w:r>
        <w:rPr>
          <w:rStyle w:val="55"/>
          <w:rFonts w:hint="eastAsia" w:cs="Times New Roman"/>
          <w:i w:val="0"/>
          <w:iCs/>
          <w:lang w:val="en-US" w:eastAsia="zh-CN"/>
        </w:rPr>
        <w:t>8</w:t>
      </w:r>
      <w:r>
        <w:rPr>
          <w:rStyle w:val="55"/>
          <w:rFonts w:hint="default" w:ascii="Times New Roman" w:hAnsi="Times New Roman" w:cs="Times New Roman"/>
          <w:i w:val="0"/>
          <w:iCs/>
          <w:lang w:val="en-US" w:eastAsia="zh-CN"/>
        </w:rPr>
        <w:t>）</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w:t>
      </w:r>
      <w:r>
        <w:rPr>
          <w:rStyle w:val="55"/>
          <w:rFonts w:hint="eastAsia"/>
          <w:lang w:val="en-US" w:eastAsia="zh-CN"/>
        </w:rPr>
        <w:t>9</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最终，通过符号函数将连续表示量化为二进制哈希码，如公式（3-10）所示：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3-10</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为减小训练阶段连续值与推理阶段离散值之间的量化误差，本文沿用量化损失进行约束，其数学表达式如公式（3-11）所示：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（3-11）</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需要注意的是，双分支投影未引入额外的非线性层或注意力模块，参数量与单路FC投影相比增量可忽略。现有图像-文本多模态哈希方法如DCMH</w:t>
      </w:r>
      <w:r>
        <w:rPr>
          <w:rFonts w:hint="eastAsia"/>
          <w:vertAlign w:val="superscript"/>
          <w:lang w:val="en-US" w:eastAsia="zh-CN"/>
        </w:rPr>
        <w:fldChar w:fldCharType="begin"/>
      </w:r>
      <w:r>
        <w:instrText xml:space="preserve"> REF _Ref1004291464 \r \h  \* MERGEFORMAT</w:instrText>
      </w:r>
      <w:r>
        <w:rPr>
          <w:rFonts w:hint="eastAsia"/>
          <w:vertAlign w:val="superscript"/>
          <w:lang w:val="en-US" w:eastAsia="zh-CN"/>
        </w:rPr>
        <w:fldChar w:fldCharType="separate"/>
      </w:r>
      <w:r>
        <w:rPr>
          <w:rFonts w:hint="eastAsia"/>
          <w:vertAlign w:val="superscript"/>
          <w:lang w:val="en-US" w:eastAsia="zh-CN"/>
        </w:rPr>
        <w:t>[9]</w:t>
      </w:r>
      <w:r>
        <w:rPr>
          <w:rFonts w:hint="eastAsia"/>
          <w:vertAlign w:val="superscript"/>
          <w:lang w:val="en-US" w:eastAsia="zh-CN"/>
        </w:rPr>
        <w:fldChar w:fldCharType="end"/>
      </w:r>
      <w:r>
        <w:rPr>
          <w:rFonts w:hint="eastAsia"/>
          <w:lang w:val="en-US" w:eastAsia="zh-CN"/>
        </w:rPr>
        <w:t>和SSAH</w:t>
      </w:r>
      <w:r>
        <w:rPr>
          <w:rFonts w:hint="eastAsia"/>
          <w:vertAlign w:val="superscript"/>
          <w:lang w:val="en-US" w:eastAsia="zh-CN"/>
        </w:rPr>
        <w:fldChar w:fldCharType="begin"/>
      </w:r>
      <w:r>
        <w:instrText xml:space="preserve"> REF _Ref1004678025 \r \h  \* MERGEFORMAT</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均同样采用各模态独立哈希投影的思想，但面向离散文本模态设计；本文将其适配至图像-地理位置坐标场景，并通过显式可学习融合权重增强哈希空间的可解释性，是针对古树名木多模态检索任务的适配性设计。</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Loss通过构建三元组(锚点a、正样本p、负样本n)学习判别性特征。对于每个锚点样本，从同类别中随机选取正样本，从不同类别中选取负样本。数学表达式如公式（3-12）所示：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2</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数学表达式如公式（3-13）所示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数学表达式如公式（3-14）所示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，其数学表达式见上述公式（3-11）。</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15）所示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，其数学表达式如公式（3-16）所示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w:t>
      </w:r>
      <w:r>
        <w:rPr>
          <w:rFonts w:hint="eastAsia"/>
          <w:lang w:val="en-US" w:eastAsia="zh-CN"/>
        </w:rPr>
        <w:t>10/16</w:t>
      </w:r>
      <w:r>
        <w:rPr>
          <w:rFonts w:hint="default"/>
          <w:lang w:val="en-US" w:eastAsia="zh-CN"/>
        </w:rPr>
        <w:t>，主导损失）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w:t>
      </w:r>
      <w:r>
        <w:rPr>
          <w:rFonts w:hint="eastAsia"/>
          <w:lang w:val="en-US" w:eastAsia="zh-CN"/>
        </w:rPr>
        <w:t>5/16</w:t>
      </w:r>
      <w:r>
        <w:rPr>
          <w:rFonts w:hint="default"/>
          <w:lang w:val="en-US" w:eastAsia="zh-CN"/>
        </w:rPr>
        <w:t>，辅助损失）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w:t>
      </w:r>
      <w:r>
        <w:rPr>
          <w:rFonts w:hint="eastAsia"/>
          <w:lang w:val="en-US" w:eastAsia="zh-CN"/>
        </w:rPr>
        <w:t>1/16</w:t>
      </w:r>
      <w:r>
        <w:rPr>
          <w:rFonts w:hint="default"/>
          <w:lang w:val="en-US" w:eastAsia="zh-CN"/>
        </w:rPr>
        <w:t>，约束损失）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三种损失权重按10:5:1的比例分配并归一化，满足λ₁+λ₂+λ₃=1。权重的设置遵循“主导-辅助”原则：Triplet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上述具体取值通过预实验探索确定，详细敏感性分析及验证见3.4.4节。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使用哈希层输出的连续值哈希码，通过余弦相似度度量查询样本与库样本的语义相似程度。余弦相似度计算数学表达式如公式（3-17）所示：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将哈希层输出的连续值通过Sign函数二值化为128位二进制哈希码，利用汉明距离度量样本间的相似性。汉明距离数学表达式如公式（3-18）所示：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未开启GPS导致坐标空值、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 200米的记录，该阈值覆盖消费级GPS在开阔地（5-50米）和城市峡谷（50-200米）的典型精度范围，同时有效剔除基站定位漂移及手动输入错误，此步保留率约83.2%；研究区域聚焦，保留北美东部温带区域（经度-100°W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移动设备GPS自动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经纬度坐标；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张）上设计消融实验。相比于BFATH测试集（30张），iNaturalist验证集样本量充足，统计波动显著降低，可为模块贡献提供更稳健的量化估计。本节设置以下五种模型配置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w:t>
      </w:r>
      <w:r>
        <w:rPr>
          <w:rFonts w:hint="eastAsia"/>
          <w:lang w:val="en-US" w:eastAsia="zh-CN"/>
        </w:rPr>
        <w:t>：</w:t>
      </w:r>
      <w:r>
        <w:rPr>
          <w:rFonts w:hint="default"/>
          <w:lang w:val="en-US" w:eastAsia="zh-CN"/>
        </w:rPr>
        <w:t>去除双分支哈希投影，改用单路FC(768→128)直接投影，其余配置不变。需要说明的是，该单路FC结构与HashNe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default"/>
          <w:lang w:val="en-US" w:eastAsia="zh-CN"/>
        </w:rPr>
        <w:t>、DCH</w:t>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、MDSH</w:t>
      </w:r>
      <w:r>
        <w:rPr>
          <w:rFonts w:hint="default"/>
          <w:vertAlign w:val="superscript"/>
          <w:lang w:val="en-US" w:eastAsia="zh-CN"/>
        </w:rPr>
        <w:fldChar w:fldCharType="begin"/>
      </w:r>
      <w:r>
        <w:instrText xml:space="preserve"> REF _Ref1088864288 \r \h  \* MERGEFORMAT</w:instrText>
      </w:r>
      <w:r>
        <w:rPr>
          <w:rFonts w:hint="default"/>
          <w:vertAlign w:val="superscript"/>
          <w:lang w:val="en-US" w:eastAsia="zh-CN"/>
        </w:rPr>
        <w:fldChar w:fldCharType="separate"/>
      </w:r>
      <w:r>
        <w:rPr>
          <w:rFonts w:hint="default"/>
          <w:vertAlign w:val="superscript"/>
          <w:lang w:val="en-US" w:eastAsia="zh-CN"/>
        </w:rPr>
        <w:t>[42]</w:t>
      </w:r>
      <w:r>
        <w:rPr>
          <w:rFonts w:hint="default"/>
          <w:vertAlign w:val="superscript"/>
          <w:lang w:val="en-US" w:eastAsia="zh-CN"/>
        </w:rPr>
        <w:fldChar w:fldCharType="end"/>
      </w:r>
      <w:r>
        <w:rPr>
          <w:rFonts w:hint="default"/>
          <w:lang w:val="en-US" w:eastAsia="zh-CN"/>
        </w:rPr>
        <w:t>等基线方法的哈希层结构一致，因此w/o DBHP与FULL的对比可视为“已有单路投影方法”与“本文双分支投影方法”的公平对比。</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模型（含多模态融合、在线难例挖掘、量化损失和DBHP）</w:t>
      </w:r>
      <w:r>
        <w:rPr>
          <w:rFonts w:hint="eastAsia"/>
          <w:lang w:val="en-US" w:eastAsia="zh-CN"/>
        </w:rPr>
        <w:t>。</w:t>
      </w:r>
    </w:p>
    <w:p w14:paraId="6D8196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0A5327D">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5E8ADE2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100D6A5">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57656847">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5338B5EE">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6A90B61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14EB007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49" w:type="dxa"/>
            <w:tcBorders>
              <w:top w:val="single" w:color="000000" w:sz="12" w:space="0"/>
              <w:left w:val="nil"/>
              <w:bottom w:val="nil"/>
              <w:right w:val="nil"/>
            </w:tcBorders>
            <w:noWrap w:val="0"/>
            <w:tcMar>
              <w:top w:w="-1" w:type="dxa"/>
              <w:left w:w="-1" w:type="dxa"/>
              <w:bottom w:w="-1" w:type="dxa"/>
              <w:right w:w="-1" w:type="dxa"/>
            </w:tcMar>
            <w:vAlign w:val="center"/>
          </w:tcPr>
          <w:p w14:paraId="0964191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146D4FA4">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7A603467">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7E4C945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77838B6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2D7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49" w:type="dxa"/>
            <w:tcBorders>
              <w:top w:val="single" w:color="000000" w:sz="4" w:space="0"/>
              <w:left w:val="nil"/>
              <w:bottom w:val="nil"/>
              <w:right w:val="nil"/>
            </w:tcBorders>
            <w:noWrap w:val="0"/>
            <w:tcMar>
              <w:top w:w="-1" w:type="dxa"/>
              <w:left w:w="-1" w:type="dxa"/>
              <w:bottom w:w="-1" w:type="dxa"/>
              <w:right w:w="-1" w:type="dxa"/>
            </w:tcMar>
            <w:vAlign w:val="center"/>
          </w:tcPr>
          <w:p w14:paraId="78CDF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5B6FC7D5">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610B8A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862355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346350BB">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1F4464">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49" w:type="dxa"/>
            <w:tcBorders>
              <w:top w:val="nil"/>
              <w:left w:val="nil"/>
              <w:bottom w:val="nil"/>
              <w:right w:val="nil"/>
            </w:tcBorders>
            <w:noWrap w:val="0"/>
            <w:tcMar>
              <w:top w:w="-1" w:type="dxa"/>
              <w:left w:w="-1" w:type="dxa"/>
              <w:bottom w:w="-1" w:type="dxa"/>
              <w:right w:w="-1" w:type="dxa"/>
            </w:tcMar>
            <w:vAlign w:val="center"/>
          </w:tcPr>
          <w:p w14:paraId="1761FDC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6C0C0BCA">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9900CB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 xml:space="preserve">w/o </w:t>
            </w:r>
            <w:r>
              <w:rPr>
                <w:rFonts w:hint="eastAsia"/>
                <w:sz w:val="21"/>
                <w:lang w:val="en-US" w:eastAsia="zh-CN"/>
              </w:rPr>
              <w:t>DBHP</w:t>
            </w:r>
          </w:p>
        </w:tc>
        <w:tc>
          <w:tcPr>
            <w:tcW w:w="1332" w:type="dxa"/>
            <w:tcBorders>
              <w:top w:val="nil"/>
              <w:left w:val="nil"/>
              <w:bottom w:val="nil"/>
              <w:right w:val="nil"/>
            </w:tcBorders>
            <w:noWrap w:val="0"/>
            <w:tcMar>
              <w:top w:w="-1" w:type="dxa"/>
              <w:left w:w="-1" w:type="dxa"/>
              <w:bottom w:w="-1" w:type="dxa"/>
              <w:right w:w="-1" w:type="dxa"/>
            </w:tcMar>
            <w:vAlign w:val="center"/>
          </w:tcPr>
          <w:p w14:paraId="6D7D28E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729</w:t>
            </w:r>
          </w:p>
        </w:tc>
        <w:tc>
          <w:tcPr>
            <w:tcW w:w="1333" w:type="dxa"/>
            <w:tcBorders>
              <w:top w:val="nil"/>
              <w:left w:val="nil"/>
              <w:bottom w:val="nil"/>
              <w:right w:val="nil"/>
            </w:tcBorders>
            <w:noWrap w:val="0"/>
            <w:tcMar>
              <w:top w:w="-1" w:type="dxa"/>
              <w:left w:w="-1" w:type="dxa"/>
              <w:bottom w:w="-1" w:type="dxa"/>
              <w:right w:w="-1" w:type="dxa"/>
            </w:tcMar>
            <w:vAlign w:val="center"/>
          </w:tcPr>
          <w:p w14:paraId="0376595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566</w:t>
            </w:r>
          </w:p>
        </w:tc>
        <w:tc>
          <w:tcPr>
            <w:tcW w:w="1333" w:type="dxa"/>
            <w:tcBorders>
              <w:top w:val="nil"/>
              <w:left w:val="nil"/>
              <w:bottom w:val="nil"/>
              <w:right w:val="nil"/>
            </w:tcBorders>
            <w:noWrap w:val="0"/>
            <w:tcMar>
              <w:top w:w="-1" w:type="dxa"/>
              <w:left w:w="-1" w:type="dxa"/>
              <w:bottom w:w="-1" w:type="dxa"/>
              <w:right w:w="-1" w:type="dxa"/>
            </w:tcMar>
            <w:vAlign w:val="center"/>
          </w:tcPr>
          <w:p w14:paraId="4370F412">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0.794</w:t>
            </w:r>
          </w:p>
        </w:tc>
        <w:tc>
          <w:tcPr>
            <w:tcW w:w="1449" w:type="dxa"/>
            <w:tcBorders>
              <w:top w:val="nil"/>
              <w:left w:val="nil"/>
              <w:bottom w:val="nil"/>
              <w:right w:val="nil"/>
            </w:tcBorders>
            <w:noWrap w:val="0"/>
            <w:tcMar>
              <w:top w:w="-1" w:type="dxa"/>
              <w:left w:w="-1" w:type="dxa"/>
              <w:bottom w:w="-1" w:type="dxa"/>
              <w:right w:w="-1" w:type="dxa"/>
            </w:tcMar>
            <w:vAlign w:val="center"/>
          </w:tcPr>
          <w:p w14:paraId="6B4FF54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0.879</w:t>
            </w:r>
          </w:p>
        </w:tc>
      </w:tr>
      <w:tr w14:paraId="754BBFDD">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5C8A8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7AC8D0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3F1C9C4">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7A27CB0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49" w:type="dxa"/>
            <w:tcBorders>
              <w:top w:val="nil"/>
              <w:left w:val="nil"/>
              <w:bottom w:val="nil"/>
              <w:right w:val="nil"/>
            </w:tcBorders>
            <w:shd w:val="clear" w:color="auto" w:fill="auto"/>
            <w:noWrap w:val="0"/>
            <w:tcMar>
              <w:top w:w="-1" w:type="dxa"/>
              <w:left w:w="-1" w:type="dxa"/>
              <w:bottom w:w="-1" w:type="dxa"/>
              <w:right w:w="-1" w:type="dxa"/>
            </w:tcMar>
            <w:vAlign w:val="center"/>
          </w:tcPr>
          <w:p w14:paraId="1F7060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562EDFE7">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686472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2303D1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EDF4AE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744F0D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4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4982B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049059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 xml:space="preserve">0.726，下降约1.3个百分点，P@1降至0.563、R@10降至0.875，验证了在线难例挖掘策略对长尾分布类别不平衡问题的优化作用；在缺少难例挖掘时，模型对尾部类别的判别能力下降，导致头部命中率损失明显。w/o DBHP取得mAP </w:t>
      </w:r>
      <w:r>
        <w:rPr>
          <w:rFonts w:hint="eastAsia"/>
          <w:lang w:val="en-US" w:eastAsia="zh-CN"/>
        </w:rPr>
        <w:t>=</w:t>
      </w:r>
      <w:r>
        <w:rPr>
          <w:rFonts w:hint="eastAsia"/>
        </w:rPr>
        <w:t>0.729，下降约1.2个百分点，P@1降至0.566、R@10降至0.879；单路FC投影将图像和位置信息混合后一次性降维，导致位置模态的地理判别信息被稀释，而DBHP通过独立投影保留各模态哈希语义，再通过λ加权融合实现有选择的信息整合。此外，训练过程中</w:t>
      </w:r>
      <w:r>
        <w:rPr>
          <w:rFonts w:hint="default"/>
          <w:lang w:val="en-US" w:eastAsia="zh-CN"/>
        </w:rPr>
        <w:t>λ</w:t>
      </w:r>
      <w:r>
        <w:rPr>
          <w:rFonts w:hint="eastAsia"/>
        </w:rPr>
        <w:t>最终收敛至0.62附近，表明模型对图像模态赋予略高权重，体现了DBHP的可解释性优势。w/o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1的程度增大，导致汉明距离检索精度略有下降。</w:t>
      </w:r>
    </w:p>
    <w:p w14:paraId="66F433B6">
      <w:pPr>
        <w:jc w:val="left"/>
        <w:rPr>
          <w:rFonts w:hint="eastAsia"/>
        </w:rPr>
      </w:pPr>
      <w:r>
        <w:rPr>
          <w:rFonts w:hint="eastAsia"/>
        </w:rPr>
        <w:t>综上所述，五个模块协同工作实现最优性能，证明了DHLM各模块设计的合理性与必要性。各模块的mAP贡献排序为“地理位置（约2.8个百分点）&gt; 难例挖掘（约1.3个百分点）&gt; DBHP（约1.2个百分点）&gt; 量化损失（约0.6个百分点）”。从相对贡献比例来看，地理位置元数据融合贡献了总性能提升的约48.3%（2.8/5.8），难例挖掘贡献约22.4%（1.3/5.8），DBHP贡献约20.7%（1.2/5.8），量化损失贡献约10.3%（0.6/5.8），四者形成“主导—辅助—结构优化—约束”的层级贡献格局。需要说明的是，上述消融实验在iNaturalist 2018验证集上完成，验证了模块设计的通用有效性；模型在真实古树名木场景（BFATH）中的迁移性能见3.4.2节，完整模型在BFATH上取得mAP 0.647，表明各模块设计具备良好的领域迁移能力。</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4173B821">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bookmarkStart w:id="133" w:name="_Toc18827"/>
      <w:bookmarkStart w:id="134" w:name="_Toc19354"/>
    </w:p>
    <w:p w14:paraId="26A5D9E0">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组合，在特征判别性、样本对相似度关系和哈希码质量三者间实现最佳平衡。该配比与原1.0/0.5/0.1配置保持相同的相对比例，仅通过归一化使权重之和为1，不影响优化方向与实验结果。</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w:t>
      </w:r>
      <w:r>
        <w:rPr>
          <w:rFonts w:hint="eastAsia"/>
          <w:lang w:val="en-US" w:eastAsia="zh-CN"/>
        </w:rPr>
        <w:t>展示与</w:t>
      </w:r>
      <w:r>
        <w:rPr>
          <w:rFonts w:hint="eastAsia"/>
        </w:rPr>
        <w:t>检索系统，以实现古树名木管理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165"/>
      <w:bookmarkStart w:id="141" w:name="_Toc25656"/>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rPr>
        <w:t>系统整体用例图如图4.1所示。</w:t>
      </w:r>
    </w:p>
    <w:p w14:paraId="28D41D82">
      <w:pPr>
        <w:rPr>
          <w:rFonts w:hint="eastAsia"/>
        </w:rPr>
      </w:pPr>
    </w:p>
    <w:p w14:paraId="63B56142">
      <w:pPr>
        <w:pStyle w:val="46"/>
        <w:spacing w:line="300" w:lineRule="auto"/>
        <w:ind w:left="0" w:leftChars="0" w:firstLine="0" w:firstLineChars="0"/>
        <w:jc w:val="center"/>
      </w:pPr>
      <w:r>
        <w:drawing>
          <wp:inline distT="0" distB="0" distL="114300" distR="114300">
            <wp:extent cx="3252470" cy="4944110"/>
            <wp:effectExtent l="0" t="0" r="11430" b="8890"/>
            <wp:docPr id="5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0"/>
                    <pic:cNvPicPr>
                      <a:picLocks noChangeAspect="1"/>
                    </pic:cNvPicPr>
                  </pic:nvPicPr>
                  <pic:blipFill>
                    <a:blip r:embed="rId60"/>
                    <a:stretch>
                      <a:fillRect/>
                    </a:stretch>
                  </pic:blipFill>
                  <pic:spPr>
                    <a:xfrm>
                      <a:off x="0" y="0"/>
                      <a:ext cx="3252470" cy="494411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逻辑关系。系统为每株古树名木提供独立详情展示页面，通过右侧抽屉展示完整档案信息，包括高清图像、地理位置坐标、科属种三级分类信息、树龄、树高、保护级别及描述等。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2296"/>
      <w:bookmarkStart w:id="145" w:name="_Toc3858"/>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w:t>
      </w:r>
      <w:r>
        <w:rPr>
          <w:rFonts w:hint="eastAsia"/>
          <w:lang w:val="en-US" w:eastAsia="zh-CN"/>
        </w:rPr>
        <w:t>展示与</w:t>
      </w:r>
      <w:r>
        <w:rPr>
          <w:rFonts w:hint="eastAsia"/>
        </w:rPr>
        <w:t>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5387"/>
      <w:bookmarkStart w:id="152" w:name="_Toc10756"/>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121025" cy="2987040"/>
            <wp:effectExtent l="0" t="0" r="3175" b="10160"/>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3"/>
                    <a:stretch>
                      <a:fillRect/>
                    </a:stretch>
                  </pic:blipFill>
                  <pic:spPr>
                    <a:xfrm>
                      <a:off x="0" y="0"/>
                      <a:ext cx="3121025" cy="298704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其余属性其中包括古树名称、树种名称、科属、保护级别、树龄、树高、经纬坐标等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4"/>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四</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用户管理详细设计</w:t>
      </w:r>
    </w:p>
    <w:p w14:paraId="3C0996D6">
      <w:pPr>
        <w:numPr>
          <w:ilvl w:val="0"/>
          <w:numId w:val="0"/>
        </w:numPr>
        <w:ind w:firstLine="420" w:firstLineChars="0"/>
        <w:rPr>
          <w:rFonts w:hint="eastAsia"/>
          <w:lang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用户管理实现</w:t>
      </w:r>
    </w:p>
    <w:p w14:paraId="2631F0A6">
      <w:pPr>
        <w:ind w:left="0" w:leftChars="0" w:firstLine="0" w:firstLineChars="0"/>
        <w:jc w:val="center"/>
        <w:rPr>
          <w:b/>
          <w:bCs/>
          <w:color w:val="FF0000"/>
        </w:rPr>
      </w:pPr>
      <w:r>
        <w:drawing>
          <wp:inline distT="0" distB="0" distL="114300" distR="114300">
            <wp:extent cx="5577205" cy="3237230"/>
            <wp:effectExtent l="9525" t="9525" r="13970" b="1714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6"/>
                    <a:stretch>
                      <a:fillRect/>
                    </a:stretch>
                  </pic:blipFill>
                  <pic:spPr>
                    <a:xfrm>
                      <a:off x="0" y="0"/>
                      <a:ext cx="5577205" cy="3237230"/>
                    </a:xfrm>
                    <a:prstGeom prst="rect">
                      <a:avLst/>
                    </a:prstGeom>
                    <a:noFill/>
                    <a:ln>
                      <a:solidFill>
                        <a:schemeClr val="tx1"/>
                      </a:solidFill>
                    </a:ln>
                  </pic:spPr>
                </pic:pic>
              </a:graphicData>
            </a:graphic>
          </wp:inline>
        </w:drawing>
      </w:r>
    </w:p>
    <w:p w14:paraId="019AF92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w:t>
      </w:r>
      <w:r>
        <w:rPr>
          <w:rFonts w:hint="eastAsia"/>
          <w:sz w:val="21"/>
          <w:szCs w:val="21"/>
          <w:highlight w:val="none"/>
          <w:lang w:val="en-US" w:eastAsia="zh-CN"/>
        </w:rPr>
        <w:t>管理</w:t>
      </w:r>
      <w:r>
        <w:rPr>
          <w:rFonts w:hint="eastAsia"/>
          <w:sz w:val="21"/>
          <w:szCs w:val="21"/>
          <w:highlight w:val="none"/>
        </w:rPr>
        <w:t>页面</w:t>
      </w:r>
    </w:p>
    <w:p w14:paraId="44CFC0AF">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 xml:space="preserve">6 User </w:t>
      </w:r>
      <w:r>
        <w:rPr>
          <w:rFonts w:hint="eastAsia"/>
          <w:sz w:val="21"/>
          <w:szCs w:val="21"/>
          <w:lang w:val="en-US" w:eastAsia="zh-CN"/>
        </w:rPr>
        <w:t>Manage</w:t>
      </w:r>
      <w:r>
        <w:rPr>
          <w:rFonts w:hint="eastAsia"/>
          <w:sz w:val="21"/>
          <w:szCs w:val="21"/>
        </w:rPr>
        <w:t xml:space="preserve"> Page </w:t>
      </w:r>
    </w:p>
    <w:p w14:paraId="5859426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eastAsia="宋体"/>
          <w:sz w:val="21"/>
          <w:szCs w:val="21"/>
          <w:lang w:eastAsia="zh-CN"/>
        </w:rPr>
      </w:pPr>
      <w:r>
        <w:rPr>
          <w:rFonts w:hint="eastAsia"/>
          <w:lang w:val="en-US" w:eastAsia="zh-CN"/>
        </w:rPr>
        <w:t>如上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E6E3587">
      <w:pPr>
        <w:pStyle w:val="4"/>
        <w:spacing w:before="193"/>
      </w:pPr>
      <w:r>
        <w:rPr>
          <w:rFonts w:hint="eastAsia"/>
        </w:rPr>
        <w:t>4.3.2</w:t>
      </w:r>
      <w:r>
        <w:rPr>
          <w:rFonts w:hint="eastAsia"/>
          <w:lang w:val="en-US" w:eastAsia="zh-CN"/>
        </w:rPr>
        <w:t xml:space="preserve">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7</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 采用UUID 重命名并写入文件系统后返回服务端文件名，前端通过URL.createObjectURL 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7"/>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7 </w:t>
      </w:r>
      <w:r>
        <w:rPr>
          <w:rFonts w:hint="eastAsia"/>
          <w:sz w:val="21"/>
          <w:szCs w:val="21"/>
        </w:rPr>
        <w:t>Upload sequence diagram of ancient and famous trees data</w:t>
      </w: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 请求体调用 POST /tree/save接口。TreeController校验必填项后，调用selectAll() 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 Tree 实体调用insert()写入数据库，同步插入family</w:t>
      </w:r>
      <w:r>
        <w:rPr>
          <w:rFonts w:hint="eastAsia"/>
          <w:lang w:eastAsia="zh-CN"/>
        </w:rPr>
        <w:t>、</w:t>
      </w:r>
      <w:r>
        <w:rPr>
          <w:rFonts w:hint="eastAsia"/>
        </w:rPr>
        <w:t>genus、protection_level等扩展字段。对于每张关联图像，Controller调用DHLAM模型的 generate()方法生成128位二进制哈希码：ImageEncoder提取视觉特征，LocationEncoder编码位置坐标，Fusion层拼接融合后经由HashLayer（FC→Tanh→Sign）输出离散哈希值。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如下图4.8所示，展示了古树名木数据上传模块的前端界面。页面采用左右分栏布局，左侧为信息录入区域，右侧为图像上传区域。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经纬度信息。右侧图像上传区采用拖拽上传交互，支持单张或多张 JPG/PNG 格式图像上传，单张大小限制为 5 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75935" cy="2355215"/>
            <wp:effectExtent l="9525" t="9525" r="1524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68"/>
                    <a:stretch>
                      <a:fillRect/>
                    </a:stretch>
                  </pic:blipFill>
                  <pic:spPr>
                    <a:xfrm>
                      <a:off x="0" y="0"/>
                      <a:ext cx="5575935" cy="235521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68140187">
      <w:pPr>
        <w:pStyle w:val="4"/>
        <w:spacing w:before="193"/>
        <w:rPr>
          <w:rFonts w:hint="eastAsia"/>
          <w:lang w:val="en-US" w:eastAsia="zh-CN"/>
        </w:rPr>
      </w:pPr>
      <w:r>
        <w:rPr>
          <w:rFonts w:hint="eastAsia"/>
        </w:rPr>
        <w:t>4.3.</w:t>
      </w:r>
      <w:r>
        <w:rPr>
          <w:rFonts w:hint="eastAsia"/>
          <w:lang w:val="en-US" w:eastAsia="zh-CN"/>
        </w:rPr>
        <w:t>3 古树名木信息查询详细设计与实现</w:t>
      </w:r>
    </w:p>
    <w:p w14:paraId="53A6732D">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rPr>
        <w:t>如下图4.</w:t>
      </w:r>
      <w:r>
        <w:rPr>
          <w:rFonts w:hint="eastAsia"/>
          <w:lang w:val="en-US" w:eastAsia="zh-CN"/>
        </w:rPr>
        <w:t>9</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4C0B670A">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9"/>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62195053">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 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3759472B">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 LIKE 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513D54F2">
      <w:pPr>
        <w:numPr>
          <w:ilvl w:val="0"/>
          <w:numId w:val="0"/>
        </w:numPr>
        <w:ind w:firstLine="420" w:firstLineChars="0"/>
        <w:rPr>
          <w:rFonts w:hint="eastAsia"/>
          <w:lang w:val="en-US" w:eastAsia="zh-CN"/>
        </w:rPr>
      </w:pPr>
    </w:p>
    <w:p w14:paraId="66DE31F0">
      <w:pPr>
        <w:numPr>
          <w:ilvl w:val="0"/>
          <w:numId w:val="0"/>
        </w:numPr>
        <w:jc w:val="left"/>
        <w:rPr>
          <w:rFonts w:hint="default"/>
          <w:lang w:val="en-US" w:eastAsia="zh-CN"/>
        </w:rPr>
      </w:pPr>
      <w:r>
        <w:drawing>
          <wp:inline distT="0" distB="0" distL="114300" distR="114300">
            <wp:extent cx="5577840" cy="3125470"/>
            <wp:effectExtent l="9525" t="9525" r="13335" b="1460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70"/>
                    <a:stretch>
                      <a:fillRect/>
                    </a:stretch>
                  </pic:blipFill>
                  <pic:spPr>
                    <a:xfrm>
                      <a:off x="0" y="0"/>
                      <a:ext cx="5577840" cy="3125470"/>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10</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36A029EE">
      <w:pPr>
        <w:numPr>
          <w:ilvl w:val="0"/>
          <w:numId w:val="0"/>
        </w:numPr>
        <w:ind w:firstLine="420" w:firstLineChars="0"/>
        <w:rPr>
          <w:rFonts w:hint="eastAsia"/>
          <w:lang w:val="en-US" w:eastAsia="zh-CN"/>
        </w:rPr>
      </w:pPr>
    </w:p>
    <w:p w14:paraId="39779371">
      <w:pPr>
        <w:numPr>
          <w:ilvl w:val="0"/>
          <w:numId w:val="0"/>
        </w:numPr>
        <w:ind w:firstLine="420" w:firstLineChars="0"/>
        <w:rPr>
          <w:rFonts w:hint="eastAsia"/>
          <w:sz w:val="21"/>
          <w:szCs w:val="21"/>
        </w:rPr>
      </w:pPr>
      <w:r>
        <w:rPr>
          <w:rFonts w:hint="eastAsia"/>
          <w:lang w:val="en-US" w:eastAsia="zh-CN"/>
        </w:rPr>
        <w:t>如上图4.10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全部级别）和树龄范围双滑块（0~2000 年）。左侧底部设置“查询古树”按钮，触发 handleTaxonomySearch方法组装参数调用/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经纬度及位置描述等完整字段。</w:t>
      </w:r>
    </w:p>
    <w:p w14:paraId="63D7DBE0">
      <w:pPr>
        <w:numPr>
          <w:ilvl w:val="0"/>
          <w:numId w:val="0"/>
        </w:numPr>
        <w:ind w:firstLine="420" w:firstLineChars="0"/>
        <w:rPr>
          <w:rFonts w:hint="default"/>
          <w:lang w:val="en-US" w:eastAsia="zh-CN"/>
        </w:rPr>
      </w:pPr>
      <w:r>
        <w:rPr>
          <w:rFonts w:hint="default"/>
          <w:lang w:val="en-US" w:eastAsia="zh-CN"/>
        </w:rPr>
        <w:t>如下图4.</w:t>
      </w:r>
      <w:r>
        <w:rPr>
          <w:rFonts w:hint="eastAsia"/>
          <w:lang w:val="en-US" w:eastAsia="zh-CN"/>
        </w:rPr>
        <w:t>11</w:t>
      </w:r>
      <w:r>
        <w:rPr>
          <w:rFonts w:hint="default"/>
          <w:lang w:val="en-US" w:eastAsia="zh-CN"/>
        </w:rPr>
        <w:t>所示，展示了树种名称查询页面的前端界面。左侧查询条件区配置树种名称输入框（带搜索图标）和树龄范围双滑块，底部设置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243476EC">
      <w:pPr>
        <w:numPr>
          <w:ilvl w:val="0"/>
          <w:numId w:val="0"/>
        </w:numPr>
        <w:ind w:firstLine="420" w:firstLineChars="0"/>
        <w:rPr>
          <w:rFonts w:hint="default"/>
          <w:lang w:val="en-US" w:eastAsia="zh-CN"/>
        </w:rPr>
      </w:pPr>
    </w:p>
    <w:p w14:paraId="430BE57B">
      <w:pPr>
        <w:ind w:left="0" w:leftChars="0" w:firstLine="0" w:firstLineChars="0"/>
        <w:rPr>
          <w:b/>
          <w:bCs/>
          <w:color w:val="FF0000"/>
        </w:rPr>
      </w:pPr>
      <w:r>
        <w:drawing>
          <wp:inline distT="0" distB="0" distL="114300" distR="114300">
            <wp:extent cx="5565775" cy="2841625"/>
            <wp:effectExtent l="9525" t="9525" r="12700" b="19050"/>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71"/>
                    <a:stretch>
                      <a:fillRect/>
                    </a:stretch>
                  </pic:blipFill>
                  <pic:spPr>
                    <a:xfrm>
                      <a:off x="0" y="0"/>
                      <a:ext cx="5565775" cy="284162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4" w:name="_Toc23342"/>
      <w:bookmarkStart w:id="165"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11</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bidi w:val="0"/>
        <w:rPr>
          <w:rFonts w:hint="eastAsia"/>
        </w:rPr>
      </w:pPr>
    </w:p>
    <w:p w14:paraId="6D779172">
      <w:pPr>
        <w:pStyle w:val="4"/>
        <w:spacing w:before="193"/>
      </w:pPr>
      <w:r>
        <w:rPr>
          <w:rFonts w:hint="eastAsia"/>
        </w:rPr>
        <w:t>4.3.</w:t>
      </w:r>
      <w:r>
        <w:rPr>
          <w:rFonts w:hint="eastAsia"/>
          <w:lang w:val="en-US" w:eastAsia="zh-CN"/>
        </w:rPr>
        <w:t xml:space="preserve">4 </w:t>
      </w:r>
      <w:r>
        <w:rPr>
          <w:rFonts w:hint="eastAsia"/>
        </w:rPr>
        <w:t>古树名木</w:t>
      </w:r>
      <w:r>
        <w:rPr>
          <w:rFonts w:hint="eastAsia"/>
          <w:lang w:val="en-US" w:eastAsia="zh-CN"/>
        </w:rPr>
        <w:t>多模态检索</w:t>
      </w:r>
      <w:r>
        <w:rPr>
          <w:rFonts w:hint="eastAsia"/>
        </w:rPr>
        <w:t>详细设计与实现</w:t>
      </w:r>
      <w:bookmarkEnd w:id="164"/>
      <w:bookmarkEnd w:id="165"/>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2"/>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12</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12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12</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w:t>
      </w:r>
      <w:r>
        <w:rPr>
          <w:rFonts w:hint="eastAsia"/>
          <w:lang w:val="en-US" w:eastAsia="zh-CN"/>
        </w:rPr>
        <w:t>13</w:t>
      </w:r>
      <w:r>
        <w:rPr>
          <w:rFonts w:hint="eastAsia"/>
        </w:rPr>
        <w:t>-4.1</w:t>
      </w:r>
      <w:r>
        <w:rPr>
          <w:rFonts w:hint="eastAsia"/>
          <w:lang w:val="en-US" w:eastAsia="zh-CN"/>
        </w:rPr>
        <w:t>5</w:t>
      </w:r>
      <w:r>
        <w:rPr>
          <w:rFonts w:hint="eastAsia"/>
        </w:rPr>
        <w:t>展示了系统三种</w:t>
      </w:r>
      <w:r>
        <w:rPr>
          <w:rFonts w:hint="eastAsia"/>
          <w:lang w:val="en-US" w:eastAsia="zh-CN"/>
        </w:rPr>
        <w:t>多模态</w:t>
      </w:r>
      <w:r>
        <w:rPr>
          <w:rFonts w:hint="eastAsia"/>
        </w:rPr>
        <w:t>检索模式：以图搜图、以图搜位置及以位置搜图。图4.</w:t>
      </w:r>
      <w:r>
        <w:rPr>
          <w:rFonts w:hint="eastAsia"/>
          <w:lang w:val="en-US" w:eastAsia="zh-CN"/>
        </w:rPr>
        <w:t>13</w:t>
      </w:r>
      <w:r>
        <w:rPr>
          <w:rFonts w:hint="eastAsia"/>
        </w:rPr>
        <w:t>中用户上传查询图像后，系统返回相似古树</w:t>
      </w:r>
      <w:r>
        <w:rPr>
          <w:rFonts w:hint="eastAsia"/>
          <w:lang w:val="en-US" w:eastAsia="zh-CN"/>
        </w:rPr>
        <w:t>名木</w:t>
      </w:r>
      <w:r>
        <w:rPr>
          <w:rFonts w:hint="eastAsia"/>
        </w:rPr>
        <w:t>列表并按相似度排序；图4.</w:t>
      </w:r>
      <w:r>
        <w:rPr>
          <w:rFonts w:hint="eastAsia"/>
          <w:lang w:val="en-US" w:eastAsia="zh-CN"/>
        </w:rPr>
        <w:t>14</w:t>
      </w:r>
      <w:r>
        <w:rPr>
          <w:rFonts w:hint="eastAsia"/>
        </w:rPr>
        <w:t>通过图像检索返回古树</w:t>
      </w:r>
      <w:r>
        <w:rPr>
          <w:rFonts w:hint="eastAsia"/>
          <w:lang w:val="en-US" w:eastAsia="zh-CN"/>
        </w:rPr>
        <w:t>名木</w:t>
      </w:r>
      <w:r>
        <w:rPr>
          <w:rFonts w:hint="eastAsia"/>
        </w:rPr>
        <w:t>地理位置；图4.1</w:t>
      </w:r>
      <w:r>
        <w:rPr>
          <w:rFonts w:hint="eastAsia"/>
          <w:lang w:val="en-US" w:eastAsia="zh-CN"/>
        </w:rPr>
        <w:t>5</w:t>
      </w:r>
      <w:r>
        <w:rPr>
          <w:rFonts w:hint="eastAsia"/>
        </w:rPr>
        <w:t>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w:t>
      </w:r>
      <w:r>
        <w:rPr>
          <w:rFonts w:hint="eastAsia"/>
          <w:lang w:val="en-US" w:eastAsia="zh-CN"/>
        </w:rPr>
        <w:t>多模态检索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72125" cy="3270885"/>
            <wp:effectExtent l="9525" t="9525" r="19050" b="2159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73"/>
                    <a:stretch>
                      <a:fillRect/>
                    </a:stretch>
                  </pic:blipFill>
                  <pic:spPr>
                    <a:xfrm>
                      <a:off x="0" y="0"/>
                      <a:ext cx="5572125" cy="327088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66" w:name="_Toc1202"/>
      <w:r>
        <w:drawing>
          <wp:inline distT="0" distB="0" distL="114300" distR="114300">
            <wp:extent cx="5575300" cy="2865755"/>
            <wp:effectExtent l="9525" t="9525" r="15875" b="2032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74"/>
                    <a:stretch>
                      <a:fillRect/>
                    </a:stretch>
                  </pic:blipFill>
                  <pic:spPr>
                    <a:xfrm>
                      <a:off x="0" y="0"/>
                      <a:ext cx="5575300" cy="286575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14</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14</w:t>
      </w:r>
      <w:r>
        <w:rPr>
          <w:rFonts w:hint="eastAsia"/>
          <w:sz w:val="21"/>
          <w:szCs w:val="21"/>
        </w:rPr>
        <w:t xml:space="preserve"> Image-to-Location Retrieval Result Interface </w:t>
      </w:r>
    </w:p>
    <w:p w14:paraId="5C5A6A67">
      <w:pPr>
        <w:jc w:val="center"/>
        <w:rPr>
          <w:rFonts w:hint="eastAsia"/>
          <w:sz w:val="21"/>
          <w:szCs w:val="21"/>
        </w:rPr>
      </w:pPr>
    </w:p>
    <w:p w14:paraId="17D89A98">
      <w:pPr>
        <w:ind w:left="0" w:leftChars="0" w:firstLine="0" w:firstLineChars="0"/>
        <w:jc w:val="center"/>
      </w:pPr>
      <w:r>
        <w:drawing>
          <wp:inline distT="0" distB="0" distL="114300" distR="114300">
            <wp:extent cx="5565775" cy="2926715"/>
            <wp:effectExtent l="9525" t="9525" r="12700" b="10160"/>
            <wp:docPr id="4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4"/>
                    <pic:cNvPicPr>
                      <a:picLocks noChangeAspect="1"/>
                    </pic:cNvPicPr>
                  </pic:nvPicPr>
                  <pic:blipFill>
                    <a:blip r:embed="rId75"/>
                    <a:stretch>
                      <a:fillRect/>
                    </a:stretch>
                  </pic:blipFill>
                  <pic:spPr>
                    <a:xfrm>
                      <a:off x="0" y="0"/>
                      <a:ext cx="5565775" cy="292671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15</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15</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bookmarkStart w:id="167" w:name="_Toc7167"/>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05D239C">
      <w:pPr>
        <w:pStyle w:val="4"/>
      </w:pPr>
      <w:bookmarkStart w:id="168" w:name="_Toc8060"/>
      <w:bookmarkStart w:id="169" w:name="_Toc1979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r>
        <w:rPr>
          <w:rFonts w:hint="eastAsia"/>
          <w:lang w:eastAsia="zh-CN"/>
        </w:rPr>
        <w:t>。</w:t>
      </w:r>
    </w:p>
    <w:p w14:paraId="7FEDA218">
      <w:pPr>
        <w:pStyle w:val="2"/>
        <w:spacing w:before="193" w:after="193"/>
      </w:pPr>
      <w:bookmarkStart w:id="175" w:name="_Toc16137"/>
      <w:bookmarkStart w:id="176" w:name="_Toc28146"/>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w:t>
      </w:r>
      <w:r>
        <w:rPr>
          <w:rFonts w:hint="eastAsia"/>
          <w:lang w:val="en-US" w:eastAsia="zh-CN"/>
        </w:rPr>
        <w:t>约</w:t>
      </w:r>
      <w:r>
        <w:rPr>
          <w:rFonts w:hint="eastAsia"/>
        </w:rPr>
        <w:t>2.8个百分点）&gt; 难例挖掘（</w:t>
      </w:r>
      <w:r>
        <w:rPr>
          <w:rFonts w:hint="eastAsia"/>
          <w:lang w:val="en-US" w:eastAsia="zh-CN"/>
        </w:rPr>
        <w:t>约</w:t>
      </w:r>
      <w:r>
        <w:rPr>
          <w:rFonts w:hint="eastAsia"/>
        </w:rPr>
        <w:t>1.</w:t>
      </w:r>
      <w:r>
        <w:rPr>
          <w:rFonts w:hint="eastAsia"/>
          <w:lang w:val="en-US" w:eastAsia="zh-CN"/>
        </w:rPr>
        <w:t>3</w:t>
      </w:r>
      <w:r>
        <w:rPr>
          <w:rFonts w:hint="eastAsia"/>
        </w:rPr>
        <w:t>个百分点）&gt; DBHP（</w:t>
      </w:r>
      <w:r>
        <w:rPr>
          <w:rFonts w:hint="eastAsia"/>
          <w:lang w:val="en-US" w:eastAsia="zh-CN"/>
        </w:rPr>
        <w:t>约</w:t>
      </w:r>
      <w:r>
        <w:rPr>
          <w:rFonts w:hint="eastAsia"/>
        </w:rPr>
        <w:t>1.</w:t>
      </w:r>
      <w:r>
        <w:rPr>
          <w:rFonts w:hint="eastAsia"/>
          <w:lang w:val="en-US" w:eastAsia="zh-CN"/>
        </w:rPr>
        <w:t>2</w:t>
      </w:r>
      <w:r>
        <w:rPr>
          <w:rFonts w:hint="eastAsia"/>
        </w:rPr>
        <w:t>个百分点）&gt; 量化损失（</w:t>
      </w:r>
      <w:r>
        <w:rPr>
          <w:rFonts w:hint="eastAsia"/>
          <w:lang w:val="en-US" w:eastAsia="zh-CN"/>
        </w:rPr>
        <w:t>约</w:t>
      </w:r>
      <w:r>
        <w:rPr>
          <w:rFonts w:hint="eastAsia"/>
        </w:rPr>
        <w:t>0.</w:t>
      </w:r>
      <w:r>
        <w:rPr>
          <w:rFonts w:hint="eastAsia"/>
          <w:lang w:val="en-US" w:eastAsia="zh-CN"/>
        </w:rPr>
        <w:t>6</w:t>
      </w:r>
      <w:r>
        <w:rPr>
          <w:rFonts w:hint="eastAsia"/>
        </w:rPr>
        <w:t>个百分点），在</w:t>
      </w:r>
      <w:r>
        <w:rPr>
          <w:rFonts w:hint="eastAsia"/>
          <w:lang w:eastAsia="zh-CN"/>
        </w:rPr>
        <w:t>2509</w:t>
      </w:r>
      <w:r>
        <w:rPr>
          <w:rFonts w:hint="eastAsia"/>
        </w:rPr>
        <w:t>张验证样本上具有统计稳健性；BFATH数据集上的领域迁移验证表明完整模型在真实古树名木场景中取得mAP 0.647，具备良好的领域适应能力。</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w:t>
      </w:r>
      <w:r>
        <w:rPr>
          <w:rFonts w:hint="eastAsia"/>
        </w:rPr>
        <w:t>、</w:t>
      </w:r>
      <w:r>
        <w:rPr>
          <w:rFonts w:hint="eastAsia"/>
          <w:lang w:val="en-US" w:eastAsia="zh-CN"/>
        </w:rPr>
        <w:t>树种名称查询</w:t>
      </w:r>
      <w:r>
        <w:rPr>
          <w:rFonts w:hint="eastAsia"/>
        </w:rPr>
        <w:t>）、古树名木</w:t>
      </w:r>
      <w:r>
        <w:rPr>
          <w:rFonts w:hint="eastAsia"/>
          <w:lang w:val="en-US" w:eastAsia="zh-CN"/>
        </w:rPr>
        <w:t>多模态</w:t>
      </w:r>
      <w:r>
        <w:rPr>
          <w:rFonts w:hint="eastAsia"/>
        </w:rPr>
        <w:t>检索（以图搜图、以图搜位置、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数据上与本文DBHP机制</w:t>
      </w:r>
      <w:r>
        <w:rPr>
          <w:rFonts w:hint="eastAsia"/>
          <w:lang w:val="en-US" w:eastAsia="zh-CN"/>
        </w:rPr>
        <w:t>进行</w:t>
      </w:r>
      <w:r>
        <w:rPr>
          <w:rFonts w:hint="eastAsia"/>
        </w:rPr>
        <w:t>对比</w:t>
      </w:r>
      <w:r>
        <w:rPr>
          <w:rFonts w:hint="eastAsia"/>
          <w:lang w:val="en-US" w:eastAsia="zh-CN"/>
        </w:rPr>
        <w:t>实验</w:t>
      </w:r>
      <w:r>
        <w:rPr>
          <w:rFonts w:hint="eastAsia"/>
        </w:rPr>
        <w:t>。</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02671"/>
    <w:rsid w:val="02571C51"/>
    <w:rsid w:val="02603BB4"/>
    <w:rsid w:val="026161C7"/>
    <w:rsid w:val="02753E85"/>
    <w:rsid w:val="02785D09"/>
    <w:rsid w:val="027A5940"/>
    <w:rsid w:val="027F4C16"/>
    <w:rsid w:val="02906F11"/>
    <w:rsid w:val="02A00FF1"/>
    <w:rsid w:val="02A97FD3"/>
    <w:rsid w:val="02C0471E"/>
    <w:rsid w:val="02D05560"/>
    <w:rsid w:val="02DB2768"/>
    <w:rsid w:val="02DC5CB3"/>
    <w:rsid w:val="02DD5B9C"/>
    <w:rsid w:val="02EF5CDD"/>
    <w:rsid w:val="02F81B46"/>
    <w:rsid w:val="02FF7BF3"/>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925CD1"/>
    <w:rsid w:val="039667A9"/>
    <w:rsid w:val="039E011A"/>
    <w:rsid w:val="03A37933"/>
    <w:rsid w:val="03AB567B"/>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477B7"/>
    <w:rsid w:val="05F94DCD"/>
    <w:rsid w:val="06007623"/>
    <w:rsid w:val="06042CC3"/>
    <w:rsid w:val="06055520"/>
    <w:rsid w:val="060774EA"/>
    <w:rsid w:val="060C2D53"/>
    <w:rsid w:val="060F2738"/>
    <w:rsid w:val="0616772D"/>
    <w:rsid w:val="061D286A"/>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3F49A7"/>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502F56"/>
    <w:rsid w:val="095073FA"/>
    <w:rsid w:val="09507869"/>
    <w:rsid w:val="095427DA"/>
    <w:rsid w:val="0954785F"/>
    <w:rsid w:val="095E38C5"/>
    <w:rsid w:val="096A70CC"/>
    <w:rsid w:val="096F17C8"/>
    <w:rsid w:val="097053A7"/>
    <w:rsid w:val="09727863"/>
    <w:rsid w:val="097753F8"/>
    <w:rsid w:val="097A111F"/>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39F9"/>
    <w:rsid w:val="0E57377F"/>
    <w:rsid w:val="0E5F3B43"/>
    <w:rsid w:val="0E6772DC"/>
    <w:rsid w:val="0E7862A5"/>
    <w:rsid w:val="0E7C5BBA"/>
    <w:rsid w:val="0E8518F4"/>
    <w:rsid w:val="0EB2602B"/>
    <w:rsid w:val="0EB2767E"/>
    <w:rsid w:val="0EB74AE1"/>
    <w:rsid w:val="0EB7AA10"/>
    <w:rsid w:val="0EB863CE"/>
    <w:rsid w:val="0EBA15E6"/>
    <w:rsid w:val="0EBB3568"/>
    <w:rsid w:val="0EC77F34"/>
    <w:rsid w:val="0ECD582E"/>
    <w:rsid w:val="0ECE0AF3"/>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464A7"/>
    <w:rsid w:val="101C1267"/>
    <w:rsid w:val="102E6A16"/>
    <w:rsid w:val="1035519A"/>
    <w:rsid w:val="10364FD2"/>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8539B"/>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206F43"/>
    <w:rsid w:val="1E3824DF"/>
    <w:rsid w:val="1E3A63E9"/>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33426"/>
    <w:rsid w:val="20657B97"/>
    <w:rsid w:val="20695FCB"/>
    <w:rsid w:val="206E4173"/>
    <w:rsid w:val="20781D29"/>
    <w:rsid w:val="2078268A"/>
    <w:rsid w:val="2079293B"/>
    <w:rsid w:val="207A5956"/>
    <w:rsid w:val="20802603"/>
    <w:rsid w:val="208732AA"/>
    <w:rsid w:val="20A200E4"/>
    <w:rsid w:val="20AB70C4"/>
    <w:rsid w:val="20AD6237"/>
    <w:rsid w:val="20B3325E"/>
    <w:rsid w:val="20B73096"/>
    <w:rsid w:val="20C43277"/>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D4721"/>
    <w:rsid w:val="22734399"/>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70432"/>
    <w:rsid w:val="2409256C"/>
    <w:rsid w:val="24093AE4"/>
    <w:rsid w:val="24155071"/>
    <w:rsid w:val="241A4943"/>
    <w:rsid w:val="241B5E88"/>
    <w:rsid w:val="241E3E9B"/>
    <w:rsid w:val="241E3F25"/>
    <w:rsid w:val="241F1A4B"/>
    <w:rsid w:val="24213A15"/>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641BC4"/>
    <w:rsid w:val="257A162F"/>
    <w:rsid w:val="257F09F3"/>
    <w:rsid w:val="257F5D61"/>
    <w:rsid w:val="2582407F"/>
    <w:rsid w:val="25836BCB"/>
    <w:rsid w:val="258555C1"/>
    <w:rsid w:val="259326F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053E"/>
    <w:rsid w:val="27904D63"/>
    <w:rsid w:val="2793524C"/>
    <w:rsid w:val="27972FEB"/>
    <w:rsid w:val="27A6495D"/>
    <w:rsid w:val="27A75FE0"/>
    <w:rsid w:val="27B14AF6"/>
    <w:rsid w:val="27B74619"/>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9724F8"/>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E6AA0"/>
    <w:rsid w:val="2B6111BC"/>
    <w:rsid w:val="2B642979"/>
    <w:rsid w:val="2B692999"/>
    <w:rsid w:val="2B6C0AFC"/>
    <w:rsid w:val="2B7B3A0B"/>
    <w:rsid w:val="2B920981"/>
    <w:rsid w:val="2B922E0C"/>
    <w:rsid w:val="2B97CE49"/>
    <w:rsid w:val="2B9E79FB"/>
    <w:rsid w:val="2BA7764A"/>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B6B7A"/>
    <w:rsid w:val="2DFBF272"/>
    <w:rsid w:val="2DFE698E"/>
    <w:rsid w:val="2E0A09BB"/>
    <w:rsid w:val="2E0C1358"/>
    <w:rsid w:val="2E180D52"/>
    <w:rsid w:val="2E1A575D"/>
    <w:rsid w:val="2E1C65C1"/>
    <w:rsid w:val="2E1E4B22"/>
    <w:rsid w:val="2E1FBE52"/>
    <w:rsid w:val="2E206AEC"/>
    <w:rsid w:val="2E2362DA"/>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42151"/>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0635D"/>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D1B3C"/>
    <w:rsid w:val="34136086"/>
    <w:rsid w:val="34140EA1"/>
    <w:rsid w:val="341449FD"/>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C2474"/>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646D1"/>
    <w:rsid w:val="381A7091"/>
    <w:rsid w:val="38260110"/>
    <w:rsid w:val="38267406"/>
    <w:rsid w:val="38353D62"/>
    <w:rsid w:val="384F06F9"/>
    <w:rsid w:val="384F6F52"/>
    <w:rsid w:val="38601B63"/>
    <w:rsid w:val="386046B4"/>
    <w:rsid w:val="386677F1"/>
    <w:rsid w:val="38693011"/>
    <w:rsid w:val="386F36AB"/>
    <w:rsid w:val="38740E0B"/>
    <w:rsid w:val="3887217A"/>
    <w:rsid w:val="388E3785"/>
    <w:rsid w:val="389E4E7A"/>
    <w:rsid w:val="38A359B8"/>
    <w:rsid w:val="38B16CBE"/>
    <w:rsid w:val="38B927E7"/>
    <w:rsid w:val="38BC07AA"/>
    <w:rsid w:val="38BC6103"/>
    <w:rsid w:val="38BD52D9"/>
    <w:rsid w:val="38BD569C"/>
    <w:rsid w:val="38BE762D"/>
    <w:rsid w:val="38C84008"/>
    <w:rsid w:val="38E45372"/>
    <w:rsid w:val="38F1098C"/>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051F"/>
    <w:rsid w:val="3C591F50"/>
    <w:rsid w:val="3C616C4D"/>
    <w:rsid w:val="3C644133"/>
    <w:rsid w:val="3C6776CB"/>
    <w:rsid w:val="3C6817B3"/>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84F14"/>
    <w:rsid w:val="406C49FA"/>
    <w:rsid w:val="40793ED9"/>
    <w:rsid w:val="407F76A2"/>
    <w:rsid w:val="40805871"/>
    <w:rsid w:val="40836138"/>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354204"/>
    <w:rsid w:val="41425B1E"/>
    <w:rsid w:val="41435F45"/>
    <w:rsid w:val="41546164"/>
    <w:rsid w:val="41623755"/>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D0117"/>
    <w:rsid w:val="451F1453"/>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EF6468"/>
    <w:rsid w:val="46F15764"/>
    <w:rsid w:val="46FE52B2"/>
    <w:rsid w:val="470B038B"/>
    <w:rsid w:val="471F1BDF"/>
    <w:rsid w:val="472B75FD"/>
    <w:rsid w:val="4745001B"/>
    <w:rsid w:val="476A2E5A"/>
    <w:rsid w:val="476E6AE6"/>
    <w:rsid w:val="477A6033"/>
    <w:rsid w:val="477DCE1E"/>
    <w:rsid w:val="477E3728"/>
    <w:rsid w:val="477F1591"/>
    <w:rsid w:val="479E0D55"/>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0C7ABD"/>
    <w:rsid w:val="48116838"/>
    <w:rsid w:val="48180B08"/>
    <w:rsid w:val="481F2B54"/>
    <w:rsid w:val="48272AF9"/>
    <w:rsid w:val="482A1464"/>
    <w:rsid w:val="4833716D"/>
    <w:rsid w:val="48353EC3"/>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90539"/>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3A52"/>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20442F"/>
    <w:rsid w:val="4C2A0B13"/>
    <w:rsid w:val="4C2FF311"/>
    <w:rsid w:val="4C304467"/>
    <w:rsid w:val="4C3A1686"/>
    <w:rsid w:val="4C3FA161"/>
    <w:rsid w:val="4C44439A"/>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D50CB"/>
    <w:rsid w:val="4F4F1436"/>
    <w:rsid w:val="4F533E4B"/>
    <w:rsid w:val="4F5AAA15"/>
    <w:rsid w:val="4F6818EC"/>
    <w:rsid w:val="4F7838D9"/>
    <w:rsid w:val="4F7930E1"/>
    <w:rsid w:val="4F7C2757"/>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1471C"/>
    <w:rsid w:val="503362B0"/>
    <w:rsid w:val="503C4051"/>
    <w:rsid w:val="503E30D6"/>
    <w:rsid w:val="50436713"/>
    <w:rsid w:val="5044111C"/>
    <w:rsid w:val="50444D71"/>
    <w:rsid w:val="50490A35"/>
    <w:rsid w:val="504C2066"/>
    <w:rsid w:val="504D7564"/>
    <w:rsid w:val="50566671"/>
    <w:rsid w:val="505C1647"/>
    <w:rsid w:val="506348EA"/>
    <w:rsid w:val="50684FA2"/>
    <w:rsid w:val="50717BB5"/>
    <w:rsid w:val="507638BC"/>
    <w:rsid w:val="507A7515"/>
    <w:rsid w:val="507B1DC9"/>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A55DB"/>
    <w:rsid w:val="510E0CFA"/>
    <w:rsid w:val="51113A57"/>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533CC8"/>
    <w:rsid w:val="55657695"/>
    <w:rsid w:val="55657CA2"/>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674E4C"/>
    <w:rsid w:val="5677A6AF"/>
    <w:rsid w:val="567D633A"/>
    <w:rsid w:val="567F201A"/>
    <w:rsid w:val="567F61F6"/>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C3431"/>
    <w:rsid w:val="5ADD4D38"/>
    <w:rsid w:val="5ADD8A57"/>
    <w:rsid w:val="5ADF5D54"/>
    <w:rsid w:val="5ADF7C89"/>
    <w:rsid w:val="5ADF9E61"/>
    <w:rsid w:val="5AEA6714"/>
    <w:rsid w:val="5AF344C4"/>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223F4F"/>
    <w:rsid w:val="5D2437E3"/>
    <w:rsid w:val="5D276FD6"/>
    <w:rsid w:val="5D2E2B33"/>
    <w:rsid w:val="5D335644"/>
    <w:rsid w:val="5D36D1C1"/>
    <w:rsid w:val="5D3B55E5"/>
    <w:rsid w:val="5D465377"/>
    <w:rsid w:val="5D4D7F34"/>
    <w:rsid w:val="5D50269A"/>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231B5D"/>
    <w:rsid w:val="5E2E3E85"/>
    <w:rsid w:val="5E3570B1"/>
    <w:rsid w:val="5E36400C"/>
    <w:rsid w:val="5E394ED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C313F2"/>
    <w:rsid w:val="60D61108"/>
    <w:rsid w:val="61005532"/>
    <w:rsid w:val="6103342C"/>
    <w:rsid w:val="6116198D"/>
    <w:rsid w:val="611763CB"/>
    <w:rsid w:val="611A25A1"/>
    <w:rsid w:val="613992C3"/>
    <w:rsid w:val="613D0337"/>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F7193"/>
    <w:rsid w:val="637075F2"/>
    <w:rsid w:val="63711163"/>
    <w:rsid w:val="63767CBC"/>
    <w:rsid w:val="637A4A54"/>
    <w:rsid w:val="637A4F2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421BA"/>
    <w:rsid w:val="64953F08"/>
    <w:rsid w:val="649844A9"/>
    <w:rsid w:val="64AD49B4"/>
    <w:rsid w:val="64AF66E6"/>
    <w:rsid w:val="64C144DE"/>
    <w:rsid w:val="64D28462"/>
    <w:rsid w:val="64D52140"/>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E11E4"/>
    <w:rsid w:val="66CF2F3B"/>
    <w:rsid w:val="66D44878"/>
    <w:rsid w:val="66D718AA"/>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E5A9D"/>
    <w:rsid w:val="694A1939"/>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95123"/>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C60C4"/>
    <w:rsid w:val="6C2F3115"/>
    <w:rsid w:val="6C4E4249"/>
    <w:rsid w:val="6C581E94"/>
    <w:rsid w:val="6C5922CC"/>
    <w:rsid w:val="6C5A21CA"/>
    <w:rsid w:val="6C7155FB"/>
    <w:rsid w:val="6C7211AF"/>
    <w:rsid w:val="6C7B138A"/>
    <w:rsid w:val="6C8163CC"/>
    <w:rsid w:val="6C821755"/>
    <w:rsid w:val="6C855934"/>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8343A"/>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C1B07"/>
    <w:rsid w:val="6E7F0666"/>
    <w:rsid w:val="6E7F0827"/>
    <w:rsid w:val="6E8F81CF"/>
    <w:rsid w:val="6E92399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36093"/>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93D5E"/>
    <w:rsid w:val="703A372F"/>
    <w:rsid w:val="704716DB"/>
    <w:rsid w:val="7047792D"/>
    <w:rsid w:val="70524664"/>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9671F"/>
    <w:rsid w:val="71BE3143"/>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45.png"/><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13454</Words>
  <Characters>18021</Characters>
  <Lines>1628</Lines>
  <Paragraphs>1460</Paragraphs>
  <TotalTime>16</TotalTime>
  <ScaleCrop>false</ScaleCrop>
  <LinksUpToDate>false</LinksUpToDate>
  <CharactersWithSpaces>18875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2026-05-19T10:39:37Z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