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6575"/>
      <w:bookmarkStart w:id="1" w:name="_Toc12951"/>
      <w:bookmarkStart w:id="2" w:name="_Toc21715"/>
      <w:bookmarkStart w:id="3" w:name="_Toc8598"/>
      <w:bookmarkStart w:id="4" w:name="_Toc22211"/>
      <w:bookmarkStart w:id="5" w:name="_Toc12473"/>
      <w:bookmarkStart w:id="6" w:name="_Toc7456"/>
      <w:bookmarkStart w:id="7" w:name="_Toc211470751"/>
      <w:bookmarkStart w:id="8" w:name="_Toc25711"/>
      <w:bookmarkStart w:id="9" w:name="_Toc11806"/>
      <w:bookmarkStart w:id="10" w:name="_Toc10403"/>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提出DHLAM模型。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与HashNet、DCH和MDSH三个基线模型公平对比；在自建BFATH数据集上进行领域微调和消融实验，以mAP、Recall@K和Precision@K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A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24376"/>
      <w:bookmarkStart w:id="14" w:name="_Toc31812"/>
      <w:bookmarkStart w:id="15" w:name="_Toc26034"/>
      <w:bookmarkStart w:id="16" w:name="_Toc15094"/>
      <w:bookmarkStart w:id="17" w:name="_Toc870"/>
      <w:bookmarkStart w:id="18" w:name="_Toc6356"/>
      <w:bookmarkStart w:id="19" w:name="_Toc27917"/>
      <w:bookmarkStart w:id="20" w:name="_Toc9147"/>
      <w:bookmarkStart w:id="21" w:name="_Toc23928"/>
      <w:bookmarkStart w:id="22" w:name="_Toc22267"/>
      <w:bookmarkStart w:id="23" w:name="_Toc211470756"/>
      <w:bookmarkStart w:id="24" w:name="_Toc25211"/>
      <w:bookmarkStart w:id="25" w:name="_Toc26449"/>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w:t>
      </w:r>
      <w:r>
        <w:rPr>
          <w:rFonts w:hint="eastAsia"/>
          <w:sz w:val="21"/>
          <w:szCs w:val="21"/>
          <w:lang w:val="en-US" w:eastAsia="zh-CN"/>
        </w:rPr>
        <w:t xml:space="preserve"> </w:t>
      </w:r>
      <w:r>
        <w:rPr>
          <w:rFonts w:hint="eastAsia"/>
          <w:sz w:val="21"/>
          <w:szCs w:val="21"/>
        </w:rPr>
        <w:t>propose</w:t>
      </w:r>
      <w:r>
        <w:rPr>
          <w:rFonts w:hint="eastAsia"/>
          <w:sz w:val="21"/>
          <w:szCs w:val="21"/>
          <w:lang w:val="en-US" w:eastAsia="zh-CN"/>
        </w:rPr>
        <w:t>s</w:t>
      </w:r>
      <w:r>
        <w:rPr>
          <w:rFonts w:hint="eastAsia"/>
          <w:sz w:val="21"/>
          <w:szCs w:val="21"/>
        </w:rPr>
        <w:t xml:space="preserve"> the DHLAM model to tackle class imbalance and complex background interference in ancient tree retrieval. 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DHLAM-Image is benchmarked against HashNet, DCH, and MDSH under identical settings. Fine-tuning and ablation studies are then carried out on our self-built BFATH dataset, with mAP, Recall@K, and Precision@K as evaluation metrics. Results show that DHLAM-Image surpasses MDSH by 2.8 percentage points, and the full DHLAM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adopting Vue and SpringBoot decoupled front-end/back-end architecture and integrating the DHLAM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24925"/>
      <w:bookmarkStart w:id="28" w:name="_Toc13384"/>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24964"/>
      <w:bookmarkStart w:id="39" w:name="_Toc406"/>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4000"/>
      <w:bookmarkStart w:id="42" w:name="_Toc27864"/>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112"/>
      <w:bookmarkStart w:id="57" w:name="_Toc29721"/>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4"/>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5"/>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6"/>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5"/>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6"/>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3463"/>
      <w:bookmarkStart w:id="83" w:name="_Toc16262"/>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DHLAM模型首先采用双分支特征提取网络分别对图像和地理位置进行特征表示，以保证图像特征与位置特征具有互补性，同时将多模态数据处理为可以建模和计算的向量化形式。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在多模态融合阶段，通过特征拼接或注意力加权机制将图像特征与位置特征融合，生成包含双模态信息的融合特征。此外，通过哈希层将融合特征映射为紧凑的二进制哈希码，并结合多损失联合优化策略约束哈希码质量，以提升检索模型的判别准确率。</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sz w:val="21"/>
          <w:szCs w:val="21"/>
        </w:rPr>
      </w:pPr>
      <w:r>
        <w:rPr>
          <w:rFonts w:hint="eastAsia"/>
          <w:lang w:val="en-US" w:eastAsia="zh-CN"/>
        </w:rPr>
        <w:t>如下图3.1所示，</w:t>
      </w:r>
      <w:r>
        <w:rPr>
          <w:rFonts w:hint="eastAsia"/>
        </w:rPr>
        <w:t>DHLAM模型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0220" cy="1823085"/>
            <wp:effectExtent l="0" t="0" r="5080" b="5715"/>
            <wp:docPr id="23" name="图片 23" descr="第3章-图3.1 深度哈希学习模型整体架构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3章-图3.1 深度哈希学习模型整体架构 -1.drawio"/>
                    <pic:cNvPicPr>
                      <a:picLocks noChangeAspect="1"/>
                    </pic:cNvPicPr>
                  </pic:nvPicPr>
                  <pic:blipFill>
                    <a:blip r:embed="rId57"/>
                    <a:stretch>
                      <a:fillRect/>
                    </a:stretch>
                  </pic:blipFill>
                  <pic:spPr>
                    <a:xfrm>
                      <a:off x="0" y="0"/>
                      <a:ext cx="5570220" cy="182308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采用以特征拼接为主、向量融合为备选的双策略融合方案。特征拼接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w:t>
      </w:r>
      <w:r>
        <w:rPr>
          <w:rFonts w:hint="eastAsia"/>
          <w:lang w:val="en-US" w:eastAsia="zh-CN"/>
        </w:rPr>
        <w:t>图像编码</w:t>
      </w:r>
      <w:r>
        <w:rPr>
          <w:rFonts w:hint="eastAsia"/>
        </w:rPr>
        <w:t>）与位置特征（256维</w:t>
      </w:r>
      <w:r>
        <w:rPr>
          <w:rFonts w:hint="eastAsia"/>
          <w:lang w:val="en-US" w:eastAsia="zh-CN"/>
        </w:rPr>
        <w:t>位置</w:t>
      </w:r>
      <w:r>
        <w:rPr>
          <w:rFonts w:hint="eastAsia"/>
        </w:rPr>
        <w:t>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8"/>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23804"/>
      <w:bookmarkStart w:id="110" w:name="_Toc17588"/>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米或坐标位于研究区域外的样本；缺失值处理：本研究在数据筛选阶段已剔除缺失坐标样本，所有用于实验的</w:t>
      </w:r>
      <w:r>
        <w:rPr>
          <w:rFonts w:hint="default" w:ascii="Times New Roman" w:hAnsi="Times New Roman" w:cs="Times New Roman"/>
          <w:lang w:val="en-US" w:eastAsia="zh-CN"/>
        </w:rPr>
        <w:t>12450</w:t>
      </w:r>
      <w:r>
        <w:rPr>
          <w:rFonts w:hint="default" w:ascii="宋体" w:hAnsi="宋体" w:cs="宋体"/>
          <w:lang w:val="en-US" w:eastAsia="zh-CN"/>
        </w:rPr>
        <w:t>张图像均具有有效位置坐标，无需额外缺失值处理。</w:t>
      </w:r>
    </w:p>
    <w:p w14:paraId="2216568B">
      <w:pPr>
        <w:pStyle w:val="4"/>
      </w:pPr>
      <w:bookmarkStart w:id="116" w:name="_Toc3128"/>
      <w:bookmarkStart w:id="117" w:name="_Toc11187"/>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18063"/>
      <w:bookmarkStart w:id="119" w:name="_Toc31614"/>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AM面向数据库检索场景，通过哈希码快速匹配数据库中已知古树记录并返回其已有位置信息，属于检索任务。两者在任务定义、评价指标和应用场景上存在本质差异，因此不构成直接可比关系。DHLA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如公园内多种树种共存），仅凭位置坐标难以精确区分。然而，Recall@5达到0.748表明，给定一个地理位置，模型能够有效检索出该位置附近的古树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DHLAM在I2I任务上相比单模态DHLAM-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2C706FC5">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图像与位置特征编码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13933"/>
      <w:bookmarkStart w:id="138" w:name="_Toc6561"/>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656"/>
      <w:bookmarkStart w:id="141" w:name="_Toc25165"/>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59"/>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r>
        <w:rPr>
          <w:rFonts w:hint="eastAsia"/>
        </w:rPr>
        <w:t>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w:t>
      </w:r>
      <w:r>
        <w:rPr>
          <w:rFonts w:hint="eastAsia"/>
          <w:lang w:eastAsia="zh-CN"/>
        </w:rPr>
        <w:t>MD5加盐值</w:t>
      </w:r>
      <w:r>
        <w:rPr>
          <w:rFonts w:hint="eastAsia"/>
        </w:rPr>
        <w: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2296"/>
      <w:bookmarkStart w:id="146" w:name="_Toc1736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6033"/>
      <w:bookmarkStart w:id="149" w:name="_Toc2980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5387"/>
      <w:bookmarkStart w:id="152" w:name="_Toc10756"/>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749675" cy="4285615"/>
            <wp:effectExtent l="0" t="0" r="9525" b="698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3749675" cy="428561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563870" cy="1268095"/>
            <wp:effectExtent l="0" t="0" r="11430" b="190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4"/>
                    <a:stretch>
                      <a:fillRect/>
                    </a:stretch>
                  </pic:blipFill>
                  <pic:spPr>
                    <a:xfrm>
                      <a:off x="0" y="0"/>
                      <a:ext cx="5563870" cy="1268095"/>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主键、用户名、密码（通过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w:t>
      </w:r>
      <w:r>
        <w:rPr>
          <w:rFonts w:hint="eastAsia"/>
          <w:lang w:eastAsia="zh-CN"/>
        </w:rPr>
        <w:t>。主要包括</w:t>
      </w:r>
      <w:r>
        <w:rPr>
          <w:rFonts w:hint="eastAsia"/>
          <w:lang w:val="en-US" w:eastAsia="zh-CN"/>
        </w:rPr>
        <w:t>古树名木名称、</w:t>
      </w:r>
      <w:r>
        <w:rPr>
          <w:rFonts w:hint="eastAsia"/>
          <w:lang w:eastAsia="zh-CN"/>
        </w:rPr>
        <w:t>纬度坐标、经度坐标、树龄、树高、树种名称和描述等</w:t>
      </w:r>
      <w:r>
        <w:rPr>
          <w:rFonts w:hint="eastAsia"/>
          <w:lang w:val="en-US" w:eastAsia="zh-CN"/>
        </w:rPr>
        <w:t>信息</w:t>
      </w:r>
      <w:r>
        <w:rPr>
          <w:rFonts w:hint="eastAsia"/>
          <w:lang w:eastAsia="zh-CN"/>
        </w:rPr>
        <w:t>。由于部分古树因缺乏历史记载无法确定确切树龄或难以精确测量树高，树龄和树高字段允许为空。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43"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31"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2"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31"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2"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2"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767A56A5">
      <w:pPr>
        <w:widowControl/>
        <w:numPr>
          <w:numId w:val="0"/>
        </w:numPr>
        <w:jc w:val="left"/>
      </w:pPr>
    </w:p>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5C941BC5">
      <w:pPr>
        <w:numPr>
          <w:ilvl w:val="0"/>
          <w:numId w:val="0"/>
        </w:numPr>
        <w:ind w:firstLine="420" w:firstLineChars="0"/>
        <w:rPr>
          <w:rFonts w:hint="eastAsia"/>
          <w:lang w:val="en-US"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3C0996D6">
      <w:pPr>
        <w:numPr>
          <w:ilvl w:val="0"/>
          <w:numId w:val="0"/>
        </w:numPr>
        <w:rPr>
          <w:rFonts w:hint="eastAsia"/>
          <w:lang w:eastAsia="zh-CN"/>
        </w:rPr>
      </w:pP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4D971F7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39A00BBA">
      <w:pPr>
        <w:ind w:left="0" w:leftChars="0" w:firstLine="0" w:firstLineChars="0"/>
        <w:jc w:val="center"/>
        <w:rPr>
          <w:b/>
          <w:bCs/>
          <w:color w:val="FF0000"/>
        </w:rPr>
      </w:pPr>
      <w:r>
        <w:drawing>
          <wp:inline distT="0" distB="0" distL="114300" distR="114300">
            <wp:extent cx="5129530" cy="3014345"/>
            <wp:effectExtent l="0" t="0" r="1270" b="825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66"/>
                    <a:stretch>
                      <a:fillRect/>
                    </a:stretch>
                  </pic:blipFill>
                  <pic:spPr>
                    <a:xfrm>
                      <a:off x="0" y="0"/>
                      <a:ext cx="5129530" cy="3014345"/>
                    </a:xfrm>
                    <a:prstGeom prst="rect">
                      <a:avLst/>
                    </a:prstGeom>
                    <a:noFill/>
                    <a:ln>
                      <a:no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center"/>
      </w:pPr>
      <w:r>
        <w:drawing>
          <wp:inline distT="0" distB="0" distL="114300" distR="114300">
            <wp:extent cx="5187950" cy="2987675"/>
            <wp:effectExtent l="0" t="0" r="6350" b="952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67"/>
                    <a:stretch>
                      <a:fillRect/>
                    </a:stretch>
                  </pic:blipFill>
                  <pic:spPr>
                    <a:xfrm>
                      <a:off x="0" y="0"/>
                      <a:ext cx="5187950" cy="298767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如上图4.7所示，展示了古树名木检索时序图。用户登录后进入检索界面，上传查询图像或输入地理位置坐标，前端POST调用/tree/retrieve接口，请求经TreeController路由至TreeService。Service层调用DHLAM模型服务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提取图像和位置特征，经多模态融合后由哈希层生成128位二进制哈希码，返回后通过TreeMapper关联查询树木与图像哈希记录，Service层计算汉明距离并排序取Top-K结果，最终经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封装响应返回前端渲染展示。需要说明的是，按树种名称条件检索为传统SQL查询，不走DHLAM模型，其时序较为简单，本文不在图4.7中单独展示说明。</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8"/>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9"/>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0"/>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1"/>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Tree Species Name Retrieval Result Interface</w:t>
      </w:r>
      <w:r>
        <w:rPr>
          <w:rFonts w:hint="eastAsia"/>
          <w:sz w:val="21"/>
          <w:szCs w:val="21"/>
        </w:rPr>
        <w:t xml:space="preserv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古树名木检索接口（/tree/retrieve）因涉及图像上传解析与DHLAM模型推理，10并发下错误率为0.18%、响应时间为0.89s，50并发下错误率为0.42%、响应时间为0.98s，仍满足检索功能平均响应时间1秒以内的性能需求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DHLAM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949"/>
      <w:bookmarkStart w:id="173" w:name="_Toc25481"/>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w:t>
      </w:r>
      <w:bookmarkStart w:id="235" w:name="_GoBack"/>
      <w:bookmarkEnd w:id="235"/>
      <w:r>
        <w:rPr>
          <w:rFonts w:hint="eastAsia"/>
        </w:rPr>
        <w:t>，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28146"/>
      <w:bookmarkStart w:id="176" w:name="_Toc16137"/>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7441"/>
      <w:bookmarkStart w:id="179" w:name="_Toc26958"/>
      <w:bookmarkStart w:id="180" w:name="_Toc21248"/>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w:t>
      </w:r>
      <w:r>
        <w:rPr>
          <w:rFonts w:hint="eastAsia"/>
          <w:lang w:eastAsia="zh-CN"/>
        </w:rPr>
        <w:t>图像特征</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w:t>
      </w:r>
      <w:r>
        <w:rPr>
          <w:rFonts w:hint="eastAsia"/>
          <w:lang w:val="en-US" w:eastAsia="zh-CN"/>
        </w:rPr>
        <w:t>迁移验证</w:t>
      </w:r>
      <w:r>
        <w:rPr>
          <w:rFonts w:hint="eastAsia"/>
        </w:rPr>
        <w:t>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相比单模态DHLAM-Image，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17533"/>
      <w:bookmarkStart w:id="183" w:name="_Toc4921"/>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4"/>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）与哈希码固有的存储优势，实现模型在园林移动终端或无人机采集设备上的边缘部署。此外，当前系统仅支持树种名称级别的条件检索，科属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p>
    <w:p w14:paraId="52CF69EB">
      <w:pPr>
        <w:numPr>
          <w:ilvl w:val="0"/>
          <w:numId w:val="14"/>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5E1EFD"/>
    <w:rsid w:val="01652726"/>
    <w:rsid w:val="01712F37"/>
    <w:rsid w:val="017C4304"/>
    <w:rsid w:val="01802BF8"/>
    <w:rsid w:val="01897E41"/>
    <w:rsid w:val="018A79CF"/>
    <w:rsid w:val="018E7169"/>
    <w:rsid w:val="01981D96"/>
    <w:rsid w:val="01992300"/>
    <w:rsid w:val="019A6605"/>
    <w:rsid w:val="01AC2E0D"/>
    <w:rsid w:val="01B110AA"/>
    <w:rsid w:val="01B3097E"/>
    <w:rsid w:val="01BB2E56"/>
    <w:rsid w:val="01C761D7"/>
    <w:rsid w:val="01C81F50"/>
    <w:rsid w:val="01D37272"/>
    <w:rsid w:val="01E50D53"/>
    <w:rsid w:val="01E62509"/>
    <w:rsid w:val="01EB11E6"/>
    <w:rsid w:val="01F86CD9"/>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9108C"/>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3334A"/>
    <w:rsid w:val="07B82B29"/>
    <w:rsid w:val="07C022F8"/>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3F0DAA"/>
    <w:rsid w:val="0E5139F9"/>
    <w:rsid w:val="0E5F3B43"/>
    <w:rsid w:val="0E6772DC"/>
    <w:rsid w:val="0E7862A5"/>
    <w:rsid w:val="0E8518F4"/>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7E4E1C"/>
    <w:rsid w:val="1487769E"/>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247B2"/>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22EE9"/>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9122C"/>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24677C"/>
    <w:rsid w:val="1D365280"/>
    <w:rsid w:val="1D390E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07ECB"/>
    <w:rsid w:val="1E7159F1"/>
    <w:rsid w:val="1E773774"/>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7230"/>
    <w:rsid w:val="234B6EA1"/>
    <w:rsid w:val="234C2589"/>
    <w:rsid w:val="23533917"/>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55071"/>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F712F"/>
    <w:rsid w:val="2C437476"/>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B5E02"/>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574A2"/>
    <w:rsid w:val="42B850ED"/>
    <w:rsid w:val="42BD50C4"/>
    <w:rsid w:val="42BE6BA7"/>
    <w:rsid w:val="42C776D1"/>
    <w:rsid w:val="42D21D5E"/>
    <w:rsid w:val="42DA1512"/>
    <w:rsid w:val="42DC0DDB"/>
    <w:rsid w:val="42E47C90"/>
    <w:rsid w:val="42EA1242"/>
    <w:rsid w:val="42EB54C2"/>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1E0D48"/>
    <w:rsid w:val="443A33D4"/>
    <w:rsid w:val="444078CC"/>
    <w:rsid w:val="44421112"/>
    <w:rsid w:val="4454106F"/>
    <w:rsid w:val="445554AC"/>
    <w:rsid w:val="445E5395"/>
    <w:rsid w:val="446C05A5"/>
    <w:rsid w:val="446C6707"/>
    <w:rsid w:val="447D214A"/>
    <w:rsid w:val="44800B30"/>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337D4"/>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6D4E83"/>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06EB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4B6A9F"/>
    <w:rsid w:val="4D573E80"/>
    <w:rsid w:val="4D5A289C"/>
    <w:rsid w:val="4D5C5691"/>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42682"/>
    <w:rsid w:val="52F76E9E"/>
    <w:rsid w:val="52F8304B"/>
    <w:rsid w:val="52FE07B2"/>
    <w:rsid w:val="53154594"/>
    <w:rsid w:val="53193986"/>
    <w:rsid w:val="53285A20"/>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9E7520"/>
    <w:rsid w:val="56A55C04"/>
    <w:rsid w:val="56A773DF"/>
    <w:rsid w:val="56B063AF"/>
    <w:rsid w:val="56B1700C"/>
    <w:rsid w:val="56B315F3"/>
    <w:rsid w:val="56B34CEC"/>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46AB"/>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11D6A"/>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65377"/>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2EA"/>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E2C7E"/>
    <w:rsid w:val="604E5940"/>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23418"/>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06754"/>
    <w:rsid w:val="65011CE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C59E8"/>
    <w:rsid w:val="708D1203"/>
    <w:rsid w:val="70B52AE8"/>
    <w:rsid w:val="70B862D5"/>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278D2"/>
    <w:rsid w:val="711315BD"/>
    <w:rsid w:val="71193077"/>
    <w:rsid w:val="71297032"/>
    <w:rsid w:val="71385DC9"/>
    <w:rsid w:val="713A123F"/>
    <w:rsid w:val="713C6F4A"/>
    <w:rsid w:val="714E0847"/>
    <w:rsid w:val="715776FB"/>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AF5789"/>
    <w:rsid w:val="71B3DE0D"/>
    <w:rsid w:val="71B5BD2A"/>
    <w:rsid w:val="71BE3143"/>
    <w:rsid w:val="71C54FAD"/>
    <w:rsid w:val="71CD20B4"/>
    <w:rsid w:val="71D6A428"/>
    <w:rsid w:val="71E52F59"/>
    <w:rsid w:val="71E85D2E"/>
    <w:rsid w:val="71F06CF5"/>
    <w:rsid w:val="71F58E87"/>
    <w:rsid w:val="71F633B8"/>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798"/>
    <w:rsid w:val="78A778FC"/>
    <w:rsid w:val="78B637C6"/>
    <w:rsid w:val="78BF30A7"/>
    <w:rsid w:val="78C57641"/>
    <w:rsid w:val="78CDC8E1"/>
    <w:rsid w:val="78CF463E"/>
    <w:rsid w:val="78D00D45"/>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pn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sv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pn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sv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9745</Words>
  <Characters>13355</Characters>
  <Lines>1628</Lines>
  <Paragraphs>1460</Paragraphs>
  <TotalTime>1</TotalTime>
  <ScaleCrop>false</ScaleCrop>
  <LinksUpToDate>false</LinksUpToDate>
  <CharactersWithSpaces>14054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2026-05-17T17:02:40Z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