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21715"/>
      <w:bookmarkStart w:id="2" w:name="_Toc8598"/>
      <w:bookmarkStart w:id="3" w:name="_Toc22211"/>
      <w:bookmarkStart w:id="4" w:name="_Toc211470751"/>
      <w:bookmarkStart w:id="5" w:name="_Toc25711"/>
      <w:bookmarkStart w:id="6" w:name="_Toc7456"/>
      <w:bookmarkStart w:id="7" w:name="_Toc11806"/>
      <w:bookmarkStart w:id="8" w:name="_Toc10403"/>
      <w:bookmarkStart w:id="9" w:name="_Toc12473"/>
      <w:bookmarkStart w:id="10" w:name="_Toc6575"/>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Fonts w:hint="eastAsia"/>
          <w:sz w:val="24"/>
          <w:lang w:eastAsia="zh-CN"/>
        </w:rPr>
        <w:t>DHLM</w:t>
      </w:r>
      <w:r>
        <w:rPr>
          <w:rFonts w:hint="default"/>
          <w:sz w:val="24"/>
        </w:rPr>
        <w:t>（</w:t>
      </w:r>
      <w:r>
        <w:rPr>
          <w:rFonts w:hint="default"/>
          <w:b/>
          <w:bCs/>
          <w:sz w:val="24"/>
        </w:rPr>
        <w:t>D</w:t>
      </w:r>
      <w:r>
        <w:rPr>
          <w:rFonts w:hint="default"/>
          <w:sz w:val="24"/>
        </w:rPr>
        <w:t xml:space="preserve">eep </w:t>
      </w:r>
      <w:r>
        <w:rPr>
          <w:rFonts w:hint="default"/>
          <w:b/>
          <w:bCs/>
          <w:sz w:val="24"/>
        </w:rPr>
        <w:t>H</w:t>
      </w:r>
      <w:r>
        <w:rPr>
          <w:rFonts w:hint="default"/>
          <w:sz w:val="24"/>
        </w:rPr>
        <w:t xml:space="preserve">ashing </w:t>
      </w:r>
      <w:r>
        <w:rPr>
          <w:rFonts w:hint="default"/>
          <w:b/>
          <w:bCs/>
          <w:sz w:val="24"/>
        </w:rPr>
        <w:t>L</w:t>
      </w:r>
      <w:r>
        <w:rPr>
          <w:rFonts w:hint="default"/>
          <w:sz w:val="24"/>
        </w:rPr>
        <w:t xml:space="preserve">earning </w:t>
      </w:r>
      <w:r>
        <w:rPr>
          <w:rFonts w:hint="default"/>
          <w:b/>
          <w:bCs/>
          <w:sz w:val="24"/>
        </w:rPr>
        <w:t>M</w:t>
      </w:r>
      <w:r>
        <w:rPr>
          <w:rFonts w:hint="default"/>
          <w:sz w:val="24"/>
        </w:rPr>
        <w:t>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w:t>
      </w:r>
      <w:r>
        <w:rPr>
          <w:rFonts w:hint="eastAsia"/>
          <w:sz w:val="24"/>
          <w:lang w:eastAsia="zh-CN"/>
        </w:rPr>
        <w:t>DHLM</w:t>
      </w:r>
      <w:r>
        <w:rPr>
          <w:rFonts w:hint="default"/>
          <w:sz w:val="24"/>
        </w:rPr>
        <w:t>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设计双分支哈希投影机制，将图像特征与位置特征分别映射至128维哈希语义空间后加权融合，生成128位二进制哈希码；此外，通过多路融合策略验证确定特征拼接为最优融合方案，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870"/>
      <w:bookmarkStart w:id="15" w:name="_Toc27917"/>
      <w:bookmarkStart w:id="16" w:name="_Toc26449"/>
      <w:bookmarkStart w:id="17" w:name="_Toc6356"/>
      <w:bookmarkStart w:id="18" w:name="_Toc24376"/>
      <w:bookmarkStart w:id="19" w:name="_Toc25211"/>
      <w:bookmarkStart w:id="20" w:name="_Toc23928"/>
      <w:bookmarkStart w:id="21" w:name="_Toc211470756"/>
      <w:bookmarkStart w:id="22" w:name="_Toc22267"/>
      <w:bookmarkStart w:id="23" w:name="_Toc9147"/>
      <w:bookmarkStart w:id="24" w:name="_Toc31812"/>
      <w:bookmarkStart w:id="25" w:name="_Toc26034"/>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w:t>
      </w:r>
      <w:r>
        <w:rPr>
          <w:rFonts w:hint="eastAsia"/>
          <w:sz w:val="21"/>
          <w:szCs w:val="21"/>
          <w:lang w:eastAsia="zh-CN"/>
        </w:rPr>
        <w:t>DHLM</w:t>
      </w:r>
      <w:r>
        <w:rPr>
          <w:rFonts w:hint="eastAsia"/>
          <w:sz w:val="21"/>
          <w:szCs w:val="21"/>
        </w:rPr>
        <w:t xml:space="preserve">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4984"/>
      <w:bookmarkStart w:id="31" w:name="_Toc26559"/>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9217"/>
      <w:bookmarkStart w:id="36" w:name="_Toc17178"/>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Multi-modal Network，简称</w:t>
      </w:r>
      <w:r>
        <w:rPr>
          <w:rFonts w:hint="eastAsia"/>
          <w:sz w:val="24"/>
          <w:lang w:eastAsia="zh-CN"/>
        </w:rPr>
        <w:t>DHLM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Loss进行度量学习优化，提升网络对古树名木的多模态特征对齐能力。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用户权限管理、资源管理、古树名木信息展示和古树名木检索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9721"/>
      <w:bookmarkStart w:id="57" w:name="_Toc2112"/>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6642"/>
      <w:bookmarkStart w:id="75" w:name="_Toc31038"/>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w:t>
      </w:r>
      <w:r>
        <w:rPr>
          <w:rFonts w:hint="eastAsia"/>
          <w:lang w:val="en-US" w:eastAsia="zh-CN"/>
        </w:rPr>
        <w:t>6</w:t>
      </w:r>
      <w:r>
        <w:rPr>
          <w:rFonts w:hint="eastAsia"/>
        </w:rPr>
        <w:t>）和公式（3-</w:t>
      </w:r>
      <w:r>
        <w:rPr>
          <w:rFonts w:hint="eastAsia"/>
          <w:lang w:val="en-US" w:eastAsia="zh-CN"/>
        </w:rPr>
        <w:t>7</w:t>
      </w:r>
      <w:r>
        <w:rPr>
          <w:rFonts w:hint="eastAsia"/>
        </w:rPr>
        <w:t>）所示：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w:t>
      </w:r>
      <w:r>
        <w:rPr>
          <w:rFonts w:hint="eastAsia" w:cs="Times New Roman"/>
          <w:i w:val="0"/>
          <w:iCs/>
          <w:lang w:val="en-US" w:eastAsia="zh-CN"/>
        </w:rPr>
        <w:t>6</w:t>
      </w:r>
      <w:r>
        <w:rPr>
          <w:rFonts w:hint="default" w:ascii="Times New Roman" w:hAnsi="Times New Roman" w:cs="Times New Roman"/>
          <w:i w:val="0"/>
          <w:iCs/>
          <w:lang w:val="en-US" w:eastAsia="zh-CN"/>
        </w:rPr>
        <w:t>）</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cs="Times New Roman"/>
          <w:i w:val="0"/>
          <w:iCs/>
          <w:lang w:val="en-US" w:eastAsia="zh-CN"/>
        </w:rPr>
        <w:t>7</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w:t>
      </w:r>
      <w:r>
        <w:rPr>
          <w:rFonts w:hint="eastAsia"/>
          <w:lang w:val="en-US" w:eastAsia="zh-CN"/>
        </w:rPr>
        <w:t>8</w:t>
      </w:r>
      <w:r>
        <w:rPr>
          <w:rFonts w:hint="default"/>
          <w:lang w:val="en-US" w:eastAsia="zh-CN"/>
        </w:rPr>
        <w:t>）和公式（3-</w:t>
      </w:r>
      <w:r>
        <w:rPr>
          <w:rFonts w:hint="eastAsia"/>
          <w:lang w:val="en-US" w:eastAsia="zh-CN"/>
        </w:rPr>
        <w:t>9</w:t>
      </w:r>
      <w:r>
        <w:rPr>
          <w:rFonts w:hint="default"/>
          <w:lang w:val="en-US" w:eastAsia="zh-CN"/>
        </w:rPr>
        <w:t>）所示：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w:t>
      </w:r>
      <w:r>
        <w:rPr>
          <w:rStyle w:val="55"/>
          <w:rFonts w:hint="eastAsia" w:cs="Times New Roman"/>
          <w:i w:val="0"/>
          <w:iCs/>
          <w:lang w:val="en-US" w:eastAsia="zh-CN"/>
        </w:rPr>
        <w:t>8</w:t>
      </w:r>
      <w:r>
        <w:rPr>
          <w:rStyle w:val="55"/>
          <w:rFonts w:hint="default" w:ascii="Times New Roman" w:hAnsi="Times New Roman" w:cs="Times New Roman"/>
          <w:i w:val="0"/>
          <w:iCs/>
          <w:lang w:val="en-US" w:eastAsia="zh-CN"/>
        </w:rPr>
        <w:t>）</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w:t>
      </w:r>
      <w:r>
        <w:rPr>
          <w:rStyle w:val="55"/>
          <w:rFonts w:hint="eastAsia"/>
          <w:lang w:val="en-US" w:eastAsia="zh-CN"/>
        </w:rPr>
        <w:t>9</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最终，通过符号函数将连续表示量化为二进制哈希码，如公式（3-10）所示：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3-10</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为减小训练阶段连续值与推理阶段离散值之间的量化误差，本文沿用量化损失进行约束，其数学表达式如公式（3-11）所示：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（3-11）</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需要注意的是，双分支投影未引入额外的非线性层或注意力模块，参数量与单路FC投影相比增量可忽略。现有图像-文本多模态哈希方法如DCMH</w:t>
      </w:r>
      <w:r>
        <w:rPr>
          <w:rFonts w:hint="eastAsia"/>
          <w:vertAlign w:val="superscript"/>
          <w:lang w:val="en-US" w:eastAsia="zh-CN"/>
        </w:rPr>
        <w:fldChar w:fldCharType="begin"/>
      </w:r>
      <w:r>
        <w:instrText xml:space="preserve"> REF _Ref1004291464 \r \h  \* MERGEFORMAT</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和SSAH</w:t>
      </w:r>
      <w:r>
        <w:rPr>
          <w:rFonts w:hint="eastAsia"/>
          <w:vertAlign w:val="superscript"/>
          <w:lang w:val="en-US" w:eastAsia="zh-CN"/>
        </w:rPr>
        <w:fldChar w:fldCharType="begin"/>
      </w:r>
      <w:r>
        <w:instrText xml:space="preserve"> REF _Ref1004678025 \r \h  \* MERGEFORMAT</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均同样采用各模态独立哈希投影的思想，但面向离散文本模态设计；本文将其适配至图像-地理位置坐标场景，并通过显式可学习融合权重增强哈希空间的可解释性，是针对古树名木多模态检索任务的适配性设计。</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Loss通过构建三元组(锚点a、正样本p、负样本n)学习判别性特征。对于每个锚点样本，从同类别中随机选取正样本，从不同类别中选取负样本。数学表达式如公式（3-12）所示：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2</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数学表达式如公式（3-13）所示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数学表达式如公式（3-14）所示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，其数学表达式见上述公式（3-11）。</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15）所示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，其数学表达式如公式（3-16）所示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w:t>
      </w:r>
      <w:r>
        <w:rPr>
          <w:rFonts w:hint="eastAsia"/>
          <w:lang w:val="en-US" w:eastAsia="zh-CN"/>
        </w:rPr>
        <w:t>10/16</w:t>
      </w:r>
      <w:r>
        <w:rPr>
          <w:rFonts w:hint="default"/>
          <w:lang w:val="en-US" w:eastAsia="zh-CN"/>
        </w:rPr>
        <w:t>，主导损失）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w:t>
      </w:r>
      <w:r>
        <w:rPr>
          <w:rFonts w:hint="eastAsia"/>
          <w:lang w:val="en-US" w:eastAsia="zh-CN"/>
        </w:rPr>
        <w:t>5/16</w:t>
      </w:r>
      <w:r>
        <w:rPr>
          <w:rFonts w:hint="default"/>
          <w:lang w:val="en-US" w:eastAsia="zh-CN"/>
        </w:rPr>
        <w:t>，辅助损失）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w:t>
      </w:r>
      <w:r>
        <w:rPr>
          <w:rFonts w:hint="eastAsia"/>
          <w:lang w:val="en-US" w:eastAsia="zh-CN"/>
        </w:rPr>
        <w:t>1/16</w:t>
      </w:r>
      <w:r>
        <w:rPr>
          <w:rFonts w:hint="default"/>
          <w:lang w:val="en-US" w:eastAsia="zh-CN"/>
        </w:rPr>
        <w:t>，约束损失）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三种损失权重按10:5:1的比例分配并归一化，满足λ₁+λ₂+λ₃=1。权重的设置遵循“主导-辅助”原则：Triplet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上述具体取值通过预实验探索确定，详细敏感性分析及验证见3.4.4节。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使用哈希层输出的连续值哈希码，通过余弦相似度度量查询样本与库样本的语义相似程度。余弦相似度计算数学表达式如公式（3-17）所示：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将哈希层输出的连续值通过Sign函数二值化为128位二进制哈希码，利用汉明距离度量样本间的相似性。汉明距离数学表达式如公式（3-18）所示：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未开启GPS导致坐标空值、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 200米的记录，该阈值覆盖消费级GPS在开阔地（5-50米）和城市峡谷（50-200米）的典型精度范围，同时有效剔除基站定位漂移及手动输入错误，此步保留率约83.2%；研究区域聚焦，保留北美东部温带区域（经度-100°W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移动设备GPS自动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经纬度坐标；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去除双分支哈希投影，改用单路FC(768→128)直接投影，其余配置不变。需要说明的是，该单路FC结构与HashNe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等基线方法的哈希层结构一致，因此w/o DBHP与FULL的对比可视为“已有单路投影方法”与“本文双分支投影方法”的公平对比。</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66F433B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4173B821">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bookmarkStart w:id="133" w:name="_Toc18827"/>
      <w:bookmarkStart w:id="134" w:name="_Toc19354"/>
    </w:p>
    <w:p w14:paraId="26A5D9E0">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组合，在特征判别性、样本对相似度关系和哈希码质量三者间实现最佳平衡。该配比与原1.0/0.5/0.1配置保持相同的相对比例，仅通过归一化使权重之和为1，不影响优化方向与实验结果。</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系统。以系统需求分析、系统概要设计、数据库设计以及关键功能模块设计作为切入点，建立集双向检索与信息管理为一体的系统平台。本系统采用Browser/Server（B/S）架构设计古树名木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165"/>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古树名木检索系统总流程为：管理员进行古树名木管理及维护系统，包括用户管理等功能。用户端进行用户登录注册、个人信息管理和古树名木检索等功能；管理员端额外承担古树名木图像上传与数据管理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60"/>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w:t>
      </w:r>
      <w:r>
        <w:rPr>
          <w:rFonts w:hint="eastAsia"/>
          <w:lang w:val="en-US" w:eastAsia="zh-CN"/>
        </w:rPr>
        <w:t>名木</w:t>
      </w:r>
      <w:r>
        <w:rPr>
          <w:rFonts w:hint="eastAsia"/>
        </w:rPr>
        <w:t>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eastAsia"/>
          <w:lang w:eastAsia="zh-CN"/>
        </w:rPr>
        <w:t>DHLM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树高、保护级别等字段组合查询古树名木信息。系统支持科→属→种三级级联检索功能：左侧树形导航栏展示植物分类层级结构，用户逐层展开选择目标科（如"松科"），系统自动加载该科下所有属；选择属后，自动加载该属下所有树种；选择具体树种后，返回该树种下的全部古树名木记录</w:t>
      </w:r>
      <w:r>
        <w:rPr>
          <w:rFonts w:hint="eastAsia"/>
          <w:lang w:eastAsia="zh-CN"/>
        </w:rPr>
        <w:t>。</w:t>
      </w:r>
      <w:r>
        <w:rPr>
          <w:rFonts w:hint="eastAsia"/>
        </w:rPr>
        <w:t>系统为每株古树名木提供独立详情展示页面，集中展示该古树的完整档案信息，包括地理位置</w:t>
      </w:r>
      <w:r>
        <w:rPr>
          <w:rFonts w:hint="eastAsia"/>
          <w:lang w:val="en-US" w:eastAsia="zh-CN"/>
        </w:rPr>
        <w:t>坐标</w:t>
      </w:r>
      <w:r>
        <w:rPr>
          <w:rFonts w:hint="eastAsia"/>
        </w:rPr>
        <w:t>、科属种三级分类信息、树龄、树高、胸径、保护级别、生长环境描述及历史文化故事等，为林业管理人员和科研人员提供全面的古树名木档案信息。系统建立完善的古树名木信息管理库，支持</w:t>
      </w:r>
      <w:r>
        <w:rPr>
          <w:rFonts w:hint="eastAsia"/>
          <w:lang w:val="en-US" w:eastAsia="zh-CN"/>
        </w:rPr>
        <w:t>管理员</w:t>
      </w:r>
      <w:r>
        <w:rPr>
          <w:rFonts w:hint="eastAsia"/>
        </w:rPr>
        <w:t>手工录入或图像上传解析古树名木的详细信息，可对已存数据进行修改、删除，保证数据的准确性及实时性，并具备批量导入导出功能，便于数据存储。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w:t>
      </w:r>
      <w:r>
        <w:rPr>
          <w:rFonts w:hint="eastAsia"/>
          <w:lang w:eastAsia="zh-CN"/>
        </w:rPr>
        <w:t>登录名</w:t>
      </w:r>
      <w:r>
        <w:rPr>
          <w:rFonts w:hint="eastAsia"/>
        </w:rPr>
        <w:t>、密码。</w:t>
      </w:r>
      <w:r>
        <w:rPr>
          <w:rFonts w:hint="eastAsia"/>
          <w:lang w:eastAsia="zh-CN"/>
        </w:rPr>
        <w:t>登录名</w:t>
      </w:r>
      <w:r>
        <w:rPr>
          <w:rFonts w:hint="eastAsia"/>
        </w:rPr>
        <w:t>校验规则为8-12位，包含数字、区分大小写字母与符号；用户信息幂等校验采用邮箱唯一去重判断；密码通过</w:t>
      </w:r>
      <w:r>
        <w:rPr>
          <w:rFonts w:hint="eastAsia"/>
          <w:lang w:eastAsia="zh-CN"/>
        </w:rPr>
        <w:t>MD5加盐值</w:t>
      </w:r>
      <w:r>
        <w:rPr>
          <w:rFonts w:hint="eastAsia"/>
        </w:rPr>
        <w:t>哈希算法加密存储。用户登录时输入正确的</w:t>
      </w:r>
      <w:r>
        <w:rPr>
          <w:rFonts w:hint="eastAsia"/>
          <w:lang w:eastAsia="zh-CN"/>
        </w:rPr>
        <w:t>登录名</w:t>
      </w:r>
      <w:r>
        <w:rPr>
          <w:rFonts w:hint="eastAsia"/>
        </w:rPr>
        <w:t>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才能使用。用户可通过左侧菜单栏的古树名木一级目录下的数据管理进入页面，输入位置坐标、上传图像或输入树种名称进行条件检索，系统将输出相应的古树名木信息及地理位置元数据。条件检索支持多维度属性组合筛选：树龄区间筛选、树高范围筛选、保护级别筛选以及按科属种分类筛选。各筛选维度之间为</w:t>
      </w:r>
      <w:r>
        <w:rPr>
          <w:rFonts w:hint="eastAsia"/>
          <w:lang w:eastAsia="zh-CN"/>
        </w:rPr>
        <w:t>“</w:t>
      </w:r>
      <w:r>
        <w:rPr>
          <w:rFonts w:hint="eastAsia"/>
        </w:rPr>
        <w:t>与</w:t>
      </w:r>
      <w:r>
        <w:rPr>
          <w:rFonts w:hint="eastAsia"/>
          <w:lang w:eastAsia="zh-CN"/>
        </w:rPr>
        <w:t>”</w:t>
      </w:r>
      <w:r>
        <w:rPr>
          <w:rFonts w:hint="eastAsia"/>
        </w:rPr>
        <w:t>逻辑关系，系统返回同时满足所有条件的古树名木记录列表。</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支持三种多模态哈希检索模式（图像到图像检索、图像到位置检索和位置到图像检索）、传统条件检索（按树种名称查询）以及科属种分类检索。古树名木展示支持单株详情页面展示，集成属性信息和地图坐标等模块。</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3">
                      <a:extLst>
                        <a:ext uri="{96DAC541-7B7A-43D3-8B79-37D633B846F1}">
                          <asvg:svgBlip xmlns:asvg="http://schemas.microsoft.com/office/drawing/2016/SVG/main" r:embed="rId64"/>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w:t>
      </w:r>
      <w:r>
        <w:rPr>
          <w:rFonts w:hint="eastAsia"/>
        </w:rPr>
        <w:t>管理员可根据</w:t>
      </w:r>
      <w:r>
        <w:rPr>
          <w:rFonts w:hint="eastAsia"/>
          <w:lang w:eastAsia="zh-CN"/>
        </w:rPr>
        <w:t>登录名</w:t>
      </w:r>
      <w:r>
        <w:rPr>
          <w:rFonts w:hint="eastAsia"/>
        </w:rPr>
        <w:t>查询用户信息，并对用户进行重置密码、编辑和删除等维护操作</w:t>
      </w:r>
      <w:r>
        <w:t>。对于用户的特别动作，例如数据修改删除等进行记录。将长时间未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w:t>
      </w:r>
      <w:r>
        <w:rPr>
          <w:rFonts w:hint="eastAsia"/>
          <w:lang w:eastAsia="zh-CN"/>
        </w:rPr>
        <w:t>登录名</w:t>
      </w:r>
      <w:r>
        <w:t>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w:t>
      </w:r>
      <w:r>
        <w:rPr>
          <w:rFonts w:hint="eastAsia"/>
          <w:lang w:val="en-US" w:eastAsia="zh-CN"/>
        </w:rPr>
        <w:t>名木</w:t>
      </w:r>
      <w:r>
        <w:rPr>
          <w:rFonts w:hint="eastAsia"/>
        </w:rPr>
        <w:t>分布；位置到图像检索</w:t>
      </w:r>
      <w:r>
        <w:rPr>
          <w:rFonts w:hint="eastAsia"/>
          <w:lang w:eastAsia="zh-CN"/>
        </w:rPr>
        <w:t>，</w:t>
      </w:r>
      <w:r>
        <w:rPr>
          <w:rFonts w:hint="eastAsia"/>
        </w:rPr>
        <w:t>用户输入地理位置坐标，系统返回该位置附近的古树</w:t>
      </w:r>
      <w:r>
        <w:rPr>
          <w:rFonts w:hint="eastAsia"/>
          <w:lang w:val="en-US" w:eastAsia="zh-CN"/>
        </w:rPr>
        <w:t>名木</w:t>
      </w:r>
      <w:r>
        <w:rPr>
          <w:rFonts w:hint="eastAsia"/>
        </w:rPr>
        <w:t>图像。系统支持JPG和PNG两种格式的图像上传，基于集成的</w:t>
      </w:r>
      <w:r>
        <w:rPr>
          <w:rFonts w:hint="eastAsia"/>
          <w:lang w:eastAsia="zh-CN"/>
        </w:rPr>
        <w:t>DHLM</w:t>
      </w:r>
      <w:r>
        <w:rPr>
          <w:rFonts w:hint="eastAsia"/>
        </w:rPr>
        <w:t>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5"/>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5C941BC5">
      <w:pPr>
        <w:numPr>
          <w:ilvl w:val="0"/>
          <w:numId w:val="0"/>
        </w:numPr>
        <w:ind w:firstLine="420" w:firstLineChars="0"/>
        <w:rPr>
          <w:rFonts w:hint="eastAsia"/>
          <w:lang w:val="en-US"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3C0996D6">
      <w:pPr>
        <w:numPr>
          <w:ilvl w:val="0"/>
          <w:numId w:val="0"/>
        </w:numPr>
        <w:rPr>
          <w:rFonts w:hint="eastAsia"/>
          <w:lang w:eastAsia="zh-CN"/>
        </w:rPr>
      </w:pP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6"/>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4D971F7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9A00BBA">
      <w:pPr>
        <w:ind w:left="0" w:leftChars="0" w:firstLine="0" w:firstLineChars="0"/>
        <w:jc w:val="center"/>
        <w:rPr>
          <w:b/>
          <w:bCs/>
          <w:color w:val="FF0000"/>
        </w:rPr>
      </w:pPr>
      <w:r>
        <w:drawing>
          <wp:inline distT="0" distB="0" distL="114300" distR="114300">
            <wp:extent cx="5129530" cy="3014345"/>
            <wp:effectExtent l="0" t="0" r="1270" b="825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67"/>
                    <a:stretch>
                      <a:fillRect/>
                    </a:stretch>
                  </pic:blipFill>
                  <pic:spPr>
                    <a:xfrm>
                      <a:off x="0" y="0"/>
                      <a:ext cx="5129530" cy="3014345"/>
                    </a:xfrm>
                    <a:prstGeom prst="rect">
                      <a:avLst/>
                    </a:prstGeom>
                    <a:noFill/>
                    <a:ln>
                      <a:no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23342"/>
      <w:bookmarkStart w:id="165" w:name="_Toc17730"/>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center"/>
      </w:pPr>
      <w:r>
        <w:drawing>
          <wp:inline distT="0" distB="0" distL="114300" distR="114300">
            <wp:extent cx="5187950" cy="2987675"/>
            <wp:effectExtent l="0" t="0" r="6350" b="952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68"/>
                    <a:stretch>
                      <a:fillRect/>
                    </a:stretch>
                  </pic:blipFill>
                  <pic:spPr>
                    <a:xfrm>
                      <a:off x="0" y="0"/>
                      <a:ext cx="5187950" cy="298767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封装响应返回前端渲染展示。需要说明的是，按树种名称条件检索为传统SQL查询，不走</w:t>
      </w:r>
      <w:r>
        <w:rPr>
          <w:rFonts w:hint="eastAsia" w:cs="Times New Roman"/>
          <w:sz w:val="24"/>
          <w:lang w:val="en-US" w:eastAsia="zh-CN"/>
        </w:rPr>
        <w:t>DHLM</w:t>
      </w:r>
      <w:r>
        <w:rPr>
          <w:rFonts w:hint="eastAsia" w:ascii="Times New Roman" w:hAnsi="Times New Roman" w:cs="Times New Roman"/>
          <w:sz w:val="24"/>
          <w:lang w:val="en-US" w:eastAsia="zh-CN"/>
        </w:rPr>
        <w:t>模型，其时序较为简单，本文不在图4.7中单独展示说明。</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w:t>
      </w:r>
      <w:r>
        <w:rPr>
          <w:rFonts w:hint="eastAsia"/>
          <w:lang w:val="en-US" w:eastAsia="zh-CN"/>
        </w:rPr>
        <w:t>名木</w:t>
      </w:r>
      <w:r>
        <w:rPr>
          <w:rFonts w:hint="eastAsia"/>
        </w:rPr>
        <w:t>列表并按相似度排序；图4.9通过图像检索返回古树</w:t>
      </w:r>
      <w:r>
        <w:rPr>
          <w:rFonts w:hint="eastAsia"/>
          <w:lang w:val="en-US" w:eastAsia="zh-CN"/>
        </w:rPr>
        <w:t>名木</w:t>
      </w:r>
      <w:r>
        <w:rPr>
          <w:rFonts w:hint="eastAsia"/>
        </w:rPr>
        <w:t>地理位置；图4.10基于输入坐标检索周边古树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9"/>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0"/>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1"/>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古树名木名称、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2"/>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F7B6016">
      <w:pPr>
        <w:pStyle w:val="4"/>
        <w:spacing w:before="193"/>
        <w:rPr>
          <w:rFonts w:hint="eastAsia"/>
          <w:lang w:val="en-US" w:eastAsia="zh-CN"/>
        </w:rPr>
      </w:pPr>
      <w:bookmarkStart w:id="167" w:name="_Toc7167"/>
      <w:r>
        <w:rPr>
          <w:rFonts w:hint="eastAsia"/>
        </w:rPr>
        <w:t>4.3.</w:t>
      </w:r>
      <w:r>
        <w:rPr>
          <w:rFonts w:hint="eastAsia"/>
          <w:lang w:val="en-US" w:eastAsia="zh-CN"/>
        </w:rPr>
        <w:t>3 科属种查询与古树详情展示模块详细设计与实现</w:t>
      </w:r>
    </w:p>
    <w:p w14:paraId="2BC1DA72">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科属种查询模块的详细设计</w:t>
      </w:r>
    </w:p>
    <w:p w14:paraId="7A21DFB7">
      <w:pPr>
        <w:numPr>
          <w:ilvl w:val="0"/>
          <w:numId w:val="0"/>
        </w:numPr>
        <w:ind w:firstLine="420" w:firstLineChars="0"/>
        <w:rPr>
          <w:rFonts w:hint="eastAsia"/>
        </w:rPr>
      </w:pPr>
      <w:r>
        <w:rPr>
          <w:rFonts w:hint="eastAsia"/>
          <w:lang w:val="en-US" w:eastAsia="zh-CN"/>
        </w:rPr>
        <w:t>补时序图与描述：</w:t>
      </w:r>
    </w:p>
    <w:p w14:paraId="23DEE6C3">
      <w:pPr>
        <w:numPr>
          <w:ilvl w:val="0"/>
          <w:numId w:val="0"/>
        </w:numPr>
        <w:ind w:firstLine="420" w:firstLineChars="0"/>
        <w:rPr>
          <w:rFonts w:hint="eastAsia" w:eastAsia="宋体"/>
          <w:lang w:eastAsia="zh-CN"/>
        </w:rPr>
      </w:pPr>
      <w:r>
        <w:rPr>
          <w:rFonts w:hint="eastAsia"/>
          <w:lang w:eastAsia="zh-CN"/>
        </w:rPr>
        <w:t>（</w:t>
      </w:r>
      <w:r>
        <w:rPr>
          <w:rFonts w:hint="eastAsia"/>
          <w:lang w:val="en-US" w:eastAsia="zh-CN"/>
        </w:rPr>
        <w:t>2</w:t>
      </w:r>
      <w:r>
        <w:rPr>
          <w:rFonts w:hint="eastAsia"/>
          <w:lang w:eastAsia="zh-CN"/>
        </w:rPr>
        <w:t>）古树详情展示模块的详细设计</w:t>
      </w:r>
    </w:p>
    <w:p w14:paraId="745A84A8">
      <w:pPr>
        <w:ind w:left="0" w:leftChars="0" w:firstLine="420" w:firstLineChars="0"/>
        <w:rPr>
          <w:rFonts w:hint="default"/>
          <w:lang w:val="en-US"/>
        </w:rPr>
      </w:pPr>
      <w:r>
        <w:rPr>
          <w:rFonts w:hint="eastAsia"/>
          <w:lang w:val="en-US" w:eastAsia="zh-CN"/>
        </w:rPr>
        <w:t>补时序图与描述：</w:t>
      </w:r>
    </w:p>
    <w:p w14:paraId="34FA8298">
      <w:pPr>
        <w:numPr>
          <w:ilvl w:val="0"/>
          <w:numId w:val="10"/>
        </w:numPr>
        <w:ind w:left="0" w:leftChars="0" w:firstLine="480" w:firstLineChars="200"/>
        <w:rPr>
          <w:rFonts w:hint="eastAsia"/>
          <w:lang w:val="en-US" w:eastAsia="zh-CN"/>
        </w:rPr>
      </w:pPr>
      <w:r>
        <w:rPr>
          <w:rFonts w:hint="eastAsia"/>
          <w:lang w:val="en-US" w:eastAsia="zh-CN"/>
        </w:rPr>
        <w:t>科属种查询与古树详情展示模块的实现</w:t>
      </w:r>
    </w:p>
    <w:p w14:paraId="35A8E4AB">
      <w:pPr>
        <w:numPr>
          <w:numId w:val="0"/>
        </w:numPr>
        <w:ind w:firstLine="420" w:firstLineChars="0"/>
        <w:rPr>
          <w:rFonts w:hint="default"/>
          <w:lang w:val="en-US" w:eastAsia="zh-CN"/>
        </w:rPr>
      </w:pPr>
      <w:r>
        <w:rPr>
          <w:rFonts w:hint="default"/>
          <w:lang w:val="en-US" w:eastAsia="zh-CN"/>
        </w:rPr>
        <w:t>如下图4.12所示，左侧为科属种分类树形导航栏，用户可逐层展开选择（如"松科→松属→油松"）；右侧上方为检索结果列表，展示该分类下的古树名木缩略图、名称、树龄和位置等信息；点击具体古树后进入详情展示页面，页面顶部展示古树高清图像轮播，中部左侧为古树基础信息卡片（科属种分类、树龄、树高、保护级别），中部右侧为地理位置</w:t>
      </w:r>
      <w:r>
        <w:rPr>
          <w:rFonts w:hint="eastAsia"/>
          <w:lang w:val="en-US" w:eastAsia="zh-CN"/>
        </w:rPr>
        <w:t>坐标</w:t>
      </w:r>
      <w:r>
        <w:rPr>
          <w:rFonts w:hint="default"/>
          <w:lang w:val="en-US" w:eastAsia="zh-CN"/>
        </w:rPr>
        <w:t>。</w:t>
      </w:r>
    </w:p>
    <w:p w14:paraId="263A3313">
      <w:pPr>
        <w:numPr>
          <w:numId w:val="0"/>
        </w:numPr>
        <w:rPr>
          <w:rFonts w:hint="default"/>
          <w:lang w:val="en-US" w:eastAsia="zh-CN"/>
        </w:rPr>
      </w:pPr>
    </w:p>
    <w:p w14:paraId="794EA99B">
      <w:pPr>
        <w:bidi w:val="0"/>
        <w:ind w:left="0" w:leftChars="0" w:firstLine="0" w:firstLineChars="0"/>
      </w:pPr>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模型，支持用户端与管理端的多角色操作，具备图像-地理位置多模态检索、科属种三级分类检索、按树种名称条件检索、古树</w:t>
      </w:r>
      <w:r>
        <w:rPr>
          <w:rFonts w:hint="eastAsia"/>
          <w:lang w:val="en-US" w:eastAsia="zh-CN"/>
        </w:rPr>
        <w:t>名木</w:t>
      </w:r>
      <w:r>
        <w:rPr>
          <w:rFonts w:hint="eastAsia"/>
        </w:rPr>
        <w:t>档案展示、信息管理和权限控制等功能模块。在系统测试阶段，系统集成的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w:t>
      </w:r>
      <w:bookmarkStart w:id="236" w:name="_GoBack"/>
      <w:bookmarkEnd w:id="236"/>
      <w:r>
        <w:rPr>
          <w:rFonts w:hint="eastAsia"/>
        </w:rPr>
        <w:t>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w:t>
      </w:r>
      <w:r>
        <w:rPr>
          <w:rFonts w:hint="eastAsia"/>
          <w:lang w:eastAsia="zh-CN"/>
        </w:rPr>
        <w:t>2509</w:t>
      </w:r>
      <w:r>
        <w:rPr>
          <w:rFonts w:hint="eastAsia"/>
        </w:rPr>
        <w:t>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数据管理、古树名木信息展示（科属种分级展示、树龄树高等信息展示）、古树名木检索（以图搜图、以图搜位置、以位置搜图和按树种名称条件检索）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开展公平对比。</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进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50AB6"/>
    <w:rsid w:val="038720C2"/>
    <w:rsid w:val="038A3B08"/>
    <w:rsid w:val="038C592B"/>
    <w:rsid w:val="038C76D9"/>
    <w:rsid w:val="038D3451"/>
    <w:rsid w:val="03925CD1"/>
    <w:rsid w:val="039667A9"/>
    <w:rsid w:val="039E011A"/>
    <w:rsid w:val="03A37933"/>
    <w:rsid w:val="03AB567B"/>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774EA"/>
    <w:rsid w:val="060C2D53"/>
    <w:rsid w:val="060F2738"/>
    <w:rsid w:val="0616772D"/>
    <w:rsid w:val="061D286A"/>
    <w:rsid w:val="064504DC"/>
    <w:rsid w:val="06471FDD"/>
    <w:rsid w:val="06472842"/>
    <w:rsid w:val="064737C1"/>
    <w:rsid w:val="0649108C"/>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D20E2"/>
    <w:rsid w:val="08C2594B"/>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B3F92"/>
    <w:rsid w:val="0E3F0DAA"/>
    <w:rsid w:val="0E5139F9"/>
    <w:rsid w:val="0E57377F"/>
    <w:rsid w:val="0E5F3B43"/>
    <w:rsid w:val="0E6772DC"/>
    <w:rsid w:val="0E7862A5"/>
    <w:rsid w:val="0E8518F4"/>
    <w:rsid w:val="0EB2602B"/>
    <w:rsid w:val="0EB2767E"/>
    <w:rsid w:val="0EB74AE1"/>
    <w:rsid w:val="0EB7AA10"/>
    <w:rsid w:val="0EB863CE"/>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96839"/>
    <w:rsid w:val="146F2F85"/>
    <w:rsid w:val="147B708C"/>
    <w:rsid w:val="147E4E1C"/>
    <w:rsid w:val="1487769E"/>
    <w:rsid w:val="148A7C64"/>
    <w:rsid w:val="14900FF3"/>
    <w:rsid w:val="149667EE"/>
    <w:rsid w:val="14966EE6"/>
    <w:rsid w:val="149B3054"/>
    <w:rsid w:val="14A01EC6"/>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8539B"/>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B0A8F"/>
    <w:rsid w:val="1FAF895C"/>
    <w:rsid w:val="1FB13C8F"/>
    <w:rsid w:val="1FB337F2"/>
    <w:rsid w:val="1FB7C317"/>
    <w:rsid w:val="1FB811C3"/>
    <w:rsid w:val="1FBC7140"/>
    <w:rsid w:val="1FBF1809"/>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63165"/>
    <w:rsid w:val="214C1F7C"/>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13A15"/>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B12D5"/>
    <w:rsid w:val="253152E6"/>
    <w:rsid w:val="25316E3B"/>
    <w:rsid w:val="253F4153"/>
    <w:rsid w:val="2547746B"/>
    <w:rsid w:val="25513497"/>
    <w:rsid w:val="255362FC"/>
    <w:rsid w:val="255D56EE"/>
    <w:rsid w:val="25641BC4"/>
    <w:rsid w:val="257A162F"/>
    <w:rsid w:val="257F09F3"/>
    <w:rsid w:val="257F5D61"/>
    <w:rsid w:val="25836BCB"/>
    <w:rsid w:val="258555C1"/>
    <w:rsid w:val="259326F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053E"/>
    <w:rsid w:val="27904D63"/>
    <w:rsid w:val="2793524C"/>
    <w:rsid w:val="27972FEB"/>
    <w:rsid w:val="27A6495D"/>
    <w:rsid w:val="27A75FE0"/>
    <w:rsid w:val="27B14AF6"/>
    <w:rsid w:val="27B74619"/>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9724F8"/>
    <w:rsid w:val="28A46A21"/>
    <w:rsid w:val="28A93AA7"/>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5E6AA0"/>
    <w:rsid w:val="2B6111BC"/>
    <w:rsid w:val="2B642979"/>
    <w:rsid w:val="2B692999"/>
    <w:rsid w:val="2B7B3A0B"/>
    <w:rsid w:val="2B920981"/>
    <w:rsid w:val="2B922E0C"/>
    <w:rsid w:val="2B97CE49"/>
    <w:rsid w:val="2B9E79FB"/>
    <w:rsid w:val="2BA7764A"/>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5A67"/>
    <w:rsid w:val="2FDFA678"/>
    <w:rsid w:val="2FDFB25D"/>
    <w:rsid w:val="2FE42CDE"/>
    <w:rsid w:val="2FE70B2C"/>
    <w:rsid w:val="2FE80B7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3839"/>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57494"/>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1F2B54"/>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7EDA"/>
    <w:rsid w:val="4A506EBA"/>
    <w:rsid w:val="4A511AC0"/>
    <w:rsid w:val="4A5A33C8"/>
    <w:rsid w:val="4A5B2E22"/>
    <w:rsid w:val="4A6022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FF311"/>
    <w:rsid w:val="4C304467"/>
    <w:rsid w:val="4C3A1686"/>
    <w:rsid w:val="4C3FA161"/>
    <w:rsid w:val="4C44439A"/>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1471C"/>
    <w:rsid w:val="503362B0"/>
    <w:rsid w:val="503C4051"/>
    <w:rsid w:val="503E30D6"/>
    <w:rsid w:val="50436713"/>
    <w:rsid w:val="5044111C"/>
    <w:rsid w:val="50444D71"/>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A55DB"/>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674E4C"/>
    <w:rsid w:val="5677A6AF"/>
    <w:rsid w:val="567D633A"/>
    <w:rsid w:val="567F201A"/>
    <w:rsid w:val="567F61F6"/>
    <w:rsid w:val="568B4B9E"/>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76FD6"/>
    <w:rsid w:val="5D2E2B33"/>
    <w:rsid w:val="5D36D1C1"/>
    <w:rsid w:val="5D3B55E5"/>
    <w:rsid w:val="5D465377"/>
    <w:rsid w:val="5D4D7F34"/>
    <w:rsid w:val="5D50269A"/>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C60C4"/>
    <w:rsid w:val="6C2F3115"/>
    <w:rsid w:val="6C4E4249"/>
    <w:rsid w:val="6C5922CC"/>
    <w:rsid w:val="6C5A21CA"/>
    <w:rsid w:val="6C7155FB"/>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3F7B86"/>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A8770B"/>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5" Type="http://schemas.openxmlformats.org/officeDocument/2006/relationships/fontTable" Target="fontTable.xml"/><Relationship Id="rId74" Type="http://schemas.openxmlformats.org/officeDocument/2006/relationships/numbering" Target="numbering.xml"/><Relationship Id="rId73" Type="http://schemas.openxmlformats.org/officeDocument/2006/relationships/customXml" Target="../customXml/item1.xml"/><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sv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90</Pages>
  <Words>13771</Words>
  <Characters>18189</Characters>
  <Lines>1628</Lines>
  <Paragraphs>1460</Paragraphs>
  <TotalTime>3</TotalTime>
  <ScaleCrop>false</ScaleCrop>
  <LinksUpToDate>false</LinksUpToDate>
  <CharactersWithSpaces>19021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2026-05-19T03:25:10Z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