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34.svg" ContentType="image/svg+xml"/>
  <Override PartName="/word/media/image36.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11806"/>
      <w:bookmarkStart w:id="6" w:name="_Toc10403"/>
      <w:bookmarkStart w:id="7" w:name="_Toc7456"/>
      <w:bookmarkStart w:id="8" w:name="_Toc12473"/>
      <w:bookmarkStart w:id="9" w:name="_Toc22211"/>
      <w:bookmarkStart w:id="10" w:name="_Toc25711"/>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3">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7" w:type="default"/>
          <w:footerReference r:id="rId9" w:type="default"/>
          <w:headerReference r:id="rId8" w:type="even"/>
          <w:footerReference r:id="rId10"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Loss和Contrastive Loss的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sectPr>
          <w:headerReference r:id="rId11" w:type="default"/>
          <w:footerReference r:id="rId12"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古树名木检索，深度哈希学习，多模态哈希检索，DHLAM模型</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5211"/>
      <w:bookmarkStart w:id="16" w:name="_Toc23928"/>
      <w:bookmarkStart w:id="17" w:name="_Toc26449"/>
      <w:bookmarkStart w:id="18" w:name="_Toc31812"/>
      <w:bookmarkStart w:id="19" w:name="_Toc6356"/>
      <w:bookmarkStart w:id="20" w:name="_Toc27917"/>
      <w:bookmarkStart w:id="21" w:name="_Toc24376"/>
      <w:bookmarkStart w:id="22" w:name="_Toc9147"/>
      <w:bookmarkStart w:id="23" w:name="_Toc22267"/>
      <w:bookmarkStart w:id="24" w:name="_Toc870"/>
      <w:bookmarkStart w:id="25" w:name="_Toc211470756"/>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carry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and Contrastive Loss is adopted together with hard negative mining to handle imbalanced categories. An FC-Tanh-Sign hash layer maps continuous features into compact 128-bit binary codes, cutting 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incorporating location metadata raises performance further to an mAP of 0.741(on iNaturalist 2018), confirming the benefit of multimodal fusion.</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image–location retrieval. Development and testing have been completed and the system runs stably.</w:t>
      </w:r>
    </w:p>
    <w:p w14:paraId="72324029">
      <w:pPr>
        <w:spacing w:line="360" w:lineRule="auto"/>
        <w:ind w:left="0" w:leftChars="0" w:firstLine="0" w:firstLineChars="0"/>
        <w:jc w:val="left"/>
        <w:rPr>
          <w:sz w:val="21"/>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DHLAM Model</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5" w:type="default"/>
          <w:headerReference r:id="rId16"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329"/>
      <w:bookmarkStart w:id="33" w:name="_Toc13806"/>
      <w:bookmarkStart w:id="34" w:name="_Toc6014"/>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领域有着密切联系，二者都依赖于有效的视觉特征表示。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。这些方法虽取得一定成果，但较难处理复杂细节差异，泛化性较弱，且主要解决分类问题而非本文关注的检索问题。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）提供精确的空间定位信息，与图像视觉特征形成互补</w:t>
      </w:r>
      <w:r>
        <w:t>。</w:t>
      </w:r>
      <w:r>
        <w:rPr>
          <w:rFonts w:hint="eastAsia"/>
        </w:rPr>
        <w:t>早期研究主要关注基于地理位置的图像检索（Geo-localization），通过匹配图像视觉特征与地理数据库实现定位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GPS坐标与视觉特征对齐，开创了将"位置"作为独立模态的先河。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为验证所提出模型的有效性和先进性，使DHLAM模型性能得到客观的综合评估，文章采用"通用数据集预训练+领域数据集验证"的分层实验策略。首先，在iNaturalist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255C9070">
      <w:pPr>
        <w:ind w:firstLine="480" w:firstLineChars="200"/>
        <w:rPr>
          <w:rFonts w:hint="eastAsia" w:eastAsia="宋体"/>
          <w:lang w:eastAsia="zh-CN"/>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rPr>
          <w:rFonts w:hint="eastAsia"/>
        </w:rPr>
        <w:t>本文技术路线如图1.1所示：</w:t>
      </w: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ins w:id="0" w:author="小宋" w:date="2026-05-15T00:51:52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575300" cy="2851150"/>
                      </a:xfrm>
                      <a:prstGeom prst="rect">
                        <a:avLst/>
                      </a:prstGeom>
                    </pic:spPr>
                  </pic:pic>
                </a:graphicData>
              </a:graphic>
            </wp:inline>
          </w:drawing>
        </w:r>
      </w:ins>
      <w:del w:id="2" w:author="小宋" w:date="2026-05-15T00:51:43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19" name="图片 19" descr="第一章-1.1 技术路线图-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第一章-1.1 技术路线图-2.drawio"/>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575300" cy="2851150"/>
                      </a:xfrm>
                      <a:prstGeom prst="rect">
                        <a:avLst/>
                      </a:prstGeom>
                    </pic:spPr>
                  </pic:pic>
                </a:graphicData>
              </a:graphic>
            </wp:inline>
          </w:drawing>
        </w:r>
      </w:del>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2714D5C6">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0A8719DB">
      <w:pPr>
        <w:widowControl/>
        <w:jc w:val="center"/>
        <w:rPr>
          <w:color w:val="000000"/>
          <w:kern w:val="0"/>
          <w:sz w:val="21"/>
          <w:szCs w:val="21"/>
          <w:lang w:bidi="ar"/>
        </w:rPr>
      </w:pPr>
    </w:p>
    <w:p w14:paraId="6559C580">
      <w:pPr>
        <w:keepNext w:val="0"/>
        <w:keepLines w:val="0"/>
        <w:pageBreakBefore w:val="0"/>
        <w:widowControl w:val="0"/>
        <w:kinsoku/>
        <w:wordWrap/>
        <w:overflowPunct/>
        <w:topLinePunct w:val="0"/>
        <w:autoSpaceDE/>
        <w:autoSpaceDN/>
        <w:bidi w:val="0"/>
        <w:adjustRightInd/>
        <w:snapToGrid/>
        <w:ind w:firstLine="480" w:firstLineChars="200"/>
        <w:textAlignment w:val="auto"/>
        <w:rPr>
          <w:color w:val="000000"/>
          <w:kern w:val="0"/>
          <w:sz w:val="21"/>
          <w:szCs w:val="21"/>
          <w:lang w:bidi="ar"/>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提供了可行</w:t>
      </w:r>
      <w:r>
        <w:rPr>
          <w:rFonts w:hint="eastAsia"/>
        </w:rPr>
        <w:t>方案</w:t>
      </w:r>
      <w:r>
        <w:t>与技术</w:t>
      </w:r>
      <w:r>
        <w:rPr>
          <w:rFonts w:hint="eastAsia"/>
        </w:rPr>
        <w:t>保障。</w:t>
      </w: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7" w:type="default"/>
          <w:footerReference r:id="rId19" w:type="default"/>
          <w:headerReference r:id="rId18" w:type="even"/>
          <w:footerReference r:id="rId20"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565D06BE">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9721"/>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1D7083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682E4784">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022725" cy="1436370"/>
                    </a:xfrm>
                    <a:prstGeom prst="rect">
                      <a:avLst/>
                    </a:prstGeom>
                  </pic:spPr>
                </pic:pic>
              </a:graphicData>
            </a:graphic>
          </wp:inline>
        </w:drawing>
      </w:r>
    </w:p>
    <w:p w14:paraId="5F797EC1">
      <w:pPr>
        <w:ind w:firstLine="420"/>
        <w:jc w:val="center"/>
        <w:rPr>
          <w:rFonts w:hint="eastAsia"/>
          <w:sz w:val="21"/>
          <w:szCs w:val="21"/>
        </w:rPr>
      </w:pPr>
    </w:p>
    <w:p w14:paraId="6BAB4209">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7A4CD55F">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如上图2.4所示，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8"/>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9"/>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77E5C8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50"/>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1AF69614">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如上</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01C7B95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因此，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种技术，如图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w:t>
      </w:r>
    </w:p>
    <w:p w14:paraId="661E23D5">
      <w:pPr>
        <w:ind w:firstLine="480"/>
        <w:rPr>
          <w:rFonts w:hint="eastAsia" w:ascii="黑体" w:hAnsi="黑体" w:cs="黑体"/>
        </w:rPr>
      </w:pPr>
    </w:p>
    <w:p w14:paraId="2D518B6F">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2837180" cy="1373505"/>
                    </a:xfrm>
                    <a:prstGeom prst="rect">
                      <a:avLst/>
                    </a:prstGeom>
                  </pic:spPr>
                </pic:pic>
              </a:graphicData>
            </a:graphic>
          </wp:inline>
        </w:drawing>
      </w:r>
    </w:p>
    <w:p w14:paraId="2C5EDEC4">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4E94DCF2">
      <w:pPr>
        <w:ind w:firstLine="420"/>
        <w:jc w:val="center"/>
        <w:rPr>
          <w:rFonts w:hint="eastAsia"/>
          <w:sz w:val="21"/>
          <w:szCs w:val="21"/>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ind w:firstLine="420"/>
        <w:jc w:val="center"/>
        <w:rPr>
          <w:rFonts w:hint="eastAsia"/>
          <w:sz w:val="21"/>
          <w:szCs w:val="21"/>
        </w:rPr>
      </w:pP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730625" cy="1478915"/>
            <wp:effectExtent l="0" t="0" r="3175" b="19685"/>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3730625" cy="1478915"/>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ind w:firstLine="420"/>
      </w:pPr>
      <w:r>
        <w:t>（2）决策层融合</w:t>
      </w:r>
    </w:p>
    <w:p w14:paraId="30DFEC4B">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firstLine="480" w:firstLineChars="200"/>
        <w:textAlignment w:val="auto"/>
        <w:rPr>
          <w:kern w:val="2"/>
        </w:rPr>
      </w:pPr>
      <w:r>
        <w:rPr>
          <w:rFonts w:hint="eastAsia"/>
          <w:kern w:val="2"/>
        </w:rPr>
        <w:t>决策层融合是一种常见的多模态融合策略，如</w:t>
      </w:r>
      <w:r>
        <w:rPr>
          <w:rFonts w:hint="eastAsia"/>
          <w:kern w:val="2"/>
          <w:lang w:val="en-US" w:eastAsia="zh-CN"/>
        </w:rPr>
        <w:t>下</w:t>
      </w:r>
      <w:r>
        <w:rPr>
          <w:rFonts w:hint="eastAsia"/>
          <w:kern w:val="2"/>
        </w:rPr>
        <w:t>图2.</w:t>
      </w:r>
      <w:r>
        <w:rPr>
          <w:rFonts w:hint="eastAsia"/>
          <w:kern w:val="2"/>
          <w:lang w:val="en-US" w:eastAsia="zh-CN"/>
        </w:rPr>
        <w:t>11</w:t>
      </w:r>
      <w:r>
        <w:rPr>
          <w:rFonts w:hint="eastAsia"/>
          <w:kern w:val="2"/>
        </w:rPr>
        <w:t>所示。决策层的融合是通过对每一种模态的学习与决策，然后对每一种模态的决策结果进行集成。此算法先针对各模态分别选取适当的模型，分别对其进行单独的学习，得出相应的预测结果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4AA2EC09">
      <w:pPr>
        <w:ind w:firstLine="420"/>
      </w:pPr>
    </w:p>
    <w:p w14:paraId="6745F361">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3504565" cy="1385570"/>
                    </a:xfrm>
                    <a:prstGeom prst="rect">
                      <a:avLst/>
                    </a:prstGeom>
                  </pic:spPr>
                </pic:pic>
              </a:graphicData>
            </a:graphic>
          </wp:inline>
        </w:drawing>
      </w:r>
    </w:p>
    <w:p w14:paraId="0196AF7A">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CD689A1">
      <w:pPr>
        <w:pStyle w:val="21"/>
        <w:widowControl/>
        <w:shd w:val="clear" w:color="auto" w:fill="FFFFFF"/>
        <w:spacing w:beforeAutospacing="0" w:afterAutospacing="0"/>
        <w:ind w:firstLine="420"/>
        <w:jc w:val="center"/>
        <w:rPr>
          <w:sz w:val="21"/>
          <w:szCs w:val="21"/>
        </w:rP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widowControl/>
        <w:shd w:val="clear" w:color="auto" w:fill="FFFFFF"/>
        <w:spacing w:beforeAutospacing="0" w:afterAutospacing="0"/>
        <w:ind w:firstLine="420"/>
        <w:jc w:val="center"/>
        <w:rPr>
          <w:sz w:val="21"/>
          <w:szCs w:val="21"/>
        </w:rPr>
      </w:pP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rPr>
          <w:rFonts w:hint="eastAsia"/>
          <w:lang w:val="en-US" w:eastAsia="zh-CN"/>
        </w:rPr>
        <w:t>下</w:t>
      </w:r>
      <w:r>
        <w:rPr>
          <w:rFonts w:hint="eastAsia"/>
        </w:rPr>
        <w:t>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9"/>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如图2.1</w:t>
      </w:r>
      <w:r>
        <w:rPr>
          <w:rFonts w:hint="eastAsia"/>
          <w:lang w:val="en-US" w:eastAsia="zh-CN"/>
        </w:rPr>
        <w:t>4</w:t>
      </w:r>
      <w:r>
        <w:rPr>
          <w:rFonts w:hint="eastAsia"/>
        </w:rPr>
        <w:t>所示，首先更新查询表示为对齐表示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按位相乘的结果。然后再次使用交叉注意力获得新的对齐表示。在执行</w:t>
      </w:r>
      <w:r>
        <w:rPr>
          <w:rFonts w:hint="eastAsia" w:hAnsi="Cambria Math"/>
          <w:i/>
          <w:iCs/>
        </w:rPr>
        <w:t>K</w:t>
      </w:r>
      <w:r>
        <w:rPr>
          <w:rFonts w:hint="eastAsia" w:hAnsi="Cambria Math"/>
        </w:rPr>
        <w:t>次交叉注意力之后，可以直接将最终获得的多模态查询当</w:t>
      </w:r>
      <w:r>
        <w:rPr>
          <w:rFonts w:hint="eastAsia" w:hAnsi="Cambria Math"/>
          <w:lang w:val="en-US" w:eastAsia="zh-CN"/>
        </w:rPr>
        <w:t>作</w:t>
      </w:r>
      <w:r>
        <w:rPr>
          <w:rFonts w:hint="eastAsia" w:hAnsi="Cambria Math"/>
        </w:rPr>
        <w:t>融合表示。综上，多步交叉注意力操作被解释为多步推理，每一步推理都融合了</w:t>
      </w:r>
      <w:r>
        <w:rPr>
          <w:rFonts w:hint="eastAsia" w:hAnsi="Cambria Math"/>
          <w:lang w:val="en-US" w:eastAsia="zh-CN"/>
        </w:rPr>
        <w:t>查询表示</w:t>
      </w:r>
      <w:r>
        <w:rPr>
          <w:rFonts w:hint="eastAsia" w:hAnsi="Cambria Math"/>
        </w:rPr>
        <w:t>与图像，并在下一步推理</w:t>
      </w:r>
      <w:r>
        <w:rPr>
          <w:rFonts w:hint="eastAsia" w:hAnsi="Cambria Math"/>
          <w:lang w:val="en-US" w:eastAsia="zh-CN"/>
        </w:rPr>
        <w:t>中</w:t>
      </w:r>
      <w:r>
        <w:rPr>
          <w:rFonts w:hint="eastAsia" w:hAnsi="Cambria Math"/>
        </w:rPr>
        <w:t>对图像区域进行精确的筛选。</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60"/>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CBIR）技术通过提取图像视觉特征进行相似度匹配，为解决这一问题提供了有效途径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视觉特征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Network）。该模型设计轻量化的位置编码器将地理位置元数据融入视觉特征，通过多损失联合优化策略同步提升特征判别性与哈希码质量，并采用多级检索策略兼顾检索效率与精度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DHLAM模型首先采用双分支特征提取网络分别对图像和地理位置进行特征表示，以保证视觉特征与空间特征具有互补性，同时将多模态数据处理为可以建模和计算的向量化形式。在特征提取过程中，图像</w:t>
      </w:r>
      <w:r>
        <w:rPr>
          <w:rFonts w:hint="eastAsia"/>
          <w:lang w:val="en-US" w:eastAsia="zh-CN"/>
        </w:rPr>
        <w:t>信息</w:t>
      </w:r>
      <w:r>
        <w:rPr>
          <w:rFonts w:hint="eastAsia"/>
        </w:rPr>
        <w:t>借助ResNet-50</w:t>
      </w:r>
      <w:r>
        <w:rPr>
          <w:rFonts w:hint="eastAsia"/>
          <w:lang w:val="en-US" w:eastAsia="zh-CN"/>
        </w:rPr>
        <w:t>等</w:t>
      </w:r>
      <w:r>
        <w:rPr>
          <w:rFonts w:hint="eastAsia"/>
        </w:rPr>
        <w:t>主流卷积神经网络提取高层语义特征，地理位置</w:t>
      </w:r>
      <w:r>
        <w:rPr>
          <w:rFonts w:hint="eastAsia"/>
          <w:lang w:val="en-US" w:eastAsia="zh-CN"/>
        </w:rPr>
        <w:t>信息</w:t>
      </w:r>
      <w:r>
        <w:rPr>
          <w:rFonts w:hint="eastAsia"/>
        </w:rPr>
        <w:t>则采用轻量化的多层感知器将</w:t>
      </w:r>
      <w:r>
        <w:rPr>
          <w:rFonts w:hint="eastAsia"/>
          <w:lang w:eastAsia="zh-CN"/>
        </w:rPr>
        <w:t>位置坐标</w:t>
      </w:r>
      <w:r>
        <w:rPr>
          <w:rFonts w:hint="eastAsia"/>
        </w:rPr>
        <w:t>编码为固定维度的位置特征向量。在多模态融合阶段，通过特征拼接或注意力加权机制将图像特征与位置特征融合，生成包含视觉信息和空间分布信息的融合特征。此外，通过哈希层将融合特征映射为紧凑的二进制哈希码，并结合多损失联合优化策略约束哈希码质量，以提升检索模型的判别</w:t>
      </w:r>
      <w:r>
        <w:rPr>
          <w:rFonts w:hint="eastAsia"/>
          <w:lang w:val="en-US" w:eastAsia="zh-CN"/>
        </w:rPr>
        <w:t>准确率</w:t>
      </w:r>
      <w:r>
        <w:rPr>
          <w:rFonts w:hint="eastAsia"/>
          <w:lang w:eastAsia="zh-CN"/>
        </w:rPr>
        <w:t>。</w:t>
      </w:r>
    </w:p>
    <w:p w14:paraId="647E3828">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部分：特征提取</w:t>
      </w:r>
      <w:r>
        <w:rPr>
          <w:rFonts w:hint="eastAsia"/>
          <w:lang w:val="en-US" w:eastAsia="zh-CN"/>
        </w:rPr>
        <w:t>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C5F7FFF">
      <w:pPr>
        <w:keepNext w:val="0"/>
        <w:keepLines w:val="0"/>
        <w:widowControl/>
        <w:suppressLineNumbers w:val="0"/>
        <w:ind w:left="0" w:leftChars="0" w:firstLine="0" w:firstLineChars="0"/>
        <w:jc w:val="both"/>
        <w:rPr>
          <w:sz w:val="21"/>
          <w:szCs w:val="21"/>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80380" cy="1758950"/>
            <wp:effectExtent l="0" t="0" r="7620" b="19050"/>
            <wp:docPr id="7" name="图片 7" descr="第3章-图3.1 深度哈希学习模型整体架构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3章-图3.1 深度哈希学习模型整体架构 -1"/>
                    <pic:cNvPicPr>
                      <a:picLocks noChangeAspect="1"/>
                    </pic:cNvPicPr>
                  </pic:nvPicPr>
                  <pic:blipFill>
                    <a:blip r:embed="rId61"/>
                    <a:stretch>
                      <a:fillRect/>
                    </a:stretch>
                  </pic:blipFill>
                  <pic:spPr>
                    <a:xfrm>
                      <a:off x="0" y="0"/>
                      <a:ext cx="5580380" cy="175895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3"/>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ResNet）或自注意力机制（ViT）捕获古树名木的视觉语义信息，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视觉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在多模态融合层的自适应权重机制，该机制通过动态调整图像与位置特征的相对贡献实现自适应融合。</w:t>
      </w:r>
    </w:p>
    <w:p w14:paraId="784C695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哈希粗排+浮点精排"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视觉特征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古树名木图像检索任务中，除图像信息外，地理位置元数据（</w:t>
      </w:r>
      <w:r>
        <w:rPr>
          <w:rFonts w:hint="eastAsia"/>
          <w:lang w:eastAsia="zh-CN"/>
        </w:rPr>
        <w:t>位置</w:t>
      </w:r>
      <w:r>
        <w:rPr>
          <w:rFonts w:hint="eastAsia"/>
        </w:rPr>
        <w:t>坐标）也是重要的辅助特征。同种古树往往分布在相似的地理区域内，地理位置元数据能够有效补充视觉特征的不足，特别是在图像质量较差或视觉相似树种的判别场景中。本节介绍多模态特征融合策略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w:t>
      </w:r>
      <w:commentRangeStart w:id="0"/>
      <w:r>
        <w:rPr>
          <w:rFonts w:hint="eastAsia"/>
        </w:rPr>
        <w:t>特征拼接为主、向量融合为备选</w:t>
      </w:r>
      <w:commentRangeEnd w:id="0"/>
      <w:r>
        <w:commentReference w:id="0"/>
      </w:r>
      <w:r>
        <w:rPr>
          <w:rFonts w:hint="eastAsia"/>
        </w:rPr>
        <w:t>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向量融合通过自适应机制使模型能够根据输入样本动态决定不同模态的重要性。该备选方案可在未来数据规模扩展后进一步验证其在大规模古树名木数据集上的融合效果。</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哈希层是深度哈希学习模型的关键组件，负责将融合特征向量映射为紧凑的二进制哈希码，以实现高效的近似最近邻检索。哈希层设计的核心挑战在于二进制哈希码的离散特性导致不可微，无法直接通过反向传播优化。借鉴连续松弛（Continuous Relaxation）策略，本模型采用"训练阶段连续、推理阶段离散"的两阶段策略：训练时使用Tanh激活函数输出[-1,1]范围内的连续值以保证梯度传播；推理时通过符号函数量化为离散哈希码，有效减小训练-推理鸿沟。哈希层采用"FC→Tanh→Sign"三段式结构：首先通过全连接层将融合特征降维至目标哈希码长度；然后经Tanh激活函数输出连续值；最后通过符号函数量化为离散二进制哈希码。</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b"/>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b"/>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b"/>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其中，bi∈{+1,-1}为第i位二进制哈希码；sign(·)为符号函数。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sty m:val="p"/>
              </m:rPr>
              <w:rPr>
                <w:rFonts w:hint="default" w:ascii="DejaVu Math TeX Gyre" w:hAnsi="DejaVu Math TeX Gyre" w:cs="Times"/>
                <w:b w:val="0"/>
                <w:i w:val="0"/>
                <w:iCs/>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为对应的离散哈希码。该损失引导网络生成"接近二进制"的连续输出，有效缓解连续松弛引入的量化误差。</w:t>
      </w:r>
      <w:r>
        <w:rPr>
          <w:rFonts w:hint="default"/>
          <w:lang w:val="en-US" w:eastAsia="zh-CN"/>
        </w:rPr>
        <w:t>哈希码长度L可配置为64位、128位或256位。较短哈希码存储开销更低但表征能力有限；较长哈希码检索精度更高但增加存储与计算负担。参考深度哈希学习文献的标准实验配置</w:t>
      </w:r>
      <w:r>
        <w:rPr>
          <w:rFonts w:hint="default"/>
          <w:vertAlign w:val="superscript"/>
          <w:lang w:val="en-US" w:eastAsia="zh-CN"/>
        </w:rPr>
        <w:fldChar w:fldCharType="begin"/>
      </w:r>
      <w:r>
        <w:instrText xml:space="preserve"> REF _Ref1003148588 \r \h  \* MERGEFORMAT</w:instrText>
      </w:r>
      <w:r>
        <w:rPr>
          <w:rFonts w:hint="default"/>
          <w:vertAlign w:val="superscript"/>
          <w:lang w:val="en-US" w:eastAsia="zh-CN"/>
        </w:rPr>
        <w:fldChar w:fldCharType="separate"/>
      </w:r>
      <w:r>
        <w:rPr>
          <w:rFonts w:hint="default"/>
          <w:vertAlign w:val="superscript"/>
          <w:lang w:val="en-US" w:eastAsia="zh-CN"/>
        </w:rPr>
        <w:t>[7</w:t>
      </w:r>
      <w:r>
        <w:rPr>
          <w:rFonts w:hint="eastAsia"/>
          <w:vertAlign w:val="superscript"/>
          <w:lang w:val="en-US" w:eastAsia="zh-CN"/>
        </w:rPr>
        <w:t>,</w:t>
      </w:r>
      <w:r>
        <w:rPr>
          <w:rFonts w:hint="default"/>
          <w:vertAlign w:val="superscript"/>
          <w:lang w:val="en-US" w:eastAsia="zh-CN"/>
        </w:rPr>
        <w:fldChar w:fldCharType="end"/>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，本文采用128位作为哈希码长度。</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62"/>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4"/>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4"/>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4"/>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4"/>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4"/>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5"/>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s</m:t>
            </m:r>
            <m:ctrlPr>
              <w:rPr>
                <w:rFonts w:hint="default" w:ascii="DejaVu Math TeX Gyre" w:hAnsi="DejaVu Math TeX Gyre" w:cs="Times"/>
                <w:i/>
                <w:iCs/>
              </w:rPr>
            </m:ctrlPr>
          </m:e>
          <m:sub>
            <m:r>
              <m:rPr>
                <m:nor/>
              </m:rPr>
              <w:rPr>
                <w:rFonts w:hint="default" w:ascii="DejaVu Math TeX Gyre" w:hAnsi="DejaVu Math TeX Gyre" w:cs="Times"/>
                <w:b w:val="0"/>
                <w:i/>
                <w:iCs/>
              </w:rPr>
              <m:t>cos</m:t>
            </m:r>
            <m:ctrlPr>
              <w:rPr>
                <w:rFonts w:hint="default" w:ascii="DejaVu Math TeX Gyre" w:hAnsi="DejaVu Math TeX Gyre" w:cs="Times"/>
                <w:i/>
                <w:iCs/>
              </w:rPr>
            </m:ctrlPr>
          </m:sub>
        </m:sSub>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q</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oMath>
      <w:r>
        <w:rPr>
          <w:rFonts w:hint="default"/>
          <w:lang w:val="en-US" w:eastAsia="zh-CN"/>
        </w:rPr>
        <w:t>为余弦相似度，取值范围为[−1, 1]。余弦相似度通过度量两向量夹角的余弦值反映语义相似程度，值越大表示夹角越小、相似度高。</w:t>
      </w:r>
    </w:p>
    <w:p w14:paraId="27BC29AF">
      <w:pPr>
        <w:numPr>
          <w:ilvl w:val="0"/>
          <w:numId w:val="5"/>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lang w:val="en-US" w:eastAsia="zh-CN"/>
        </w:rPr>
        <w:t>为第</w:t>
      </w:r>
      <m:oMath>
        <m:r>
          <m:rPr>
            <m:sty m:val="p"/>
          </m:rPr>
          <w:rPr>
            <w:rFonts w:hint="default" w:ascii="Times New Roman" w:hAnsi="Times New Roman"/>
          </w:rPr>
          <m:t>i</m:t>
        </m:r>
      </m:oMath>
      <w:r>
        <w:rPr>
          <w:rFonts w:hint="default"/>
          <w:lang w:val="en-US" w:eastAsia="zh-CN"/>
        </w:rPr>
        <w:t>位二进制哈希码；</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m:nor/>
          </m:rPr>
          <w:rPr>
            <w:rFonts w:hint="default" w:ascii="DejaVu Math TeX Gyre" w:hAnsi="DejaVu Math TeX Gyre" w:cs="Times"/>
            <w:b w:val="0"/>
            <w:i/>
            <w:iCs/>
          </w:rPr>
          <m:t>d</m:t>
        </m:r>
      </m:oMath>
      <w:r>
        <w:rPr>
          <w:rFonts w:hint="default"/>
          <w:lang w:val="en-US" w:eastAsia="zh-CN"/>
        </w:rPr>
        <w:t>为归一化汉明距离，取值范围为[0, 1]，值越小表示相似度越高。得益于二进制的位运算特性，汉明距离计算可通过CPU的XOR和POPCNT指令在常数时间内完成，适合大规模数据的快速筛选。</w:t>
      </w:r>
    </w:p>
    <w:p w14:paraId="3D9BA558">
      <w:pPr>
        <w:numPr>
          <w:ilvl w:val="0"/>
          <w:numId w:val="5"/>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2018数据集是由全球志愿者与科学家通过众包方式收集整理的世界动植物图像数据库。本研究采用该数据集作为模型预训练和通用性能评估的基础数据，主要基于以下考量：首先，iNaturalist 2018包含丰富的木本植物类别，其中36个类别与我国常见古树名木所属科属高度相关（如银杏科、松科、柏科和壳斗科等），可为模型学习植物视觉特征提供充足的训练样本；其次，该数据集具有规范的标注体系和较高的数据质量，适合作为深度哈希学习的基准评估平台；最后，在古树名木专用数据集稀缺的现实条件下，利用公开数据集进行预训练是迁移学习的标准实践。需要说明的是，iNaturalist 2018为通用植物数据集，其图像采集场景、样本分布与真实的古树名木记录存在一定差异，因此本研究将其定位为"预训练与通用评估数据集"，主要服务于模型初始化和跨数据集泛化能力验证，而非直接作为古树名木场景的最终评估标准。本研究采用类别分层随机划分策略，将iNaturalist 2018古树名木相关子集按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GPS坐标（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GPS坐标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同一实例不跨集"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6"/>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像素。缩放过程采用双线性插值算法，在降低分辨率的同时保留古树枝干形态、纹理、冠形等关键视觉特征，保证图像结构完整性与语义一致性。注：本研究默认使用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6"/>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6"/>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6"/>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]区间，以匹配神经网络输入要求；异常值检测：剔除GPS精度&gt;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米或坐标位于研究区域外的样本；缺失值处理：对缺失坐标的样本（</w:t>
      </w:r>
      <w:r>
        <w:rPr>
          <w:rFonts w:hint="default" w:ascii="Times New Roman" w:hAnsi="Times New Roman" w:cs="Times New Roman"/>
          <w:lang w:val="en-US" w:eastAsia="zh-CN"/>
        </w:rPr>
        <w:t>iNaturalist</w:t>
      </w:r>
      <w:r>
        <w:rPr>
          <w:rFonts w:hint="eastAsia" w:ascii="Times New Roman" w:hAnsi="Times New Roman" w:cs="Times New Roman"/>
          <w:lang w:val="en-US" w:eastAsia="zh-CN"/>
        </w:rPr>
        <w:t xml:space="preserve"> 2018</w:t>
      </w:r>
      <w:r>
        <w:rPr>
          <w:rFonts w:hint="default" w:ascii="宋体" w:hAnsi="宋体" w:cs="宋体"/>
          <w:lang w:val="en-US" w:eastAsia="zh-CN"/>
        </w:rPr>
        <w:t>中约</w:t>
      </w:r>
      <w:r>
        <w:rPr>
          <w:rFonts w:hint="default" w:ascii="Times New Roman" w:hAnsi="Times New Roman" w:cs="Times New Roman"/>
          <w:lang w:val="en-US" w:eastAsia="zh-CN"/>
        </w:rPr>
        <w:t>13%</w:t>
      </w:r>
      <w:r>
        <w:rPr>
          <w:rFonts w:hint="default" w:ascii="宋体" w:hAnsi="宋体" w:cs="宋体"/>
          <w:lang w:val="en-US" w:eastAsia="zh-CN"/>
        </w:rPr>
        <w:t>），在训练时采用随机采样同类别其他样本坐标的方式填充，测试时则不使用位置分支。</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一类查询样本的平均精度（AP），再对所有类别取均值，综合反映模型在多类别检索任务中的整体性能。mAP数值越高，表明模型对不同类别古树名木的检索准确性越</w:t>
      </w:r>
      <w:r>
        <w:rPr>
          <w:rFonts w:hint="eastAsia"/>
          <w:lang w:val="en-US" w:eastAsia="zh-CN"/>
        </w:rPr>
        <w:t>高</w:t>
      </w:r>
      <w:r>
        <w:rPr>
          <w:rFonts w:hint="eastAsia"/>
        </w:rPr>
        <w:t>。</w:t>
      </w:r>
    </w:p>
    <w:p w14:paraId="15B997FD">
      <w:pPr>
        <w:numPr>
          <w:ilvl w:val="0"/>
          <w:numId w:val="7"/>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7"/>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7"/>
        </w:numPr>
        <w:ind w:left="0" w:leftChars="0" w:firstLine="420" w:firstLineChars="0"/>
        <w:rPr>
          <w:rFonts w:hint="eastAsia"/>
          <w:lang w:eastAsia="zh-CN"/>
        </w:rPr>
      </w:pPr>
      <w:r>
        <w:rPr>
          <w:rFonts w:hint="eastAsia"/>
          <w:lang w:eastAsia="zh-CN"/>
        </w:rPr>
        <w:t>双向检索评价策略</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 xml:space="preserve">本文采用双向检索评价策略，分别评估以图搜图、以图搜位置和以位置搜图三个检索任务的性能：以图搜图（Image-to-Image, </w:t>
      </w:r>
      <w:r>
        <w:rPr>
          <w:rFonts w:hint="eastAsia"/>
          <w:lang w:val="en-US" w:eastAsia="zh-CN"/>
        </w:rPr>
        <w:t>简称</w:t>
      </w:r>
      <w:r>
        <w:rPr>
          <w:rFonts w:hint="eastAsia"/>
          <w:lang w:eastAsia="zh-CN"/>
        </w:rPr>
        <w:t xml:space="preserve">I2I）以图像为查询，在图像数据库中检索同类图像，采用标准图像检索指标mAP-I2I、Recall@K-I2I、Precision@K-I2I。以图搜位置（Image-to-Location, </w:t>
      </w:r>
      <w:r>
        <w:rPr>
          <w:rFonts w:hint="eastAsia"/>
          <w:lang w:val="en-US" w:eastAsia="zh-CN"/>
        </w:rPr>
        <w:t>简称</w:t>
      </w:r>
      <w:r>
        <w:rPr>
          <w:rFonts w:hint="eastAsia"/>
          <w:lang w:eastAsia="zh-CN"/>
        </w:rPr>
        <w:t>I2L）；以图像为查询，检索地理位置元数据。将返回的位置坐标与查询图像的真实位置计算地理距离，距离&lt;1km视为相关样本，计算mAP-I2L、Recall@K-I2L、Precision@K-I2L；以位置搜图（Location-to-Image,</w:t>
      </w:r>
      <w:r>
        <w:rPr>
          <w:rFonts w:hint="eastAsia"/>
          <w:lang w:val="en-US" w:eastAsia="zh-CN"/>
        </w:rPr>
        <w:t>简称</w:t>
      </w:r>
      <w:r>
        <w:rPr>
          <w:rFonts w:hint="eastAsia"/>
          <w:lang w:eastAsia="zh-CN"/>
        </w:rPr>
        <w:t>L2I）以地理位置坐标为查询，检索图像数据库。距离查询位置&lt;1km的图像视为相关样本，计算mAP-L2I、Recall@K-L2I、Precision@K-L2I。</w:t>
      </w:r>
    </w:p>
    <w:p w14:paraId="19D0FB43">
      <w:pPr>
        <w:numPr>
          <w:ilvl w:val="0"/>
          <w:numId w:val="7"/>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设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Loss权重设为0.1作为轻约束项，三者的权重配比遵循"主导-辅助-约束"的分级设计原则，其合理性在3.4.4节超参数敏感性分析中进一步验证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考虑到深度哈希学习领域的惯例及计算资源限制，本论文报告单次运行的实验结果。关键结论已通过多次验证运行确认其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8"/>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8"/>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8"/>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需要说明的是，上述基线方法均为单模态图像哈希方法，而DHLAM为融合图像与地理位置元数据的多模态方法。为避免"多模态vs单模态"的对比不公平性，本文设计两组对照实验：</w:t>
      </w:r>
    </w:p>
    <w:p w14:paraId="208F0627">
      <w:pPr>
        <w:numPr>
          <w:ilvl w:val="0"/>
          <w:numId w:val="9"/>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9"/>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40051D2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0"/>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0"/>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0"/>
        </w:numPr>
        <w:ind w:left="0" w:leftChars="0" w:firstLine="480" w:firstLineChars="200"/>
        <w:jc w:val="left"/>
        <w:rPr>
          <w:rFonts w:hint="eastAsia" w:eastAsia="宋体"/>
          <w:lang w:eastAsia="zh-CN"/>
        </w:rPr>
      </w:pPr>
      <w:r>
        <w:rPr>
          <w:rFonts w:hint="eastAsia" w:eastAsia="宋体"/>
          <w:lang w:eastAsia="zh-CN"/>
        </w:rPr>
        <w:t>综合优势：DHLAM通过"先进的单模态哈希设计+有效的多模态融合"双重优势，在iNaturalist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方面创新：多模态融合策略将地理位置元数据编码为256维位置特征向量，与视觉特征拼接后形成互补性更强的融合表示，有效缓解了单一视觉特征在形态相似树种判别中的局限性；多损失联合优化通过Triplet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与（1）节结果一致，验证了模型在视觉特征判别上的有效性。I2L任务mAP为0.698，低于I2I任务（差距4.3个百分点）。这一性能差距源于三方面因素：首先，I2L属于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视觉特征与空间特征的跨空间映射，本身难度高于同模态的I2I检索；其次，I2L是"高维→低维"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以图搜位置"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1"/>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1"/>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1"/>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1"/>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2=8.9）仍显著大于难例挖掘的最大可能值（4.9+2=6.9），更不会影响量化损失的最末排序。因此，"地理位置 &gt; 难例挖掘 &gt; 量化损失"的贡献排序结论具有统计稳健性。本文主要关注各模块的相对贡献排序趋势而非绝对精确数值，后续研究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Loss产生优化冲突。实验验证了"主导-辅助"权重配比原则的合理性。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=0.1时在精度与约束强度间达到平衡；降至0.01时mAP下降2.0个百分点，量化误差增大；增至0.5时mAP下降0.9个百分点，过强的量化约束干扰特征学习。该结果验证了"轻约束"设计思想的正确性。</w:t>
      </w:r>
    </w:p>
    <w:p w14:paraId="221C02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C9F4F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560914C0">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3BAEB39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5F34BCD1">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2FEC52DB">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5CF5B48C">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D65024B">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F99E1B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26413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613302F">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E2CAA0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2BEC270">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23DDC2AE">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381D091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4ADB63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93DC8E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9D9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DA785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8BD89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6CD836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6F9C6773">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529906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EA409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24CEF6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08F77CC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4D62D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8F7BF8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28EF1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51C2E21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EE4E43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CC47E6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D161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0CE7D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35B0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AB1AE6">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7475CE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1E01D6F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80E027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B96FC8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5188C2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6849CD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A8A61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45F1FE2">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8387F5">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71A4D88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01947A11">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79BB9C1">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910E9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68FC7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77C6B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537167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0176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63AF0F23">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D37727D">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17EE5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A7DF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7A8C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FBC5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540128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CB80925">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特征提取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10250"/>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656"/>
      <w:bookmarkStart w:id="142" w:name="_Toc25165"/>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图像信息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注册、用户信息管理、古树名木信息图像上传和古树名木检索等功能。系统整体用例图如图4.1所示。</w:t>
      </w:r>
    </w:p>
    <w:p w14:paraId="28D41D82">
      <w:pPr>
        <w:rPr>
          <w:rFonts w:hint="eastAsia"/>
        </w:rPr>
      </w:pPr>
    </w:p>
    <w:p w14:paraId="63B56142">
      <w:pPr>
        <w:pStyle w:val="46"/>
        <w:spacing w:line="300" w:lineRule="auto"/>
        <w:jc w:val="center"/>
      </w:pPr>
      <w:r>
        <w:drawing>
          <wp:inline distT="0" distB="0" distL="114300" distR="114300">
            <wp:extent cx="5566410" cy="4533900"/>
            <wp:effectExtent l="0" t="0" r="8890" b="0"/>
            <wp:docPr id="1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9"/>
                    <pic:cNvPicPr>
                      <a:picLocks noChangeAspect="1"/>
                    </pic:cNvPicPr>
                  </pic:nvPicPr>
                  <pic:blipFill>
                    <a:blip r:embed="rId63"/>
                    <a:stretch>
                      <a:fillRect/>
                    </a:stretch>
                  </pic:blipFill>
                  <pic:spPr>
                    <a:xfrm>
                      <a:off x="0" y="0"/>
                      <a:ext cx="5566410" cy="453390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用户上传古树名木图像，系统提取视觉特征并生成128位哈希码，在海量图像库中快速检索相似图像，返回Top-K相似图像及相似度排名；图像到位置检索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使用。用户可通过左侧菜单栏的古树名木一级目录下的数据管理进入页面，输入位置坐标或上传图像，系统将输出相应的古树名木信息及地理位置元数据。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211955" cy="4813935"/>
            <wp:effectExtent l="0" t="0" r="4445" b="1206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4211955" cy="481393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pPr>
      <w:r>
        <w:t>如图4.3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包括添加、修改和删除资源。用户端分为个人信息管理和古树名木检索两个模块，前者包括查看和修改个人信息、更改登录密码，后者</w:t>
      </w:r>
      <w:r>
        <w:rPr>
          <w:rFonts w:hint="eastAsia"/>
          <w:lang w:val="en-US" w:eastAsia="zh-CN"/>
        </w:rPr>
        <w:t>的多模态检索</w:t>
      </w:r>
      <w:r>
        <w:rPr>
          <w:rFonts w:hint="eastAsia"/>
        </w:rPr>
        <w:t>支持三种检索模式：图像到图像检索、图像到位置检索和位置到图像检索</w:t>
      </w:r>
      <w: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default"/>
          <w:lang w:val="en-US" w:eastAsia="zh-CN"/>
        </w:rPr>
      </w:pPr>
      <w:r>
        <w:t>根据ER图中所呈现出的实体属性和实体关系，</w:t>
      </w:r>
      <w:r>
        <w:rPr>
          <w:rFonts w:hint="eastAsia"/>
        </w:rPr>
        <w:t>本系统使用关系型数据库MySQL对数据进行存储和管理</w:t>
      </w:r>
      <w:r>
        <w:rPr>
          <w:rFonts w:hint="eastAsia"/>
          <w:lang w:eastAsia="zh-CN"/>
        </w:rPr>
        <w:t>，</w:t>
      </w:r>
      <w:r>
        <w:t>以下以数据库表的形式，说明</w:t>
      </w:r>
      <w:r>
        <w:rPr>
          <w:rFonts w:hint="eastAsia"/>
        </w:rPr>
        <w:t>古树名木</w:t>
      </w:r>
      <w:r>
        <w:rPr>
          <w:rFonts w:hint="eastAsia"/>
          <w:lang w:eastAsia="zh-CN"/>
        </w:rPr>
        <w:t>检索系统</w:t>
      </w:r>
      <w:r>
        <w:t>数据库中数据组织方式和关系，本系统主要涉及</w:t>
      </w:r>
      <w:r>
        <w:rPr>
          <w:rFonts w:hint="eastAsia"/>
        </w:rPr>
        <w:t>4</w:t>
      </w:r>
      <w:r>
        <w:t>张</w:t>
      </w:r>
      <w:r>
        <w:rPr>
          <w:rFonts w:hint="eastAsia"/>
          <w:lang w:val="en-US" w:eastAsia="zh-CN"/>
        </w:rPr>
        <w:t>核心</w:t>
      </w:r>
      <w:r>
        <w:t>数据库表</w:t>
      </w:r>
      <w:r>
        <w:rPr>
          <w:rFonts w:hint="eastAsia"/>
          <w:lang w:eastAsia="zh-CN"/>
        </w:rPr>
        <w:t>，</w:t>
      </w:r>
      <w:r>
        <w:rPr>
          <w:rFonts w:hint="eastAsia"/>
          <w:lang w:val="en-US" w:eastAsia="zh-CN"/>
        </w:rPr>
        <w:t>即用户信息表、图像表、树木表和权限角色表。其中，用户信息表用于存储系统用户的基本信息，通过用户ID作为主键唯一标识每个用户；图像表则用于管理用户上传的古树名木图像数据，图像ID为主键，确保每幅图像的唯一性；树木表是核心数据表之一，记录古树名木的属性，树木ID作为主键，同时可能包含与图像表的关联字段，以便实现图像与树木信息的对应；权限角色表主要用于系统的权限管理，角色ID为主键，并通过用户ID与用户信息表建立关联，从而为不同用户分配相应的操作权限，保障系统数据的安全与规范访问。</w:t>
      </w:r>
    </w:p>
    <w:p w14:paraId="719E3D86">
      <w:pPr>
        <w:widowControl/>
        <w:jc w:val="center"/>
      </w:pPr>
      <w:r>
        <w:drawing>
          <wp:inline distT="0" distB="0" distL="114300" distR="114300">
            <wp:extent cx="2918460" cy="3865880"/>
            <wp:effectExtent l="0" t="0" r="2540" b="7620"/>
            <wp:docPr id="2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1"/>
                    <pic:cNvPicPr>
                      <a:picLocks noChangeAspect="1"/>
                    </pic:cNvPicPr>
                  </pic:nvPicPr>
                  <pic:blipFill>
                    <a:blip r:embed="rId68"/>
                    <a:stretch>
                      <a:fillRect/>
                    </a:stretch>
                  </pic:blipFill>
                  <pic:spPr>
                    <a:xfrm>
                      <a:off x="0" y="0"/>
                      <a:ext cx="2918460" cy="3865880"/>
                    </a:xfrm>
                    <a:prstGeom prst="rect">
                      <a:avLst/>
                    </a:prstGeom>
                    <a:noFill/>
                    <a:ln>
                      <a:noFill/>
                    </a:ln>
                  </pic:spPr>
                </pic:pic>
              </a:graphicData>
            </a:graphic>
          </wp:inline>
        </w:drawing>
      </w:r>
    </w:p>
    <w:p w14:paraId="07CE2C2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424CE7E0">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0AE65C3">
      <w:pPr>
        <w:ind w:firstLine="420"/>
        <w:rPr>
          <w:rFonts w:hint="eastAsia"/>
        </w:rPr>
      </w:pPr>
    </w:p>
    <w:p w14:paraId="36CE277D">
      <w:pPr>
        <w:widowControl/>
        <w:numPr>
          <w:ilvl w:val="0"/>
          <w:numId w:val="12"/>
        </w:numPr>
        <w:ind w:firstLine="420"/>
        <w:jc w:val="left"/>
      </w:pPr>
      <w:r>
        <w:t>用户</w:t>
      </w:r>
      <w:r>
        <w:rPr>
          <w:rFonts w:hint="eastAsia"/>
        </w:rPr>
        <w:t>信息</w:t>
      </w:r>
      <w:r>
        <w:t>表</w:t>
      </w:r>
    </w:p>
    <w:p w14:paraId="1AE3493B">
      <w:pPr>
        <w:widowControl/>
        <w:numPr>
          <w:ilvl w:val="0"/>
          <w:numId w:val="0"/>
        </w:numPr>
        <w:ind w:firstLine="420" w:firstLineChars="0"/>
        <w:jc w:val="left"/>
      </w:pPr>
      <w:r>
        <w:rPr>
          <w:rFonts w:hint="eastAsia"/>
          <w:lang w:eastAsia="zh-CN"/>
        </w:rPr>
        <w:t>见表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107FA3F9">
      <w:pPr>
        <w:widowControl/>
        <w:numPr>
          <w:ilvl w:val="0"/>
          <w:numId w:val="0"/>
        </w:numPr>
        <w:jc w:val="left"/>
      </w:pPr>
    </w:p>
    <w:p w14:paraId="73BC9DF4">
      <w:pPr>
        <w:pStyle w:val="41"/>
        <w:ind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05038A">
      <w:pPr>
        <w:numPr>
          <w:ilvl w:val="0"/>
          <w:numId w:val="12"/>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2"/>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62836464">
      <w:pPr>
        <w:bidi w:val="0"/>
        <w:ind w:left="0" w:leftChars="0" w:firstLine="0" w:firstLineChars="0"/>
      </w:pPr>
    </w:p>
    <w:p w14:paraId="19B369A1">
      <w:pPr>
        <w:widowControl/>
        <w:numPr>
          <w:ilvl w:val="0"/>
          <w:numId w:val="12"/>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信息、树木信息和权限角色表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4E9F84EB">
      <w:pPr>
        <w:numPr>
          <w:ilvl w:val="0"/>
          <w:numId w:val="0"/>
        </w:numPr>
        <w:rPr>
          <w:rFonts w:hint="eastAsia"/>
          <w:lang w:eastAsia="zh-CN"/>
        </w:rPr>
      </w:pPr>
    </w:p>
    <w:p w14:paraId="2D62108D">
      <w:pPr>
        <w:ind w:left="0" w:leftChars="0" w:firstLine="0" w:firstLineChars="0"/>
        <w:jc w:val="both"/>
      </w:pPr>
      <w:r>
        <w:drawing>
          <wp:inline distT="0" distB="0" distL="114300" distR="114300">
            <wp:extent cx="5572760" cy="4867275"/>
            <wp:effectExtent l="0" t="0" r="2540" b="9525"/>
            <wp:docPr id="3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4"/>
                    <pic:cNvPicPr>
                      <a:picLocks noChangeAspect="1"/>
                    </pic:cNvPicPr>
                  </pic:nvPicPr>
                  <pic:blipFill>
                    <a:blip r:embed="rId69"/>
                    <a:stretch>
                      <a:fillRect/>
                    </a:stretch>
                  </pic:blipFill>
                  <pic:spPr>
                    <a:xfrm>
                      <a:off x="0" y="0"/>
                      <a:ext cx="5572760" cy="4867275"/>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3E7A98A8">
      <w:pPr>
        <w:ind w:firstLine="420"/>
        <w:rPr>
          <w:rFonts w:hint="eastAsia"/>
        </w:rPr>
      </w:pPr>
      <w:r>
        <w:rPr>
          <w:rFonts w:ascii="宋体" w:hAnsi="宋体" w:cs="宋体"/>
        </w:rPr>
        <w:t>如图</w:t>
      </w:r>
      <w:r>
        <w:rPr>
          <w:rFonts w:eastAsia="Times New Roman"/>
        </w:rPr>
        <w:t>4.5</w:t>
      </w:r>
      <w:r>
        <w:rPr>
          <w:rFonts w:ascii="宋体" w:hAnsi="宋体" w:cs="宋体"/>
        </w:rPr>
        <w:t>所示的是用户信息管理模块的时序图</w:t>
      </w:r>
      <w:r>
        <w:rPr>
          <w:rFonts w:hint="eastAsia"/>
        </w:rPr>
        <w:t>。用户进入本系统后，首先需要登录，进入登录注册页，请求调用/user/login登录接口，如果本地浏览器没有Cookie信息或Cookie过期，提示“未登录/过期请重新登录”；否则即登录成功，调用/user/getUserInfo/{userId}接口，请求方式GET请求。紧接着，调用后端服务UserController中的getUserInfo方法，然后走到IUserService中的getUserInfoByUserId接口，管理员角色用户默认查询全部用户，非管理员用户根据Cookie中的userId参数查询登录用户信息，包括用户id、用户登录名、用户名称、用户加密密码等。</w:t>
      </w: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如图4.6所示，用户管理模块基于RBAC权限模型，以表格形式展示用户登录名、角色及上次登录时间等信息，支持编辑、删除、密码重置及检索操作。</w:t>
      </w:r>
    </w:p>
    <w:p w14:paraId="4D971F7E">
      <w:pPr>
        <w:ind w:left="420"/>
      </w:pPr>
    </w:p>
    <w:p w14:paraId="39A00BBA">
      <w:pPr>
        <w:ind w:left="0" w:leftChars="0" w:firstLine="0" w:firstLineChars="0"/>
        <w:jc w:val="both"/>
        <w:rPr>
          <w:b/>
          <w:bCs/>
          <w:color w:val="FF0000"/>
        </w:rPr>
      </w:pPr>
      <w:r>
        <w:drawing>
          <wp:inline distT="0" distB="0" distL="114300" distR="114300">
            <wp:extent cx="5568950" cy="2611755"/>
            <wp:effectExtent l="9525" t="9525" r="9525" b="20320"/>
            <wp:docPr id="36"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7"/>
                    <pic:cNvPicPr>
                      <a:picLocks noChangeAspect="1"/>
                    </pic:cNvPicPr>
                  </pic:nvPicPr>
                  <pic:blipFill>
                    <a:blip r:embed="rId70"/>
                    <a:stretch>
                      <a:fillRect/>
                    </a:stretch>
                  </pic:blipFill>
                  <pic:spPr>
                    <a:xfrm>
                      <a:off x="0" y="0"/>
                      <a:ext cx="5568950" cy="261175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3B8C716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w:t>
      </w:r>
      <w:r>
        <w:rPr>
          <w:rFonts w:hint="eastAsia"/>
        </w:rPr>
        <w:t>图4.7</w:t>
      </w:r>
      <w:r>
        <w:rPr>
          <w:rFonts w:hint="eastAsia"/>
          <w:lang w:val="en-US" w:eastAsia="zh-CN"/>
        </w:rPr>
        <w:t>所示</w:t>
      </w:r>
      <w:r>
        <w:rPr>
          <w:rFonts w:ascii="宋体" w:hAnsi="宋体" w:cs="宋体"/>
        </w:rPr>
        <w:t>的是</w:t>
      </w:r>
      <w:r>
        <w:rPr>
          <w:rFonts w:hint="eastAsia"/>
        </w:rPr>
        <w:t>古树名木检索模块的时序图。用户进入本系统后，进入古树名木检索页，请求调用接口/tree/getTreeInfo</w:t>
      </w:r>
      <w:r>
        <w:rPr>
          <w:rFonts w:hint="eastAsia"/>
          <w:lang w:val="en-US" w:eastAsia="zh-CN"/>
        </w:rPr>
        <w:t>检索</w:t>
      </w:r>
      <w:r>
        <w:rPr>
          <w:rFonts w:hint="eastAsia"/>
        </w:rPr>
        <w:t>接口，如果本地浏览器没有Cookie信息或Cookie过期，系统提示"未登录/过期请重新登录"；否则登录成功。检索前，系统需要有待检索数据，例如用户需先上传各类检索数据；用户上传检索图像或输入地理位置坐标（纬度、经度），选择检索模式（I2I图像检索、I2L以图搜位置、L2I以位置搜图），调用/tree/getTreeInfo接口（POST请求）。请求定位到TreeRetrieveController中的getTreeInfoByMultiModel方法，然后调用ITreeRetrieveService中的selectTreeInfoByMultiModel接口，进一步调用DHLAM模型服务生成128位哈希码，通过汉明距离计算相似度，返回Top-K相似结果。系统根据哈希码相似度排序查询古树名木信息，包括树名称、树高、树龄</w:t>
      </w:r>
      <w:r>
        <w:rPr>
          <w:rFonts w:hint="eastAsia"/>
          <w:lang w:val="en-US" w:eastAsia="zh-CN"/>
        </w:rPr>
        <w:t>和</w:t>
      </w:r>
      <w:r>
        <w:rPr>
          <w:rFonts w:hint="eastAsia"/>
        </w:rPr>
        <w:t>地理位置等信息。如果查询数据不存在，列表页返回空；否则前端渲染展示。</w:t>
      </w:r>
    </w:p>
    <w:p w14:paraId="4815DB51"/>
    <w:p w14:paraId="13696C7C">
      <w:pPr>
        <w:jc w:val="both"/>
      </w:pPr>
      <w:r>
        <w:drawing>
          <wp:inline distT="0" distB="0" distL="114300" distR="114300">
            <wp:extent cx="4624705" cy="5042535"/>
            <wp:effectExtent l="0" t="0" r="10795" b="12065"/>
            <wp:docPr id="3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3"/>
                    <pic:cNvPicPr>
                      <a:picLocks noChangeAspect="1"/>
                    </pic:cNvPicPr>
                  </pic:nvPicPr>
                  <pic:blipFill>
                    <a:blip r:embed="rId71"/>
                    <a:stretch>
                      <a:fillRect/>
                    </a:stretch>
                  </pic:blipFill>
                  <pic:spPr>
                    <a:xfrm>
                      <a:off x="0" y="0"/>
                      <a:ext cx="4624705" cy="5042535"/>
                    </a:xfrm>
                    <a:prstGeom prst="rect">
                      <a:avLst/>
                    </a:prstGeom>
                    <a:noFill/>
                    <a:ln>
                      <a:noFill/>
                    </a:ln>
                  </pic:spPr>
                </pic:pic>
              </a:graphicData>
            </a:graphic>
          </wp:inline>
        </w:drawing>
      </w:r>
    </w:p>
    <w:p w14:paraId="4E737E1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29B0F57D">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69B00F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4.8-4.10展示了系统三种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bookmarkStart w:id="235" w:name="_GoBack"/>
      <w:bookmarkEnd w:id="235"/>
    </w:p>
    <w:p w14:paraId="0A911EE0">
      <w:pPr>
        <w:bidi w:val="0"/>
        <w:ind w:firstLine="420" w:firstLineChars="0"/>
        <w:rPr>
          <w:rFonts w:hint="eastAsia"/>
        </w:rPr>
      </w:pPr>
    </w:p>
    <w:p w14:paraId="7C56C5E0">
      <w:pPr>
        <w:ind w:left="0" w:leftChars="0" w:firstLine="0" w:firstLineChars="0"/>
        <w:jc w:val="center"/>
      </w:pPr>
      <w:r>
        <w:drawing>
          <wp:inline distT="0" distB="0" distL="114300" distR="114300">
            <wp:extent cx="5056505" cy="3387725"/>
            <wp:effectExtent l="9525" t="9525" r="13970" b="19050"/>
            <wp:docPr id="3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8"/>
                    <pic:cNvPicPr>
                      <a:picLocks noChangeAspect="1"/>
                    </pic:cNvPicPr>
                  </pic:nvPicPr>
                  <pic:blipFill>
                    <a:blip r:embed="rId72"/>
                    <a:stretch>
                      <a:fillRect/>
                    </a:stretch>
                  </pic:blipFill>
                  <pic:spPr>
                    <a:xfrm>
                      <a:off x="0" y="0"/>
                      <a:ext cx="5056505" cy="338772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0F0B7AC1">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49C3838B">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143500" cy="3039745"/>
            <wp:effectExtent l="9525" t="9525" r="15875" b="11430"/>
            <wp:docPr id="4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0"/>
                    <pic:cNvPicPr>
                      <a:picLocks noChangeAspect="1"/>
                    </pic:cNvPicPr>
                  </pic:nvPicPr>
                  <pic:blipFill>
                    <a:blip r:embed="rId73"/>
                    <a:stretch>
                      <a:fillRect/>
                    </a:stretch>
                  </pic:blipFill>
                  <pic:spPr>
                    <a:xfrm>
                      <a:off x="0" y="0"/>
                      <a:ext cx="5143500" cy="303974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212715" cy="2794000"/>
            <wp:effectExtent l="9525" t="9525" r="10160" b="15875"/>
            <wp:docPr id="4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2"/>
                    <pic:cNvPicPr>
                      <a:picLocks noChangeAspect="1"/>
                    </pic:cNvPicPr>
                  </pic:nvPicPr>
                  <pic:blipFill>
                    <a:blip r:embed="rId74"/>
                    <a:stretch>
                      <a:fillRect/>
                    </a:stretch>
                  </pic:blipFill>
                  <pic:spPr>
                    <a:xfrm>
                      <a:off x="0" y="0"/>
                      <a:ext cx="5212715" cy="279400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1B75021C">
      <w:pPr>
        <w:jc w:val="both"/>
      </w:pP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系统测试分为功能性测试（基于测试用例）与非功能性（如性能和兼容性等方面）两部分。这一部分会对测试结果进行详细的说明，并对系统的品质和稳定性进行评价。</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402BFC9A">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5</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6</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9"/>
        <w:gridCol w:w="1183"/>
        <w:gridCol w:w="3391"/>
        <w:gridCol w:w="2504"/>
        <w:gridCol w:w="790"/>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9"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183" w:type="dxa"/>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391"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9"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183" w:type="dxa"/>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391"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89"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183" w:type="dxa"/>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391"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89"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183" w:type="dxa"/>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391"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89"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1183" w:type="dxa"/>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391"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89"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183" w:type="dxa"/>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391"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89"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183"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391"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04"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成功显示古树详细信息页面</w:t>
            </w:r>
          </w:p>
        </w:tc>
        <w:tc>
          <w:tcPr>
            <w:tcW w:w="789"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4.6所示，展示用户操作古树名木检索模块的测试用例表。包括图</w:t>
      </w:r>
      <w:r>
        <w:rPr>
          <w:rFonts w:hint="eastAsia"/>
          <w:lang w:val="en-US" w:eastAsia="zh-CN"/>
        </w:rPr>
        <w:t>像到图</w:t>
      </w:r>
      <w:r>
        <w:rPr>
          <w:rFonts w:hint="eastAsia"/>
        </w:rPr>
        <w:t>像检索、</w:t>
      </w:r>
      <w:r>
        <w:rPr>
          <w:rFonts w:hint="eastAsia"/>
          <w:lang w:val="en-US" w:eastAsia="zh-CN"/>
        </w:rPr>
        <w:t>图像到位置</w:t>
      </w:r>
      <w:r>
        <w:rPr>
          <w:rFonts w:hint="eastAsia"/>
        </w:rPr>
        <w:t>检索</w:t>
      </w:r>
      <w:r>
        <w:rPr>
          <w:rFonts w:hint="eastAsia"/>
          <w:lang w:val="en-US" w:eastAsia="zh-CN"/>
        </w:rPr>
        <w:t>和位置到图像</w:t>
      </w:r>
      <w:r>
        <w:rPr>
          <w:rFonts w:hint="eastAsia"/>
        </w:rPr>
        <w:t>检索、格式校验和结果查看等功能。所有测试用例均通过，表明检索功能符合设计要求。</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48116F22">
      <w:pPr>
        <w:ind w:firstLine="420"/>
        <w:rPr>
          <w:rFonts w:hint="eastAsia"/>
        </w:rPr>
      </w:pPr>
    </w:p>
    <w:p w14:paraId="51FE4496">
      <w:pPr>
        <w:bidi w:val="0"/>
        <w:rPr>
          <w:rFonts w:hint="eastAsia"/>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初步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7441"/>
      <w:bookmarkStart w:id="180" w:name="_Toc2695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针对古树名木检索存在的样本类别不平衡、哈希码判别性不足等问题，本文提出了DHLAM模型。该模型设计轻量化的位置编码器将地理位置元数据融入视觉特征，采用Triplet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为全方位检验DHLAM模型的性能，本文采用"通用数据集预训练+领域数据集验证"的技术路线：在iNaturalist 2018数据集上进行模型预训练和通用性能评估，验证DHLAM的基础检索能力和跨类别泛化性能；在自建BFATH古树名木数据集上进行领域微调和消融实验，验证模型在真实古树名木场景中的有效性。实验结果表明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检索系统，集成DHLAM模型实现多模态数据检索及管理功能。系统主要由古树名木数据管理、智能检索（以图搜图、以图搜位置、以位置搜图）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智能农业等多个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3"/>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利用大规模无标注图像数据学习更鲁棒的视觉表征，进一步提升模型对弱标注数据或新物种的泛化能力。</w:t>
      </w:r>
    </w:p>
    <w:p w14:paraId="16B9F5B5">
      <w:pPr>
        <w:numPr>
          <w:ilvl w:val="0"/>
          <w:numId w:val="13"/>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3"/>
        </w:numPr>
        <w:ind w:firstLine="420"/>
        <w:jc w:val="left"/>
      </w:pPr>
      <w:r>
        <w:rPr>
          <w:rFonts w:hint="eastAsia"/>
        </w:rPr>
        <w:t>实验验证层面，本文受限于计算资源，对比实验采用单次运行（seed=42）并以三个代表性单模态基线（HashNet、DCH和MDSH）进行对比。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3"/>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）与哈希码固有的存储优势，实现模型在园林移动终端或无人机采集设备上的边缘部署，满足"随拍随检索"的现场应用需求。</w:t>
      </w:r>
    </w:p>
    <w:p w14:paraId="52CF69EB">
      <w:pPr>
        <w:numPr>
          <w:ilvl w:val="0"/>
          <w:numId w:val="13"/>
        </w:numPr>
        <w:ind w:firstLine="420"/>
        <w:jc w:val="left"/>
      </w:pPr>
      <w:r>
        <w:rPr>
          <w:rFonts w:hint="eastAsia"/>
        </w:rPr>
        <w:t>应用层面，DHLAM模型在iNaturalist到BFATH的迁移中展现了一定的领域适应能力，未来可进一步探索其在中草药识别、农作物分类或植物病虫害检测等场景</w:t>
      </w:r>
      <w:r>
        <w:rPr>
          <w:rFonts w:hint="eastAsia"/>
          <w:lang w:val="en-US" w:eastAsia="zh-CN"/>
        </w:rPr>
        <w:t>的应用</w:t>
      </w:r>
      <w:r>
        <w:rPr>
          <w:rFonts w:hint="eastAsia"/>
        </w:rPr>
        <w:t>，支撑更多自然资源信息化管理系统的构建，进一步拓展模型与系统的应用范围。</w:t>
      </w:r>
    </w:p>
    <w:p w14:paraId="7A1F4CFC">
      <w:pPr>
        <w:jc w:val="left"/>
        <w:rPr>
          <w:rFonts w:hint="eastAsia" w:ascii="黑体" w:hAnsi="黑体" w:eastAsia="黑体" w:cs="黑体"/>
          <w:sz w:val="32"/>
          <w:szCs w:val="32"/>
        </w:rPr>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9" w:type="default"/>
      <w:headerReference r:id="rId3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小宋" w:date="2026-05-14T20:47:49Z" w:initials="">
    <w:p w14:paraId="078B58D7">
      <w:pPr>
        <w:pStyle w:val="11"/>
        <w:rPr>
          <w:rFonts w:hint="default" w:eastAsia="宋体"/>
          <w:lang w:val="en-US" w:eastAsia="zh-CN"/>
        </w:rPr>
      </w:pPr>
      <w:r>
        <w:rPr>
          <w:rFonts w:hint="eastAsia"/>
          <w:lang w:val="en-US" w:eastAsia="zh-CN"/>
        </w:rPr>
        <w:t>是否要删除？</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8B58D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num w:numId="1">
    <w:abstractNumId w:val="11"/>
  </w:num>
  <w:num w:numId="2">
    <w:abstractNumId w:val="12"/>
  </w:num>
  <w:num w:numId="3">
    <w:abstractNumId w:val="3"/>
  </w:num>
  <w:num w:numId="4">
    <w:abstractNumId w:val="5"/>
  </w:num>
  <w:num w:numId="5">
    <w:abstractNumId w:val="4"/>
  </w:num>
  <w:num w:numId="6">
    <w:abstractNumId w:val="8"/>
  </w:num>
  <w:num w:numId="7">
    <w:abstractNumId w:val="9"/>
  </w:num>
  <w:num w:numId="8">
    <w:abstractNumId w:val="2"/>
  </w:num>
  <w:num w:numId="9">
    <w:abstractNumId w:val="10"/>
  </w:num>
  <w:num w:numId="10">
    <w:abstractNumId w:val="0"/>
  </w:num>
  <w:num w:numId="11">
    <w:abstractNumId w:val="7"/>
  </w:num>
  <w:num w:numId="12">
    <w:abstractNumId w:val="13"/>
  </w:num>
  <w:num w:numId="13">
    <w:abstractNumId w:val="1"/>
  </w:num>
  <w:num w:numId="14">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小宋">
    <w15:presenceInfo w15:providerId="WPS Office" w15:userId="3557210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97E41"/>
    <w:rsid w:val="018A79CF"/>
    <w:rsid w:val="018E7169"/>
    <w:rsid w:val="01981D96"/>
    <w:rsid w:val="01992300"/>
    <w:rsid w:val="019A6605"/>
    <w:rsid w:val="01AC2E0D"/>
    <w:rsid w:val="01B3097E"/>
    <w:rsid w:val="01BB2E56"/>
    <w:rsid w:val="01C761D7"/>
    <w:rsid w:val="01C81F50"/>
    <w:rsid w:val="01E62509"/>
    <w:rsid w:val="01EB11E6"/>
    <w:rsid w:val="01F86CD9"/>
    <w:rsid w:val="02105DD0"/>
    <w:rsid w:val="0216715F"/>
    <w:rsid w:val="021C29C7"/>
    <w:rsid w:val="021D04ED"/>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54D5"/>
    <w:rsid w:val="03DF418D"/>
    <w:rsid w:val="03EF1DEA"/>
    <w:rsid w:val="03EF5703"/>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C438E3"/>
    <w:rsid w:val="05CA2841"/>
    <w:rsid w:val="05CC64B2"/>
    <w:rsid w:val="05D215EF"/>
    <w:rsid w:val="05D55F1F"/>
    <w:rsid w:val="05DC421B"/>
    <w:rsid w:val="05E23D78"/>
    <w:rsid w:val="05E30006"/>
    <w:rsid w:val="05E57574"/>
    <w:rsid w:val="05E732EE"/>
    <w:rsid w:val="05E80ABB"/>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7124E4"/>
    <w:rsid w:val="0D7E29E9"/>
    <w:rsid w:val="0D7F66C1"/>
    <w:rsid w:val="0D814026"/>
    <w:rsid w:val="0D903407"/>
    <w:rsid w:val="0D9553DC"/>
    <w:rsid w:val="0D9B5E18"/>
    <w:rsid w:val="0D9DF329"/>
    <w:rsid w:val="0D9E2E2F"/>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5139F9"/>
    <w:rsid w:val="0E5F3B43"/>
    <w:rsid w:val="0E6772DC"/>
    <w:rsid w:val="0E7862A5"/>
    <w:rsid w:val="0EB2602B"/>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705359"/>
    <w:rsid w:val="0F8D0B11"/>
    <w:rsid w:val="0F8D6756"/>
    <w:rsid w:val="0F915C8D"/>
    <w:rsid w:val="0F917F09"/>
    <w:rsid w:val="0F9815A7"/>
    <w:rsid w:val="0F9F6E61"/>
    <w:rsid w:val="0F9FEC04"/>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7E6912"/>
    <w:rsid w:val="13B73651"/>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F77BF"/>
    <w:rsid w:val="18936E6A"/>
    <w:rsid w:val="18A474FD"/>
    <w:rsid w:val="18B6485F"/>
    <w:rsid w:val="18C272A1"/>
    <w:rsid w:val="18C33745"/>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F6B87"/>
    <w:rsid w:val="1CF7216B"/>
    <w:rsid w:val="1CF74DC1"/>
    <w:rsid w:val="1CFA1A56"/>
    <w:rsid w:val="1CFE9920"/>
    <w:rsid w:val="1CFED7A3"/>
    <w:rsid w:val="1D201C64"/>
    <w:rsid w:val="1D222A1E"/>
    <w:rsid w:val="1D365280"/>
    <w:rsid w:val="1D390EE0"/>
    <w:rsid w:val="1D5B8306"/>
    <w:rsid w:val="1D631052"/>
    <w:rsid w:val="1D7702A0"/>
    <w:rsid w:val="1D7D9222"/>
    <w:rsid w:val="1D816BAA"/>
    <w:rsid w:val="1D83660F"/>
    <w:rsid w:val="1D9A4E1B"/>
    <w:rsid w:val="1DA5DDDE"/>
    <w:rsid w:val="1DB05516"/>
    <w:rsid w:val="1DB16262"/>
    <w:rsid w:val="1DB261F1"/>
    <w:rsid w:val="1DB878B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393083"/>
    <w:rsid w:val="23447230"/>
    <w:rsid w:val="234B6EA1"/>
    <w:rsid w:val="23575CBD"/>
    <w:rsid w:val="23671545"/>
    <w:rsid w:val="236721C2"/>
    <w:rsid w:val="23713D9D"/>
    <w:rsid w:val="237B1B7A"/>
    <w:rsid w:val="23855009"/>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3AE4"/>
    <w:rsid w:val="241A4943"/>
    <w:rsid w:val="241B5E88"/>
    <w:rsid w:val="241E3E9B"/>
    <w:rsid w:val="241E3F25"/>
    <w:rsid w:val="241F1A4B"/>
    <w:rsid w:val="24285418"/>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E36B4"/>
    <w:rsid w:val="24E3255D"/>
    <w:rsid w:val="250724F1"/>
    <w:rsid w:val="25096983"/>
    <w:rsid w:val="251E1D03"/>
    <w:rsid w:val="25284981"/>
    <w:rsid w:val="252B12D5"/>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776A47"/>
    <w:rsid w:val="277BA0C9"/>
    <w:rsid w:val="277F4F5C"/>
    <w:rsid w:val="277F682C"/>
    <w:rsid w:val="277F823F"/>
    <w:rsid w:val="278372B0"/>
    <w:rsid w:val="278F089F"/>
    <w:rsid w:val="27904D63"/>
    <w:rsid w:val="2793524C"/>
    <w:rsid w:val="27972FEB"/>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331DAD"/>
    <w:rsid w:val="2A4254F9"/>
    <w:rsid w:val="2A450AA9"/>
    <w:rsid w:val="2A600439"/>
    <w:rsid w:val="2A70221C"/>
    <w:rsid w:val="2A77613D"/>
    <w:rsid w:val="2A7E77AA"/>
    <w:rsid w:val="2A7F16E5"/>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84A5A"/>
    <w:rsid w:val="2F4A524B"/>
    <w:rsid w:val="2F4ECA34"/>
    <w:rsid w:val="2F520F27"/>
    <w:rsid w:val="2F590474"/>
    <w:rsid w:val="2F5E7578"/>
    <w:rsid w:val="2F6209CB"/>
    <w:rsid w:val="2F6AC57B"/>
    <w:rsid w:val="2F754C15"/>
    <w:rsid w:val="2F75C4AC"/>
    <w:rsid w:val="2F7A423F"/>
    <w:rsid w:val="2F7B4C9E"/>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D1498"/>
    <w:rsid w:val="31F84007"/>
    <w:rsid w:val="31F92B93"/>
    <w:rsid w:val="31FD75B6"/>
    <w:rsid w:val="31FF5BF5"/>
    <w:rsid w:val="32036508"/>
    <w:rsid w:val="320D5506"/>
    <w:rsid w:val="32130E41"/>
    <w:rsid w:val="32150497"/>
    <w:rsid w:val="3221139E"/>
    <w:rsid w:val="322E72FD"/>
    <w:rsid w:val="32382656"/>
    <w:rsid w:val="323B4D81"/>
    <w:rsid w:val="323D1712"/>
    <w:rsid w:val="324C128E"/>
    <w:rsid w:val="324C29D3"/>
    <w:rsid w:val="32516C6C"/>
    <w:rsid w:val="32564372"/>
    <w:rsid w:val="325E7BE3"/>
    <w:rsid w:val="325F069F"/>
    <w:rsid w:val="326BA840"/>
    <w:rsid w:val="326C67A3"/>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52BE2"/>
    <w:rsid w:val="33B57CD6"/>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F1F4D"/>
    <w:rsid w:val="354237EC"/>
    <w:rsid w:val="35457A02"/>
    <w:rsid w:val="354C4FE6"/>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DBCD8"/>
    <w:rsid w:val="35DF9F6B"/>
    <w:rsid w:val="35E30B2B"/>
    <w:rsid w:val="35E50E0A"/>
    <w:rsid w:val="35EA0E10"/>
    <w:rsid w:val="35F04FF6"/>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5A5A"/>
    <w:rsid w:val="381646D1"/>
    <w:rsid w:val="381A7091"/>
    <w:rsid w:val="38260110"/>
    <w:rsid w:val="38267406"/>
    <w:rsid w:val="38353D62"/>
    <w:rsid w:val="384F06F9"/>
    <w:rsid w:val="384F6F52"/>
    <w:rsid w:val="386046B4"/>
    <w:rsid w:val="386677F1"/>
    <w:rsid w:val="386F36AB"/>
    <w:rsid w:val="38740E0B"/>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15142C"/>
    <w:rsid w:val="39164781"/>
    <w:rsid w:val="39183451"/>
    <w:rsid w:val="391919F8"/>
    <w:rsid w:val="391B523E"/>
    <w:rsid w:val="391F4E2B"/>
    <w:rsid w:val="392F206B"/>
    <w:rsid w:val="393666B9"/>
    <w:rsid w:val="3938118D"/>
    <w:rsid w:val="393D157A"/>
    <w:rsid w:val="393D6750"/>
    <w:rsid w:val="393F216E"/>
    <w:rsid w:val="394144E6"/>
    <w:rsid w:val="395A56E8"/>
    <w:rsid w:val="395B4B56"/>
    <w:rsid w:val="395FC45A"/>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F1BFF"/>
    <w:rsid w:val="3A31337A"/>
    <w:rsid w:val="3A43428E"/>
    <w:rsid w:val="3A4A1178"/>
    <w:rsid w:val="3A572B32"/>
    <w:rsid w:val="3A6C4ACA"/>
    <w:rsid w:val="3A7F1959"/>
    <w:rsid w:val="3A7F65B4"/>
    <w:rsid w:val="3A822988"/>
    <w:rsid w:val="3A9E1B37"/>
    <w:rsid w:val="3A9F85AD"/>
    <w:rsid w:val="3AA54601"/>
    <w:rsid w:val="3AA97077"/>
    <w:rsid w:val="3AAC215F"/>
    <w:rsid w:val="3AAE15B7"/>
    <w:rsid w:val="3AB4098F"/>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5213D1"/>
    <w:rsid w:val="3F57187F"/>
    <w:rsid w:val="3F57EB65"/>
    <w:rsid w:val="3F5B8693"/>
    <w:rsid w:val="3F5C54AA"/>
    <w:rsid w:val="3F5DDCE0"/>
    <w:rsid w:val="3F66537D"/>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51261"/>
    <w:rsid w:val="409638D0"/>
    <w:rsid w:val="40A225F6"/>
    <w:rsid w:val="40A30188"/>
    <w:rsid w:val="40B437EF"/>
    <w:rsid w:val="40CA66A9"/>
    <w:rsid w:val="40D211F8"/>
    <w:rsid w:val="40D847A6"/>
    <w:rsid w:val="40DFCB59"/>
    <w:rsid w:val="40E31DBF"/>
    <w:rsid w:val="410B53D9"/>
    <w:rsid w:val="410D2260"/>
    <w:rsid w:val="411424E0"/>
    <w:rsid w:val="4116725D"/>
    <w:rsid w:val="411C61E6"/>
    <w:rsid w:val="41297BA8"/>
    <w:rsid w:val="41326E0A"/>
    <w:rsid w:val="41425B1E"/>
    <w:rsid w:val="41435F45"/>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B850ED"/>
    <w:rsid w:val="42BD50C4"/>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137209"/>
    <w:rsid w:val="44147C24"/>
    <w:rsid w:val="441647C1"/>
    <w:rsid w:val="44174FED"/>
    <w:rsid w:val="443A33D4"/>
    <w:rsid w:val="444078CC"/>
    <w:rsid w:val="44421112"/>
    <w:rsid w:val="4454106F"/>
    <w:rsid w:val="445554AC"/>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77349"/>
    <w:rsid w:val="4678706D"/>
    <w:rsid w:val="467EC14B"/>
    <w:rsid w:val="468537C7"/>
    <w:rsid w:val="469B1347"/>
    <w:rsid w:val="469D7C80"/>
    <w:rsid w:val="46A11B2B"/>
    <w:rsid w:val="46A20D18"/>
    <w:rsid w:val="46AE157B"/>
    <w:rsid w:val="46B75D3F"/>
    <w:rsid w:val="46BF6A4A"/>
    <w:rsid w:val="46C55DB4"/>
    <w:rsid w:val="46CA5C0C"/>
    <w:rsid w:val="46CC1DEE"/>
    <w:rsid w:val="46DA0CA5"/>
    <w:rsid w:val="46E14C12"/>
    <w:rsid w:val="46FE52B2"/>
    <w:rsid w:val="470B038B"/>
    <w:rsid w:val="471F1BDF"/>
    <w:rsid w:val="472B75FD"/>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5A31E5"/>
    <w:rsid w:val="4B5B750A"/>
    <w:rsid w:val="4B5C51AF"/>
    <w:rsid w:val="4B62560B"/>
    <w:rsid w:val="4B6D2F19"/>
    <w:rsid w:val="4B6E90D0"/>
    <w:rsid w:val="4B756F90"/>
    <w:rsid w:val="4B7D7331"/>
    <w:rsid w:val="4B7F00EF"/>
    <w:rsid w:val="4B8F1A2B"/>
    <w:rsid w:val="4B9B0716"/>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20442F"/>
    <w:rsid w:val="4C2A0B13"/>
    <w:rsid w:val="4C2FF311"/>
    <w:rsid w:val="4C304467"/>
    <w:rsid w:val="4C3A1686"/>
    <w:rsid w:val="4C3FA161"/>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A2A90"/>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D0B1E"/>
    <w:rsid w:val="4F1EE549"/>
    <w:rsid w:val="4F20252F"/>
    <w:rsid w:val="4F243B24"/>
    <w:rsid w:val="4F244AED"/>
    <w:rsid w:val="4F257E7F"/>
    <w:rsid w:val="4F2C6C47"/>
    <w:rsid w:val="4F325912"/>
    <w:rsid w:val="4F391364"/>
    <w:rsid w:val="4F3A5808"/>
    <w:rsid w:val="4F3D19A2"/>
    <w:rsid w:val="4F3EA466"/>
    <w:rsid w:val="4F4F1436"/>
    <w:rsid w:val="4F5AAA15"/>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7252B8"/>
    <w:rsid w:val="527F3531"/>
    <w:rsid w:val="52842483"/>
    <w:rsid w:val="52854FEC"/>
    <w:rsid w:val="528C3065"/>
    <w:rsid w:val="528E4FD1"/>
    <w:rsid w:val="52921B66"/>
    <w:rsid w:val="52953B57"/>
    <w:rsid w:val="52976ACD"/>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658BC"/>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2413C"/>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A55C04"/>
    <w:rsid w:val="56A773DF"/>
    <w:rsid w:val="56B063AF"/>
    <w:rsid w:val="56B1700C"/>
    <w:rsid w:val="56B315F3"/>
    <w:rsid w:val="56B42C4F"/>
    <w:rsid w:val="56B94712"/>
    <w:rsid w:val="56BA4ED8"/>
    <w:rsid w:val="56C0241F"/>
    <w:rsid w:val="56CC2C4E"/>
    <w:rsid w:val="56D13F4F"/>
    <w:rsid w:val="56D5201D"/>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C6BD7"/>
    <w:rsid w:val="58C12AF6"/>
    <w:rsid w:val="58CF0EC3"/>
    <w:rsid w:val="58D223E9"/>
    <w:rsid w:val="58D42829"/>
    <w:rsid w:val="58E4189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7476F4"/>
    <w:rsid w:val="5A778387"/>
    <w:rsid w:val="5A7FB459"/>
    <w:rsid w:val="5A7FC531"/>
    <w:rsid w:val="5A820063"/>
    <w:rsid w:val="5A9009D2"/>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115F5"/>
    <w:rsid w:val="5F1C04EC"/>
    <w:rsid w:val="5F1F6D1C"/>
    <w:rsid w:val="5F266BF2"/>
    <w:rsid w:val="5F33406F"/>
    <w:rsid w:val="5F3B00B7"/>
    <w:rsid w:val="5F3B879D"/>
    <w:rsid w:val="5F3D3904"/>
    <w:rsid w:val="5F447FDD"/>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734E4"/>
    <w:rsid w:val="600C2CBA"/>
    <w:rsid w:val="60151D76"/>
    <w:rsid w:val="603E2C7E"/>
    <w:rsid w:val="60590E6C"/>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59CDB"/>
    <w:rsid w:val="63B6D1AA"/>
    <w:rsid w:val="63BCE1DB"/>
    <w:rsid w:val="63C02548"/>
    <w:rsid w:val="63C139AA"/>
    <w:rsid w:val="63C2364D"/>
    <w:rsid w:val="63C45C6D"/>
    <w:rsid w:val="63CA2C86"/>
    <w:rsid w:val="63CA2F0F"/>
    <w:rsid w:val="63CC6F84"/>
    <w:rsid w:val="63DF2BD6"/>
    <w:rsid w:val="63DF51BF"/>
    <w:rsid w:val="63E1229E"/>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D28462"/>
    <w:rsid w:val="64D52140"/>
    <w:rsid w:val="64E2007C"/>
    <w:rsid w:val="64F37F38"/>
    <w:rsid w:val="64F733FB"/>
    <w:rsid w:val="64FB166D"/>
    <w:rsid w:val="64FB54D8"/>
    <w:rsid w:val="65000502"/>
    <w:rsid w:val="65011CE3"/>
    <w:rsid w:val="6535587B"/>
    <w:rsid w:val="653A5A1F"/>
    <w:rsid w:val="653E3153"/>
    <w:rsid w:val="653F6933"/>
    <w:rsid w:val="655C266C"/>
    <w:rsid w:val="655C5011"/>
    <w:rsid w:val="65627A2D"/>
    <w:rsid w:val="656C5E2C"/>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E0EA7"/>
    <w:rsid w:val="66707909"/>
    <w:rsid w:val="66719BEB"/>
    <w:rsid w:val="6673F737"/>
    <w:rsid w:val="669FB48C"/>
    <w:rsid w:val="66AD3308"/>
    <w:rsid w:val="66B479E6"/>
    <w:rsid w:val="66B75069"/>
    <w:rsid w:val="66B75538"/>
    <w:rsid w:val="66BC66AA"/>
    <w:rsid w:val="66BF2810"/>
    <w:rsid w:val="66C35E68"/>
    <w:rsid w:val="66C72837"/>
    <w:rsid w:val="66CA7019"/>
    <w:rsid w:val="66CC3515"/>
    <w:rsid w:val="66CD2666"/>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E55AC"/>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933FE"/>
    <w:rsid w:val="69BB0F42"/>
    <w:rsid w:val="69BD2E65"/>
    <w:rsid w:val="69BF4AFE"/>
    <w:rsid w:val="69C112CB"/>
    <w:rsid w:val="69C27265"/>
    <w:rsid w:val="69C9A2A1"/>
    <w:rsid w:val="69D463EC"/>
    <w:rsid w:val="69D7B2D3"/>
    <w:rsid w:val="69D7D3AE"/>
    <w:rsid w:val="69DC3906"/>
    <w:rsid w:val="69DD351E"/>
    <w:rsid w:val="69DF0F75"/>
    <w:rsid w:val="69E77EE2"/>
    <w:rsid w:val="69E845DB"/>
    <w:rsid w:val="69F95D7E"/>
    <w:rsid w:val="69FBB7B2"/>
    <w:rsid w:val="69FC7113"/>
    <w:rsid w:val="69FDD612"/>
    <w:rsid w:val="69FF2E20"/>
    <w:rsid w:val="6A0720EC"/>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F06A8"/>
    <w:rsid w:val="6CBFDB77"/>
    <w:rsid w:val="6CBFFA36"/>
    <w:rsid w:val="6CCD0829"/>
    <w:rsid w:val="6CD3A16D"/>
    <w:rsid w:val="6CD41B88"/>
    <w:rsid w:val="6CD53F3B"/>
    <w:rsid w:val="6CD544BD"/>
    <w:rsid w:val="6CDA45A0"/>
    <w:rsid w:val="6CDE738C"/>
    <w:rsid w:val="6CE33FE7"/>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315BD"/>
    <w:rsid w:val="71193077"/>
    <w:rsid w:val="71297032"/>
    <w:rsid w:val="71385DC9"/>
    <w:rsid w:val="713A123F"/>
    <w:rsid w:val="713C6F4A"/>
    <w:rsid w:val="714E0847"/>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58E87"/>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D9285A"/>
    <w:rsid w:val="72E32DBD"/>
    <w:rsid w:val="72E901C2"/>
    <w:rsid w:val="72F69611"/>
    <w:rsid w:val="72FDA2BA"/>
    <w:rsid w:val="72FF2499"/>
    <w:rsid w:val="72FF520B"/>
    <w:rsid w:val="72FF8ED4"/>
    <w:rsid w:val="72FFB7B2"/>
    <w:rsid w:val="73154783"/>
    <w:rsid w:val="731D7050"/>
    <w:rsid w:val="73243F55"/>
    <w:rsid w:val="732D68E9"/>
    <w:rsid w:val="73304F94"/>
    <w:rsid w:val="733F154F"/>
    <w:rsid w:val="735707AE"/>
    <w:rsid w:val="735F2339"/>
    <w:rsid w:val="7367064C"/>
    <w:rsid w:val="736A4BDB"/>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96B62"/>
    <w:rsid w:val="74C9BB6B"/>
    <w:rsid w:val="74D572EF"/>
    <w:rsid w:val="74DD43BC"/>
    <w:rsid w:val="74DEF75A"/>
    <w:rsid w:val="74E9318D"/>
    <w:rsid w:val="74EE0377"/>
    <w:rsid w:val="74FFB4F5"/>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A1B42"/>
    <w:rsid w:val="773A5684"/>
    <w:rsid w:val="773FEE1B"/>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744F9"/>
    <w:rsid w:val="7949283E"/>
    <w:rsid w:val="7956C4D4"/>
    <w:rsid w:val="7957C04A"/>
    <w:rsid w:val="79584959"/>
    <w:rsid w:val="7959033E"/>
    <w:rsid w:val="795A422D"/>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3039AA"/>
    <w:rsid w:val="7E375DA9"/>
    <w:rsid w:val="7E38660D"/>
    <w:rsid w:val="7E3A29EB"/>
    <w:rsid w:val="7E3AA226"/>
    <w:rsid w:val="7E3B29BD"/>
    <w:rsid w:val="7E3BAA8D"/>
    <w:rsid w:val="7E3BDFD4"/>
    <w:rsid w:val="7E3F60E7"/>
    <w:rsid w:val="7E3F7E27"/>
    <w:rsid w:val="7E3F7E95"/>
    <w:rsid w:val="7E47668B"/>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8" Type="http://schemas.microsoft.com/office/2011/relationships/people" Target="people.xml"/><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43.png"/><Relationship Id="rId73" Type="http://schemas.openxmlformats.org/officeDocument/2006/relationships/image" Target="media/image42.png"/><Relationship Id="rId72" Type="http://schemas.openxmlformats.org/officeDocument/2006/relationships/image" Target="media/image41.png"/><Relationship Id="rId71" Type="http://schemas.openxmlformats.org/officeDocument/2006/relationships/image" Target="media/image40.png"/><Relationship Id="rId70" Type="http://schemas.openxmlformats.org/officeDocument/2006/relationships/image" Target="media/image39.png"/><Relationship Id="rId7" Type="http://schemas.openxmlformats.org/officeDocument/2006/relationships/header" Target="header1.xml"/><Relationship Id="rId69" Type="http://schemas.openxmlformats.org/officeDocument/2006/relationships/image" Target="media/image38.png"/><Relationship Id="rId68" Type="http://schemas.openxmlformats.org/officeDocument/2006/relationships/image" Target="media/image37.png"/><Relationship Id="rId67" Type="http://schemas.openxmlformats.org/officeDocument/2006/relationships/image" Target="media/image36.svg"/><Relationship Id="rId66" Type="http://schemas.openxmlformats.org/officeDocument/2006/relationships/image" Target="media/image35.png"/><Relationship Id="rId65" Type="http://schemas.openxmlformats.org/officeDocument/2006/relationships/image" Target="media/image34.svg"/><Relationship Id="rId64" Type="http://schemas.openxmlformats.org/officeDocument/2006/relationships/image" Target="media/image33.png"/><Relationship Id="rId63" Type="http://schemas.openxmlformats.org/officeDocument/2006/relationships/image" Target="media/image32.png"/><Relationship Id="rId62" Type="http://schemas.openxmlformats.org/officeDocument/2006/relationships/image" Target="media/image31.png"/><Relationship Id="rId61" Type="http://schemas.openxmlformats.org/officeDocument/2006/relationships/image" Target="media/image30.png"/><Relationship Id="rId60" Type="http://schemas.openxmlformats.org/officeDocument/2006/relationships/image" Target="media/image29.png"/><Relationship Id="rId6" Type="http://schemas.openxmlformats.org/officeDocument/2006/relationships/endnotes" Target="endnotes.xml"/><Relationship Id="rId59" Type="http://schemas.openxmlformats.org/officeDocument/2006/relationships/image" Target="media/image28.png"/><Relationship Id="rId58" Type="http://schemas.openxmlformats.org/officeDocument/2006/relationships/image" Target="media/image27.svg"/><Relationship Id="rId57" Type="http://schemas.openxmlformats.org/officeDocument/2006/relationships/image" Target="media/image26.png"/><Relationship Id="rId56" Type="http://schemas.openxmlformats.org/officeDocument/2006/relationships/image" Target="media/image25.svg"/><Relationship Id="rId55" Type="http://schemas.openxmlformats.org/officeDocument/2006/relationships/image" Target="media/image24.png"/><Relationship Id="rId54" Type="http://schemas.openxmlformats.org/officeDocument/2006/relationships/image" Target="media/image23.svg"/><Relationship Id="rId53" Type="http://schemas.openxmlformats.org/officeDocument/2006/relationships/image" Target="media/image22.png"/><Relationship Id="rId52" Type="http://schemas.openxmlformats.org/officeDocument/2006/relationships/image" Target="media/image21.svg"/><Relationship Id="rId51" Type="http://schemas.openxmlformats.org/officeDocument/2006/relationships/image" Target="media/image20.png"/><Relationship Id="rId50" Type="http://schemas.openxmlformats.org/officeDocument/2006/relationships/image" Target="media/image19.png"/><Relationship Id="rId5" Type="http://schemas.openxmlformats.org/officeDocument/2006/relationships/footnotes" Target="footnotes.xml"/><Relationship Id="rId49" Type="http://schemas.openxmlformats.org/officeDocument/2006/relationships/image" Target="media/image18.png"/><Relationship Id="rId48" Type="http://schemas.openxmlformats.org/officeDocument/2006/relationships/image" Target="media/image17.png"/><Relationship Id="rId47" Type="http://schemas.openxmlformats.org/officeDocument/2006/relationships/image" Target="media/image16.svg"/><Relationship Id="rId46" Type="http://schemas.openxmlformats.org/officeDocument/2006/relationships/image" Target="media/image15.png"/><Relationship Id="rId45" Type="http://schemas.openxmlformats.org/officeDocument/2006/relationships/image" Target="media/image14.svg"/><Relationship Id="rId44" Type="http://schemas.openxmlformats.org/officeDocument/2006/relationships/image" Target="media/image13.png"/><Relationship Id="rId43" Type="http://schemas.openxmlformats.org/officeDocument/2006/relationships/image" Target="media/image12.svg"/><Relationship Id="rId42" Type="http://schemas.openxmlformats.org/officeDocument/2006/relationships/image" Target="media/image11.png"/><Relationship Id="rId41" Type="http://schemas.openxmlformats.org/officeDocument/2006/relationships/image" Target="media/image10.svg"/><Relationship Id="rId40" Type="http://schemas.openxmlformats.org/officeDocument/2006/relationships/image" Target="media/image9.png"/><Relationship Id="rId4" Type="http://schemas.microsoft.com/office/2011/relationships/commentsExtended" Target="commentsExtended.xml"/><Relationship Id="rId39" Type="http://schemas.openxmlformats.org/officeDocument/2006/relationships/image" Target="media/image8.svg"/><Relationship Id="rId38" Type="http://schemas.openxmlformats.org/officeDocument/2006/relationships/image" Target="media/image7.png"/><Relationship Id="rId37" Type="http://schemas.openxmlformats.org/officeDocument/2006/relationships/image" Target="media/image6.svg"/><Relationship Id="rId36" Type="http://schemas.openxmlformats.org/officeDocument/2006/relationships/image" Target="media/image5.png"/><Relationship Id="rId35" Type="http://schemas.openxmlformats.org/officeDocument/2006/relationships/image" Target="media/image4.svg"/><Relationship Id="rId34" Type="http://schemas.openxmlformats.org/officeDocument/2006/relationships/image" Target="media/image3.png"/><Relationship Id="rId33" Type="http://schemas.openxmlformats.org/officeDocument/2006/relationships/image" Target="media/image2.png"/><Relationship Id="rId32" Type="http://schemas.openxmlformats.org/officeDocument/2006/relationships/image" Target="media/image1.emf"/><Relationship Id="rId31" Type="http://schemas.openxmlformats.org/officeDocument/2006/relationships/theme" Target="theme/theme1.xml"/><Relationship Id="rId30" Type="http://schemas.openxmlformats.org/officeDocument/2006/relationships/header" Target="header19.xml"/><Relationship Id="rId3" Type="http://schemas.openxmlformats.org/officeDocument/2006/relationships/comments" Target="comments.xml"/><Relationship Id="rId29" Type="http://schemas.openxmlformats.org/officeDocument/2006/relationships/header" Target="header18.xml"/><Relationship Id="rId28" Type="http://schemas.openxmlformats.org/officeDocument/2006/relationships/header" Target="header17.xml"/><Relationship Id="rId27" Type="http://schemas.openxmlformats.org/officeDocument/2006/relationships/header" Target="header16.xml"/><Relationship Id="rId26" Type="http://schemas.openxmlformats.org/officeDocument/2006/relationships/header" Target="header15.xml"/><Relationship Id="rId25" Type="http://schemas.openxmlformats.org/officeDocument/2006/relationships/header" Target="header14.xml"/><Relationship Id="rId24" Type="http://schemas.openxmlformats.org/officeDocument/2006/relationships/header" Target="header13.xml"/><Relationship Id="rId23" Type="http://schemas.openxmlformats.org/officeDocument/2006/relationships/header" Target="header12.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5.xml"/><Relationship Id="rId2" Type="http://schemas.openxmlformats.org/officeDocument/2006/relationships/settings" Target="settings.xml"/><Relationship Id="rId19" Type="http://schemas.openxmlformats.org/officeDocument/2006/relationships/footer" Target="footer4.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header" Target="head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13857</Words>
  <Characters>18502</Characters>
  <Lines>1628</Lines>
  <Paragraphs>1460</Paragraphs>
  <TotalTime>2</TotalTime>
  <ScaleCrop>false</ScaleCrop>
  <LinksUpToDate>false</LinksUpToDate>
  <CharactersWithSpaces>19250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2026-05-14T19:46:14Z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