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6575"/>
      <w:bookmarkStart w:id="1" w:name="_Toc12951"/>
      <w:bookmarkStart w:id="2" w:name="_Toc21715"/>
      <w:bookmarkStart w:id="3" w:name="_Toc8598"/>
      <w:bookmarkStart w:id="4" w:name="_Toc22211"/>
      <w:bookmarkStart w:id="5" w:name="_Toc12473"/>
      <w:bookmarkStart w:id="6" w:name="_Toc7456"/>
      <w:bookmarkStart w:id="7" w:name="_Toc211470751"/>
      <w:bookmarkStart w:id="8" w:name="_Toc25711"/>
      <w:bookmarkStart w:id="9" w:name="_Toc11806"/>
      <w:bookmarkStart w:id="10" w:name="_Toc1040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提出DHLAM模型。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与HashNet、DCH和MDSH三个基线模型公平对比；在自建BFATH数据集上进行领域微调和消融实验，以mAP、Recall@K和Precision@K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A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4376"/>
      <w:bookmarkStart w:id="14" w:name="_Toc31812"/>
      <w:bookmarkStart w:id="15" w:name="_Toc26034"/>
      <w:bookmarkStart w:id="16" w:name="_Toc15094"/>
      <w:bookmarkStart w:id="17" w:name="_Toc870"/>
      <w:bookmarkStart w:id="18" w:name="_Toc6356"/>
      <w:bookmarkStart w:id="19" w:name="_Toc27917"/>
      <w:bookmarkStart w:id="20" w:name="_Toc9147"/>
      <w:bookmarkStart w:id="21" w:name="_Toc23928"/>
      <w:bookmarkStart w:id="22" w:name="_Toc22267"/>
      <w:bookmarkStart w:id="23" w:name="_Toc211470756"/>
      <w:bookmarkStart w:id="24" w:name="_Toc25211"/>
      <w:bookmarkStart w:id="25" w:name="_Toc26449"/>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w:t>
      </w:r>
      <w:r>
        <w:rPr>
          <w:rFonts w:hint="eastAsia"/>
          <w:sz w:val="21"/>
          <w:szCs w:val="21"/>
          <w:lang w:val="en-US" w:eastAsia="zh-CN"/>
        </w:rPr>
        <w:t xml:space="preserve"> </w:t>
      </w:r>
      <w:r>
        <w:rPr>
          <w:rFonts w:hint="eastAsia"/>
          <w:sz w:val="21"/>
          <w:szCs w:val="21"/>
        </w:rPr>
        <w:t>propose</w:t>
      </w:r>
      <w:r>
        <w:rPr>
          <w:rFonts w:hint="eastAsia"/>
          <w:sz w:val="21"/>
          <w:szCs w:val="21"/>
          <w:lang w:val="en-US" w:eastAsia="zh-CN"/>
        </w:rPr>
        <w:t>s</w:t>
      </w:r>
      <w:r>
        <w:rPr>
          <w:rFonts w:hint="eastAsia"/>
          <w:sz w:val="21"/>
          <w:szCs w:val="21"/>
        </w:rPr>
        <w:t xml:space="preserve"> the DHLAM model to tackle class imbalance and complex background interference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DHLAM-Image is benchmarked against HashNet, DCH, and MDSH under identical settings. Fine-tuning and ablation studies are then carried out on our self-built BFATH dataset, with mAP, Recall@K, and Precision@K as evaluation metrics. Results show that DHLAM-Image surpasses MDSH by 2.8 percentage points, and the full DHLAM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adopting Vue and SpringBoot decoupled front-end/back-end architecture and integrating the DHLAM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6014"/>
      <w:bookmarkStart w:id="34" w:name="_Toc13329"/>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在多模态融合阶段，通过特征拼接或注意力加权机制将图像特征与位置特征融合，生成包含双模态信息的融合特征。此外，通过哈希层将融合特征映射为紧凑的二进制哈希码，并结合多损失联合优化策略约束哈希码质量，以提升检索模型的判别准确率。</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sz w:val="21"/>
          <w:szCs w:val="21"/>
        </w:rPr>
      </w:pPr>
      <w:r>
        <w:rPr>
          <w:rFonts w:hint="eastAsia"/>
          <w:lang w:val="en-US" w:eastAsia="zh-CN"/>
        </w:rPr>
        <w:t>如下图3.1所示，</w:t>
      </w:r>
      <w:r>
        <w:rPr>
          <w:rFonts w:hint="eastAsia"/>
        </w:rPr>
        <w:t>DHLAM模型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0220" cy="1823085"/>
            <wp:effectExtent l="0" t="0" r="5080" b="5715"/>
            <wp:docPr id="23" name="图片 23" descr="第3章-图3.1 深度哈希学习模型整体架构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drawio"/>
                    <pic:cNvPicPr>
                      <a:picLocks noChangeAspect="1"/>
                    </pic:cNvPicPr>
                  </pic:nvPicPr>
                  <pic:blipFill>
                    <a:blip r:embed="rId57"/>
                    <a:stretch>
                      <a:fillRect/>
                    </a:stretch>
                  </pic:blipFill>
                  <pic:spPr>
                    <a:xfrm>
                      <a:off x="0" y="0"/>
                      <a:ext cx="5570220" cy="182308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w:t>
      </w:r>
      <w:r>
        <w:rPr>
          <w:rFonts w:hint="eastAsia"/>
          <w:lang w:val="en-US" w:eastAsia="zh-CN"/>
        </w:rPr>
        <w:t>图像编码</w:t>
      </w:r>
      <w:r>
        <w:rPr>
          <w:rFonts w:hint="eastAsia"/>
        </w:rPr>
        <w:t>）与位置特征（256维</w:t>
      </w:r>
      <w:r>
        <w:rPr>
          <w:rFonts w:hint="eastAsia"/>
          <w:lang w:val="en-US" w:eastAsia="zh-CN"/>
        </w:rPr>
        <w:t>位置</w:t>
      </w:r>
      <w:r>
        <w:rPr>
          <w:rFonts w:hint="eastAsia"/>
        </w:rPr>
        <w:t>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米或坐标位于研究区域外的样本；缺失值处理：本研究在数据筛选阶段已剔除缺失坐标样本，所有用于实验的</w:t>
      </w:r>
      <w:r>
        <w:rPr>
          <w:rFonts w:hint="default" w:ascii="Times New Roman" w:hAnsi="Times New Roman" w:cs="Times New Roman"/>
          <w:lang w:val="en-US" w:eastAsia="zh-CN"/>
        </w:rPr>
        <w:t>12450</w:t>
      </w:r>
      <w:r>
        <w:rPr>
          <w:rFonts w:hint="default" w:ascii="宋体" w:hAnsi="宋体" w:cs="宋体"/>
          <w:lang w:val="en-US" w:eastAsia="zh-CN"/>
        </w:rPr>
        <w:t>张图像均具有有效位置坐标，无需额外缺失值处理。</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AM面向数据库检索场景，通过哈希码快速匹配数据库中已知古树记录并返回其已有位置信息，属于检索任务。两者在任务定义、评价指标和应用场景上存在本质差异，因此不构成直接可比关系。DHLA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如公园内多种树种共存），仅凭位置坐标难以精确区分。然而，Recall@5达到0.748表明，给定一个地理位置，模型能够有效检索出该位置附近的古树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DHLAM在I2I任务上相比单模态DHLAM-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图像与位置特征编码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5165"/>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注册、用户信息管理、古树名木图像上传和古树名木检索等功能。系统整体用例图如图4.1所示。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w:t>
      </w:r>
      <w:r>
        <w:rPr>
          <w:rFonts w:hint="eastAsia"/>
          <w:lang w:eastAsia="zh-CN"/>
        </w:rPr>
        <w:t>MD5加盐值</w:t>
      </w:r>
      <w:r>
        <w:rPr>
          <w:rFonts w:hint="eastAsia"/>
        </w:rPr>
        <w: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2296"/>
      <w:bookmarkStart w:id="146" w:name="_Toc1736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563870" cy="1268095"/>
            <wp:effectExtent l="0" t="0" r="1143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4"/>
                    <a:stretch>
                      <a:fillRect/>
                    </a:stretch>
                  </pic:blipFill>
                  <pic:spPr>
                    <a:xfrm>
                      <a:off x="0" y="0"/>
                      <a:ext cx="5563870" cy="1268095"/>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主键、用户名、密码（通过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w:t>
      </w:r>
      <w:r>
        <w:rPr>
          <w:rFonts w:hint="eastAsia"/>
          <w:lang w:val="en-US" w:eastAsia="zh-CN"/>
        </w:rPr>
        <w:t>古树名木名称、</w:t>
      </w:r>
      <w:r>
        <w:rPr>
          <w:rFonts w:hint="eastAsia"/>
          <w:lang w:eastAsia="zh-CN"/>
        </w:rPr>
        <w:t>纬度坐标、经度坐标、树龄、树高、树种名称和描述等</w:t>
      </w:r>
      <w:r>
        <w:rPr>
          <w:rFonts w:hint="eastAsia"/>
          <w:lang w:val="en-US" w:eastAsia="zh-CN"/>
        </w:rPr>
        <w:t>信息</w:t>
      </w:r>
      <w:r>
        <w:rPr>
          <w:rFonts w:hint="eastAsia"/>
          <w:lang w:eastAsia="zh-CN"/>
        </w:rPr>
        <w:t>。由于部分古树因缺乏历史记载无法确定确切树龄或难以精确测量树高，树龄和树高字段允许为空。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43"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31"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2"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31"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2"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2"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767A56A5">
      <w:pPr>
        <w:widowControl/>
        <w:numPr>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w:t>
      </w:r>
      <w:bookmarkStart w:id="235" w:name="_GoBack"/>
      <w:bookmarkEnd w:id="235"/>
      <w:r>
        <w:rPr>
          <w:rFonts w:hint="eastAsia"/>
        </w:rPr>
        <w:t>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5C941BC5">
      <w:pPr>
        <w:numPr>
          <w:ilvl w:val="0"/>
          <w:numId w:val="0"/>
        </w:numPr>
        <w:ind w:firstLine="420" w:firstLineChars="0"/>
        <w:rPr>
          <w:rFonts w:hint="eastAsia"/>
          <w:lang w:val="en-US"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 UserService 的list方法，Service 层构建UserExample查询条件，通过PageHelper设置分页页码与每页条数，调用 UserMapper的selectByExample方法执行数据库分页查询。数据库返回用户数据列表及总条数后，Service层使PageInfo封装分页信息，并通过CopyUtil.copyList 将User实体列表转换为UserQueryResp 响应对象列表，同时遍历关联查询role表填充角色名称。最终分页结果经控制层封装响应返回给前端，前端渲染用户信息表格及分页组件。</w:t>
      </w:r>
    </w:p>
    <w:p w14:paraId="3C0996D6">
      <w:pPr>
        <w:numPr>
          <w:ilvl w:val="0"/>
          <w:numId w:val="0"/>
        </w:numPr>
        <w:rPr>
          <w:rFonts w:hint="eastAsia"/>
          <w:lang w:eastAsia="zh-CN"/>
        </w:rPr>
      </w:pPr>
    </w:p>
    <w:p w14:paraId="2D62108D">
      <w:pPr>
        <w:ind w:left="0" w:leftChars="0" w:firstLine="0" w:firstLineChars="0"/>
        <w:jc w:val="both"/>
      </w:pPr>
      <w:r>
        <w:drawing>
          <wp:inline distT="0" distB="0" distL="114300" distR="114300">
            <wp:extent cx="5565140" cy="3298190"/>
            <wp:effectExtent l="0" t="0" r="10160" b="381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565140" cy="329819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4D971F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9A00BBA">
      <w:pPr>
        <w:ind w:left="0" w:leftChars="0" w:firstLine="0" w:firstLineChars="0"/>
        <w:jc w:val="center"/>
        <w:rPr>
          <w:b/>
          <w:bCs/>
          <w:color w:val="FF0000"/>
        </w:rPr>
      </w:pPr>
      <w:r>
        <w:drawing>
          <wp:inline distT="0" distB="0" distL="114300" distR="114300">
            <wp:extent cx="5567045" cy="3271520"/>
            <wp:effectExtent l="0" t="0" r="8255" b="508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66"/>
                    <a:stretch>
                      <a:fillRect/>
                    </a:stretch>
                  </pic:blipFill>
                  <pic:spPr>
                    <a:xfrm>
                      <a:off x="0" y="0"/>
                      <a:ext cx="5567045" cy="3271520"/>
                    </a:xfrm>
                    <a:prstGeom prst="rect">
                      <a:avLst/>
                    </a:prstGeom>
                    <a:noFill/>
                    <a:ln>
                      <a:no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both"/>
      </w:pPr>
      <w:r>
        <w:drawing>
          <wp:inline distT="0" distB="0" distL="114300" distR="114300">
            <wp:extent cx="5567680" cy="3009900"/>
            <wp:effectExtent l="0" t="0" r="762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67"/>
                    <a:stretch>
                      <a:fillRect/>
                    </a:stretch>
                  </pic:blipFill>
                  <pic:spPr>
                    <a:xfrm>
                      <a:off x="0" y="0"/>
                      <a:ext cx="5567680" cy="3009900"/>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w:t>
      </w:r>
      <w:r>
        <w:rPr>
          <w:rFonts w:hint="eastAsia" w:cs="Times New Roman"/>
          <w:sz w:val="24"/>
          <w:lang w:val="en-US" w:eastAsia="zh-CN"/>
        </w:rPr>
        <w:t>，展示了</w:t>
      </w:r>
      <w:r>
        <w:rPr>
          <w:rFonts w:hint="eastAsia" w:ascii="Times New Roman" w:hAnsi="Times New Roman" w:cs="Times New Roman"/>
          <w:sz w:val="24"/>
          <w:lang w:val="en-US" w:eastAsia="zh-CN"/>
        </w:rPr>
        <w:t>古树名木检索时序图。用户登录后进入检索界面，上传查询图像或输入地理位置坐标，前端POST调用</w:t>
      </w:r>
      <w:r>
        <w:rPr>
          <w:rFonts w:hint="default" w:ascii="Times New Roman" w:hAnsi="Times New Roman" w:cs="Times New Roman"/>
          <w:sz w:val="24"/>
          <w:lang w:val="en-US" w:eastAsia="zh-CN"/>
        </w:rPr>
        <w:t>/tree/retrieve</w:t>
      </w:r>
      <w:r>
        <w:rPr>
          <w:rFonts w:hint="eastAsia" w:ascii="Times New Roman" w:hAnsi="Times New Roman" w:cs="Times New Roman"/>
          <w:sz w:val="24"/>
          <w:lang w:val="en-US" w:eastAsia="zh-CN"/>
        </w:rPr>
        <w:t>接口，请求经TreeRetrieveController路由至ITreeRetrieveService。Service层调用DHLAM模型服务，由模型完成图像/位置特征提取、多模态融合及128位哈希码生成，返回哈希码后通过TreeRetrieveMapper执行数据库哈希码相似度查询，获取匹配结果集。Service层按汉明距离排序取Top-K结果，最终经Controller封装为JSON响应返回前端渲染展示。需要说明的是，按树种名称条件检索为传统SQL查询，不走DHLAM模型，其时序较为简单，本文不在图4.7中单独展示说明</w:t>
      </w:r>
      <w:r>
        <w:rPr>
          <w:rFonts w:hint="eastAsia" w:ascii="Times New Roman" w:hAnsi="Times New Roman" w:cs="Times New Roman"/>
          <w:sz w:val="24"/>
        </w:rPr>
        <w:t>。</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列表并按相似度排序；图4.9通过图像检索返回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检索成功，返回古树列表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古树名木检索接口（/tree/retrieve）因涉及图像上传解析与DHLAM模型推理，10并发下错误率为0.18%、响应时间为0.89s，50并发下错误率为0.42%、响应时间为0.98s，仍满足检索功能平均响应时间1秒以内的性能需求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DHLAM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7441"/>
      <w:bookmarkStart w:id="179" w:name="_Toc26958"/>
      <w:bookmarkStart w:id="180" w:name="_Toc2124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w:t>
      </w:r>
      <w:r>
        <w:rPr>
          <w:rFonts w:hint="eastAsia"/>
          <w:lang w:val="en-US" w:eastAsia="zh-CN"/>
        </w:rPr>
        <w:t>迁移验证</w:t>
      </w:r>
      <w:r>
        <w:rPr>
          <w:rFonts w:hint="eastAsia"/>
        </w:rPr>
        <w:t>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相比单模态DHLAM-Image，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17533"/>
      <w:bookmarkStart w:id="183" w:name="_Toc4921"/>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）与哈希码固有的存储优势，实现模型在园林移动终端或无人机采集设备上的边缘部署。此外，当前系统仅支持树种名称级别的条件检索，科属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p>
    <w:p w14:paraId="52CF69EB">
      <w:pPr>
        <w:numPr>
          <w:ilvl w:val="0"/>
          <w:numId w:val="14"/>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5E1EFD"/>
    <w:rsid w:val="01652726"/>
    <w:rsid w:val="01712F37"/>
    <w:rsid w:val="017C4304"/>
    <w:rsid w:val="01802BF8"/>
    <w:rsid w:val="01897E41"/>
    <w:rsid w:val="018A79CF"/>
    <w:rsid w:val="018E7169"/>
    <w:rsid w:val="01981D96"/>
    <w:rsid w:val="01992300"/>
    <w:rsid w:val="019A6605"/>
    <w:rsid w:val="01AC2E0D"/>
    <w:rsid w:val="01B110AA"/>
    <w:rsid w:val="01B3097E"/>
    <w:rsid w:val="01BB2E56"/>
    <w:rsid w:val="01C761D7"/>
    <w:rsid w:val="01C81F50"/>
    <w:rsid w:val="01D37272"/>
    <w:rsid w:val="01E50D53"/>
    <w:rsid w:val="01E62509"/>
    <w:rsid w:val="01EB11E6"/>
    <w:rsid w:val="01F86CD9"/>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3F10E17"/>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9108C"/>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3334A"/>
    <w:rsid w:val="07B82B29"/>
    <w:rsid w:val="07C022F8"/>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7E4E1C"/>
    <w:rsid w:val="1487769E"/>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247B2"/>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22EE9"/>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9122C"/>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24677C"/>
    <w:rsid w:val="1D365280"/>
    <w:rsid w:val="1D390E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6495D"/>
    <w:rsid w:val="27A75FE0"/>
    <w:rsid w:val="27B14AF6"/>
    <w:rsid w:val="27B74619"/>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574A2"/>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3A33D4"/>
    <w:rsid w:val="444078CC"/>
    <w:rsid w:val="44421112"/>
    <w:rsid w:val="4454106F"/>
    <w:rsid w:val="445554AC"/>
    <w:rsid w:val="445E5395"/>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337D4"/>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6D4E83"/>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06EB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42682"/>
    <w:rsid w:val="52F76E9E"/>
    <w:rsid w:val="52F8304B"/>
    <w:rsid w:val="52FE07B2"/>
    <w:rsid w:val="53154594"/>
    <w:rsid w:val="53193986"/>
    <w:rsid w:val="53285A20"/>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B464A"/>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11D6A"/>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23418"/>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C59E8"/>
    <w:rsid w:val="708D1203"/>
    <w:rsid w:val="70B52AE8"/>
    <w:rsid w:val="70B862D5"/>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278D2"/>
    <w:rsid w:val="711315BD"/>
    <w:rsid w:val="71193077"/>
    <w:rsid w:val="71297032"/>
    <w:rsid w:val="71385DC9"/>
    <w:rsid w:val="713A123F"/>
    <w:rsid w:val="713C6F4A"/>
    <w:rsid w:val="714E0847"/>
    <w:rsid w:val="715776FB"/>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AF5789"/>
    <w:rsid w:val="71B3DE0D"/>
    <w:rsid w:val="71B5BD2A"/>
    <w:rsid w:val="71BE3143"/>
    <w:rsid w:val="71C54FAD"/>
    <w:rsid w:val="71CD20B4"/>
    <w:rsid w:val="71D6A428"/>
    <w:rsid w:val="71E52F59"/>
    <w:rsid w:val="71E85D2E"/>
    <w:rsid w:val="71F06CF5"/>
    <w:rsid w:val="71F58E87"/>
    <w:rsid w:val="71F633B8"/>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798"/>
    <w:rsid w:val="78A778FC"/>
    <w:rsid w:val="78B637C6"/>
    <w:rsid w:val="78BF30A7"/>
    <w:rsid w:val="78C57641"/>
    <w:rsid w:val="78CDC8E1"/>
    <w:rsid w:val="78CF463E"/>
    <w:rsid w:val="78D00D45"/>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9745</Words>
  <Characters>13355</Characters>
  <Lines>1628</Lines>
  <Paragraphs>1460</Paragraphs>
  <TotalTime>310</TotalTime>
  <ScaleCrop>false</ScaleCrop>
  <LinksUpToDate>false</LinksUpToDate>
  <CharactersWithSpaces>14054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2026-05-17T16:45:33Z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