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12473"/>
      <w:bookmarkStart w:id="1" w:name="_Toc21715"/>
      <w:bookmarkStart w:id="2" w:name="_Toc211470751"/>
      <w:bookmarkStart w:id="3" w:name="_Toc22211"/>
      <w:bookmarkStart w:id="4" w:name="_Toc6575"/>
      <w:bookmarkStart w:id="5" w:name="_Toc8598"/>
      <w:bookmarkStart w:id="6" w:name="_Toc11806"/>
      <w:bookmarkStart w:id="7" w:name="_Toc12951"/>
      <w:bookmarkStart w:id="8" w:name="_Toc10403"/>
      <w:bookmarkStart w:id="9" w:name="_Toc7456"/>
      <w:bookmarkStart w:id="10" w:name="_Toc25711"/>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5</w:t>
      </w:r>
      <w:r>
        <w:rPr>
          <w:rFonts w:eastAsia="仿宋_GB2312"/>
          <w:sz w:val="32"/>
        </w:rPr>
        <w:t>月</w:t>
      </w:r>
      <w:r>
        <w:rPr>
          <w:rFonts w:hint="eastAsia" w:eastAsia="仿宋_GB2312"/>
          <w:sz w:val="32"/>
          <w:lang w:val="en-US" w:eastAsia="zh-CN"/>
        </w:rPr>
        <w:t>20</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Network），通过融合图像与地理位置元数据实现以</w:t>
      </w:r>
      <w:r>
        <w:rPr>
          <w:rStyle w:val="58"/>
          <w:rFonts w:hint="eastAsia" w:ascii="Times New Roman" w:hAnsi="Times New Roman" w:cs="Times New Roman"/>
          <w:kern w:val="2"/>
          <w:lang w:val="en-US" w:eastAsia="zh-CN" w:bidi="ar-SA"/>
        </w:rPr>
        <w:t>图搜图、</w:t>
      </w:r>
      <w:r>
        <w:rPr>
          <w:rStyle w:val="58"/>
          <w:rFonts w:hint="default" w:ascii="Times New Roman" w:hAnsi="Times New Roman" w:eastAsia="宋体" w:cs="Times New Roman"/>
          <w:kern w:val="2"/>
          <w:lang w:val="en-US" w:eastAsia="zh-CN" w:bidi="ar-SA"/>
        </w:rPr>
        <w:t>图搜位置</w:t>
      </w:r>
      <w:r>
        <w:rPr>
          <w:rStyle w:val="58"/>
          <w:rFonts w:hint="eastAsia" w:ascii="Times New Roman" w:hAnsi="Times New Roman" w:cs="Times New Roman"/>
          <w:kern w:val="2"/>
          <w:lang w:val="en-US" w:eastAsia="zh-CN" w:bidi="ar-SA"/>
        </w:rPr>
        <w:t>和</w:t>
      </w:r>
      <w:r>
        <w:rPr>
          <w:rStyle w:val="58"/>
          <w:rFonts w:hint="default" w:ascii="Times New Roman" w:hAnsi="Times New Roman" w:eastAsia="宋体" w:cs="Times New Roman"/>
          <w:kern w:val="2"/>
          <w:lang w:val="en-US" w:eastAsia="zh-CN" w:bidi="ar-SA"/>
        </w:rPr>
        <w:t>以位置搜图的</w:t>
      </w:r>
      <w:r>
        <w:rPr>
          <w:rStyle w:val="58"/>
          <w:rFonts w:hint="eastAsia" w:ascii="Times New Roman" w:hAnsi="Times New Roman" w:cs="Times New Roman"/>
          <w:kern w:val="2"/>
          <w:lang w:val="en-US" w:eastAsia="zh-CN" w:bidi="ar-SA"/>
        </w:rPr>
        <w:t>多模态</w:t>
      </w:r>
      <w:r>
        <w:rPr>
          <w:rStyle w:val="58"/>
          <w:rFonts w:hint="default" w:ascii="Times New Roman" w:hAnsi="Times New Roman" w:eastAsia="宋体" w:cs="Times New Roman"/>
          <w:kern w:val="2"/>
          <w:lang w:val="en-US" w:eastAsia="zh-CN" w:bidi="ar-SA"/>
        </w:rPr>
        <w:t>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针对古树名木多模态检索中样本类别不平衡与复杂背景干扰等问题，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Style w:val="58"/>
          <w:rFonts w:hint="eastAsia" w:ascii="Times New Roman" w:hAnsi="Times New Roman" w:eastAsia="宋体" w:cs="Times New Roman"/>
          <w:kern w:val="2"/>
          <w:lang w:val="en-US" w:eastAsia="zh-CN" w:bidi="ar-SA"/>
        </w:rPr>
        <w:t>设计双分支哈希投影机制，将图像特征与位置特征分别映射至128维哈希语义空间后加权融合，生成128位二进制哈希码；此外，通过多路策略验证确定特征拼接为最优融合方案，联合图像和地理位置元数据构建统一语义空间。</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在自建BFATH数据集上进行领域微调与系统演示验证，以mAP、Recall@K和Precision@K验证模型有效性。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已完成开发和测试，可为古树名木检索相关管理提供有力支持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870"/>
      <w:bookmarkStart w:id="14" w:name="_Toc26034"/>
      <w:bookmarkStart w:id="15" w:name="_Toc31812"/>
      <w:bookmarkStart w:id="16" w:name="_Toc23928"/>
      <w:bookmarkStart w:id="17" w:name="_Toc9147"/>
      <w:bookmarkStart w:id="18" w:name="_Toc211470756"/>
      <w:bookmarkStart w:id="19" w:name="_Toc26449"/>
      <w:bookmarkStart w:id="20" w:name="_Toc24376"/>
      <w:bookmarkStart w:id="21" w:name="_Toc15094"/>
      <w:bookmarkStart w:id="22" w:name="_Toc25211"/>
      <w:bookmarkStart w:id="23" w:name="_Toc22267"/>
      <w:bookmarkStart w:id="24" w:name="_Toc6356"/>
      <w:bookmarkStart w:id="25" w:name="_Toc27917"/>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multimodal retrieval capabilities including 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and complex background interference in ancient tree retrieval. A joint loss combining Triplet Loss, Contrastive Loss and Quantization Loss is adopted together with hard negative mining. A dual-branch hash projection mechanism is designed to map image and location features into 128-dimensional hash semantic spaces respectively, followed by weighted fusion to generate 128-bit binary hash codes. A multi-path fusion verification strategy is employed to confirm feature concatenation as the optimal fusion scheme, integrating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Fine-tuning along with system demonstration validation are performed on our self-built BFATH dataset, with mAP, Recall@K, and Precision@K as evaluation metrics.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C709E2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cs="Times New Roman"/>
              <w:sz w:val="21"/>
              <w:szCs w:val="21"/>
              <w:lang w:val="en-US" w:eastAsia="zh-CN"/>
            </w:rPr>
            <w:t>信息查询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C62EC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4 </w:t>
          </w:r>
          <w:r>
            <w:rPr>
              <w:rFonts w:hint="eastAsia" w:ascii="Times New Roman" w:hAnsi="Times New Roman" w:eastAsia="宋体" w:cs="Times New Roman"/>
              <w:sz w:val="21"/>
              <w:szCs w:val="21"/>
            </w:rPr>
            <w:t>古树名木</w:t>
          </w:r>
          <w:r>
            <w:rPr>
              <w:rFonts w:hint="eastAsia"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13329"/>
      <w:bookmarkStart w:id="34" w:name="_Toc6014"/>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在哈希生成层，构建双分支哈希投影机制，将图像特征与位置特征分别映射至128维哈希语义空间后加权融合，配合量化损失模块生成128位二进制哈希码。通过引入Triplet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哈希层、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为满足古树名木在实际管理中的检索应用需求，本文针对古树名木保护与管理的实际需求构建了古树名木</w:t>
      </w:r>
      <w:r>
        <w:rPr>
          <w:rFonts w:hint="eastAsia"/>
          <w:lang w:val="en-US" w:eastAsia="zh-CN"/>
        </w:rPr>
        <w:t>展示与</w:t>
      </w:r>
      <w:r>
        <w:rPr>
          <w:rFonts w:hint="eastAsia"/>
        </w:rPr>
        <w:t>检索系统，前端使用Vue开发用户界面，后端采用SpringBoot做数据处理与服务管理，实现古树名木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52" name="图片 52" descr="第一章-1.1 技术路线图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第一章-1.1 技术路线图111"/>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9919"/>
      <w:bookmarkStart w:id="45" w:name="_Toc30488"/>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模态检索模型。本章提出了基于ResNet-50、LocationEncoder和双分支哈希投影机制</w:t>
      </w:r>
      <w:r>
        <w:rPr>
          <w:rFonts w:hint="eastAsia"/>
          <w:lang w:val="en-US" w:eastAsia="zh-CN"/>
        </w:rPr>
        <w:t>的DHLM模型</w:t>
      </w:r>
      <w:r>
        <w:rPr>
          <w:rFonts w:hint="eastAsia"/>
        </w:rPr>
        <w:t>，提出结合Triplet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古树名木展示与检索系统，技术栈采用Vue及SpringBoot框架进行前后端设计，集成DHLM模型实现图像-地理位置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3913"/>
      <w:bookmarkStart w:id="47" w:name="_Toc2785"/>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9784"/>
      <w:bookmarkStart w:id="53" w:name="_Toc27995"/>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9721"/>
      <w:bookmarkStart w:id="56" w:name="_Toc22207"/>
      <w:bookmarkStart w:id="57" w:name="_Toc2112"/>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21072"/>
      <w:bookmarkStart w:id="63" w:name="_Toc1332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27973"/>
      <w:bookmarkStart w:id="73" w:name="_Toc1310"/>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9151"/>
      <w:bookmarkStart w:id="78" w:name="_Toc31698"/>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2" w:name="_Toc13463"/>
      <w:bookmarkStart w:id="83" w:name="_Toc16262"/>
      <w:bookmarkStart w:id="84" w:name="_Toc21519"/>
      <w:bookmarkStart w:id="85" w:name="_Toc38202898"/>
      <w:bookmarkStart w:id="86" w:name="_Toc42616464"/>
      <w:bookmarkStart w:id="87" w:name="_Toc38706083"/>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重点阐述多路融合策略验证过程与双分支哈希投影机制（Dual-branch Hash Projection, DBHP）的设计动机，并设计多损失联合优化策略贯穿训练过程。为验证模型的有效性，本章选取iNaturalist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通过多路融合策略验证确定特征拼接为融合方案；设计双分支哈希投影机制，将图像特征与位置特征分别映射至128维哈希语义空间后加权融合，最终生成紧凑的二进制哈希码以实现高效检索。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在哈希生成阶段，设计双分支哈希投影机制，将图像特征与位置特征分别映射至128维哈希语义空间，通过可学习权重在哈希空间进行加权融合，最终生成紧凑的二进制哈希码；并结合多损失联合优化策略约束哈希码质量</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7205" cy="1668780"/>
            <wp:effectExtent l="0" t="0" r="10795" b="7620"/>
            <wp:docPr id="17" name="图片 17" descr="图3.1-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3.1-新"/>
                    <pic:cNvPicPr>
                      <a:picLocks noChangeAspect="1"/>
                    </pic:cNvPicPr>
                  </pic:nvPicPr>
                  <pic:blipFill>
                    <a:blip r:embed="rId58"/>
                    <a:stretch>
                      <a:fillRect/>
                    </a:stretch>
                  </pic:blipFill>
                  <pic:spPr>
                    <a:xfrm>
                      <a:off x="0" y="0"/>
                      <a:ext cx="5577205" cy="1668780"/>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2018验证集上对比了特征拼接、门控融合、逐元素相加和逐元素相乘四种方案，详细实验结果与论证见3.4.2节与表3.6。</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哈希层负责将融合特征向量映射为紧凑的二进制哈希码，以实现高效的近似最近邻检索。该层采用双分支哈希投影机制（</w:t>
      </w:r>
      <w:r>
        <w:rPr>
          <w:rFonts w:hint="eastAsia"/>
        </w:rPr>
        <w:t>DBHP</w:t>
      </w:r>
      <w:r>
        <w:rPr>
          <w:rFonts w:hint="eastAsia"/>
          <w:lang w:val="en-US" w:eastAsia="zh-CN"/>
        </w:rPr>
        <w:t>），将图像特征与位置特征分别通过独立投影矩阵映射至128维哈希语义空间，再通过可学习权重在哈希空间进行加权融合；在训练阶段输出连续值，并通过量化损失约束减小与离散哈希码之间的量化差距；在推理阶段通过符号函数（Sign）将连续值量化为二进制哈希码，最终生成128位二进制哈希码。哈希层的详细设计与数学表达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本文采用特征拼接方法将图像特征向量与位置特征向量按通道维度进行拼接，构建包含双模态信息的融合特征向量，</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28EF247C">
      <w:pPr>
        <w:bidi w:val="0"/>
        <w:rPr>
          <w:rFonts w:hint="eastAsia"/>
        </w:rPr>
      </w:pPr>
      <w:r>
        <w:rPr>
          <w:rFonts w:hint="eastAsia"/>
        </w:rPr>
        <w:t>为论证融合策略的选择，本文在iNaturalist 2018验证集上对比四种融合方案</w:t>
      </w:r>
      <w:r>
        <w:rPr>
          <w:rFonts w:hint="eastAsia"/>
          <w:lang w:eastAsia="zh-CN"/>
        </w:rPr>
        <w:t>，</w:t>
      </w:r>
      <w:r>
        <w:rPr>
          <w:rFonts w:hint="eastAsia"/>
        </w:rPr>
        <w:t>四种融合方案的详细对比实验结果见3.4.</w:t>
      </w:r>
      <w:r>
        <w:rPr>
          <w:rFonts w:hint="eastAsia"/>
          <w:lang w:val="en-US" w:eastAsia="zh-CN"/>
        </w:rPr>
        <w:t>2</w:t>
      </w:r>
      <w:r>
        <w:rPr>
          <w:rFonts w:hint="eastAsia"/>
        </w:rPr>
        <w:t>节表3.</w:t>
      </w:r>
      <w:r>
        <w:rPr>
          <w:rFonts w:hint="eastAsia"/>
          <w:lang w:val="en-US" w:eastAsia="zh-CN"/>
        </w:rPr>
        <w:t>6</w:t>
      </w:r>
      <w:r>
        <w:rPr>
          <w:rFonts w:hint="eastAsia"/>
          <w:lang w:eastAsia="zh-CN"/>
        </w:rPr>
        <w:t>：（</w:t>
      </w:r>
      <w:r>
        <w:rPr>
          <w:rFonts w:hint="eastAsia"/>
          <w:lang w:val="en-US" w:eastAsia="zh-CN"/>
        </w:rPr>
        <w:t>1</w:t>
      </w:r>
      <w:r>
        <w:rPr>
          <w:rFonts w:hint="eastAsia"/>
          <w:lang w:eastAsia="zh-CN"/>
        </w:rPr>
        <w:t>）</w:t>
      </w:r>
      <w:r>
        <w:rPr>
          <w:rFonts w:hint="eastAsia"/>
        </w:rPr>
        <w:t>特征拼接（</w:t>
      </w:r>
      <w:r>
        <w:rPr>
          <w:rFonts w:hint="eastAsia"/>
          <w:lang w:val="en-US" w:eastAsia="zh-CN"/>
        </w:rPr>
        <w:t>c</w:t>
      </w:r>
      <w:r>
        <w:rPr>
          <w:rFonts w:hint="eastAsia"/>
        </w:rPr>
        <w:t>oncat）：将512维图像特征与256维位置特征拼接为768维</w:t>
      </w:r>
      <w:r>
        <w:rPr>
          <w:rFonts w:hint="eastAsia"/>
          <w:lang w:eastAsia="zh-CN"/>
        </w:rPr>
        <w:t>；（</w:t>
      </w:r>
      <w:r>
        <w:rPr>
          <w:rFonts w:hint="eastAsia"/>
          <w:lang w:val="en-US" w:eastAsia="zh-CN"/>
        </w:rPr>
        <w:t>2</w:t>
      </w:r>
      <w:r>
        <w:rPr>
          <w:rFonts w:hint="eastAsia"/>
          <w:lang w:eastAsia="zh-CN"/>
        </w:rPr>
        <w:t>）</w:t>
      </w:r>
      <w:r>
        <w:rPr>
          <w:rFonts w:hint="eastAsia"/>
        </w:rPr>
        <w:t>逐元素相加（</w:t>
      </w:r>
      <w:r>
        <w:rPr>
          <w:rFonts w:hint="eastAsia"/>
          <w:lang w:val="en-US" w:eastAsia="zh-CN"/>
        </w:rPr>
        <w:t>a</w:t>
      </w:r>
      <w:r>
        <w:rPr>
          <w:rFonts w:hint="eastAsia"/>
        </w:rPr>
        <w:t>dd）：将位置特征升维至512维后与图像特征逐元素相加</w:t>
      </w:r>
      <w:r>
        <w:rPr>
          <w:rFonts w:hint="eastAsia"/>
          <w:lang w:eastAsia="zh-CN"/>
        </w:rPr>
        <w:t>。（</w:t>
      </w:r>
      <w:r>
        <w:rPr>
          <w:rFonts w:hint="eastAsia"/>
          <w:lang w:val="en-US" w:eastAsia="zh-CN"/>
        </w:rPr>
        <w:t>3</w:t>
      </w:r>
      <w:r>
        <w:rPr>
          <w:rFonts w:hint="eastAsia"/>
          <w:lang w:eastAsia="zh-CN"/>
        </w:rPr>
        <w:t>）</w:t>
      </w:r>
      <w:r>
        <w:rPr>
          <w:rFonts w:hint="eastAsia"/>
        </w:rPr>
        <w:t>逐元素相乘（</w:t>
      </w:r>
      <w:r>
        <w:rPr>
          <w:rFonts w:hint="eastAsia"/>
          <w:lang w:val="en-US" w:eastAsia="zh-CN"/>
        </w:rPr>
        <w:t>m</w:t>
      </w:r>
      <w:r>
        <w:rPr>
          <w:rFonts w:hint="eastAsia"/>
        </w:rPr>
        <w:t>ultiply）：位置特征升维后逐元素相乘</w:t>
      </w:r>
      <w:r>
        <w:rPr>
          <w:rFonts w:hint="eastAsia"/>
          <w:lang w:eastAsia="zh-CN"/>
        </w:rPr>
        <w:t>。（</w:t>
      </w:r>
      <w:r>
        <w:rPr>
          <w:rFonts w:hint="eastAsia"/>
          <w:lang w:val="en-US" w:eastAsia="zh-CN"/>
        </w:rPr>
        <w:t>4</w:t>
      </w:r>
      <w:r>
        <w:rPr>
          <w:rFonts w:hint="eastAsia"/>
          <w:lang w:eastAsia="zh-CN"/>
        </w:rPr>
        <w:t>）</w:t>
      </w:r>
      <w:r>
        <w:rPr>
          <w:rFonts w:hint="eastAsia"/>
        </w:rPr>
        <w:t>门控融合（</w:t>
      </w:r>
      <w:r>
        <w:rPr>
          <w:rFonts w:hint="eastAsia"/>
          <w:lang w:val="en-US" w:eastAsia="zh-CN"/>
        </w:rPr>
        <w:t>g</w:t>
      </w:r>
      <w:r>
        <w:rPr>
          <w:rFonts w:hint="eastAsia"/>
        </w:rPr>
        <w:t>ate）：用图像特征生成标量门控g∈(0,1)，加权融合</w:t>
      </w:r>
      <w:r>
        <w:rPr>
          <w:rFonts w:hint="default" w:ascii="Times New Roman" w:hAnsi="Times New Roman" w:cs="Times New Roman"/>
          <w:i/>
          <w:iCs/>
        </w:rPr>
        <w:t>f</w:t>
      </w:r>
      <w:r>
        <w:rPr>
          <w:rFonts w:hint="default" w:ascii="Times New Roman" w:hAnsi="Times New Roman" w:cs="Times New Roman"/>
          <w:i/>
          <w:iCs/>
          <w:vertAlign w:val="subscript"/>
        </w:rPr>
        <w:t>fused</w:t>
      </w:r>
      <w:r>
        <w:rPr>
          <w:rFonts w:hint="default" w:ascii="Times New Roman" w:hAnsi="Times New Roman" w:cs="Times New Roman"/>
          <w:i/>
          <w:iCs/>
        </w:rPr>
        <w:t xml:space="preserve"> </w:t>
      </w:r>
      <w:r>
        <w:rPr>
          <w:rFonts w:hint="default" w:ascii="Times New Roman" w:hAnsi="Times New Roman" w:cs="Times New Roman"/>
        </w:rPr>
        <w:t>= (1-</w:t>
      </w:r>
      <w:r>
        <w:rPr>
          <w:rFonts w:hint="default" w:ascii="Times New Roman" w:hAnsi="Times New Roman" w:cs="Times New Roman"/>
          <w:i/>
          <w:iCs/>
        </w:rPr>
        <w:t>g</w:t>
      </w:r>
      <w:r>
        <w:rPr>
          <w:rFonts w:hint="default" w:ascii="Times New Roman" w:hAnsi="Times New Roman" w:cs="Times New Roman"/>
        </w:rPr>
        <w:t>)</w:t>
      </w:r>
      <w:r>
        <w:rPr>
          <w:rFonts w:hint="default" w:ascii="Times New Roman" w:hAnsi="Times New Roman" w:cs="Times New Roman"/>
          <w:i/>
          <w:iCs/>
          <w:u w:val="single"/>
        </w:rPr>
        <w:t>f</w:t>
      </w:r>
      <w:r>
        <w:rPr>
          <w:rFonts w:hint="default" w:ascii="Times New Roman" w:hAnsi="Times New Roman" w:cs="Times New Roman"/>
          <w:i/>
          <w:iCs/>
          <w:u w:val="single"/>
          <w:vertAlign w:val="subscript"/>
        </w:rPr>
        <w:t>i</w:t>
      </w:r>
      <w:r>
        <w:rPr>
          <w:rFonts w:hint="default" w:ascii="Times New Roman" w:hAnsi="Times New Roman" w:cs="Times New Roman"/>
          <w:vertAlign w:val="subscript"/>
        </w:rPr>
        <w:t xml:space="preserve"> </w:t>
      </w:r>
      <w:r>
        <w:rPr>
          <w:rFonts w:hint="default" w:ascii="Times New Roman" w:hAnsi="Times New Roman" w:cs="Times New Roman"/>
        </w:rPr>
        <w:t>+ g</w:t>
      </w:r>
      <w:r>
        <w:rPr>
          <w:rFonts w:hint="default" w:ascii="Times New Roman" w:hAnsi="Times New Roman" w:cs="Times New Roman"/>
          <w:i/>
          <w:iCs/>
        </w:rPr>
        <w:t>f</w:t>
      </w:r>
      <w:r>
        <w:rPr>
          <w:rFonts w:hint="default" w:ascii="Times New Roman" w:hAnsi="Times New Roman" w:cs="Times New Roman"/>
          <w:i/>
          <w:iCs/>
          <w:vertAlign w:val="subscript"/>
        </w:rPr>
        <w:t>l</w:t>
      </w:r>
      <w:r>
        <w:rPr>
          <w:rFonts w:hint="eastAsia"/>
        </w:rPr>
        <w:t>。</w:t>
      </w:r>
    </w:p>
    <w:p w14:paraId="46FFF886">
      <w:pPr>
        <w:bidi w:val="0"/>
        <w:rPr>
          <w:rFonts w:hint="eastAsia"/>
        </w:rPr>
      </w:pPr>
      <w:r>
        <w:rPr>
          <w:rFonts w:hint="eastAsia"/>
        </w:rPr>
        <w:t>特征拼接通过保留各模态完整信息，将模态间关系学习交由后续哈希层自动建模，避免了在语义未对齐时过早交互带来的信息损失；门控融合虽具动态调整能力，但门控网络引入的额外参数在小规模数据集上收益有限；逐元素相加/相乘在模态语义未充分对齐时易造成信息抵消或放大失真。第二章介绍的双线性融合（公式2-12）和交叉注意力融合（公式2-13至2-16）虽然理论上具有更强的交互建模能力，但双线性融合产生d1×d2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r>
        <w:rPr>
          <w:rFonts w:hint="default"/>
          <w:lang w:val="en-US" w:eastAsia="zh-CN"/>
        </w:rPr>
        <w:t>。</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F51AC24">
      <w:pPr>
        <w:bidi w:val="0"/>
        <w:rPr>
          <w:rFonts w:hint="eastAsia"/>
        </w:rPr>
      </w:pPr>
      <w:r>
        <w:rPr>
          <w:rFonts w:hint="eastAsia"/>
        </w:rPr>
        <w:t>深度哈希学习的核心挑战在于如何将高维连续特征映射为紧凑的二进制哈希码，同时保持语义判别性和训练可优化性。现有方法如HashNe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采用FC-Tanh-Sign结构实现连续松弛，但将多模态拼接特征直接通过单层全连接投影至哈希空间，存在两方面局限：（1）高维混叠</w:t>
      </w:r>
      <w:r>
        <w:rPr>
          <w:rFonts w:hint="eastAsia"/>
          <w:lang w:eastAsia="zh-CN"/>
        </w:rPr>
        <w:t>，</w:t>
      </w:r>
      <w:r>
        <w:rPr>
          <w:rFonts w:hint="eastAsia"/>
        </w:rPr>
        <w:t>不同模态信息在投影过程中相互干扰，导致各模态的独立语义被稀释；（2）不可解释</w:t>
      </w:r>
      <w:r>
        <w:rPr>
          <w:rFonts w:hint="eastAsia"/>
          <w:lang w:eastAsia="zh-CN"/>
        </w:rPr>
        <w:t>，</w:t>
      </w:r>
      <w:r>
        <w:rPr>
          <w:rFonts w:hint="eastAsia"/>
        </w:rPr>
        <w:t>单一路投影无法反映各模态对最终哈希码的独立贡献。</w:t>
      </w:r>
    </w:p>
    <w:p w14:paraId="4C2D9BE1">
      <w:pPr>
        <w:bidi w:val="0"/>
        <w:rPr>
          <w:rFonts w:hint="eastAsia"/>
        </w:rPr>
      </w:pPr>
      <w:r>
        <w:rPr>
          <w:rFonts w:hint="eastAsia"/>
        </w:rPr>
        <w:t>针对上述问题，受现有图像-文本多模态哈希方法独立投影思想的启发</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lang w:eastAsia="zh-CN"/>
        </w:rPr>
        <w:t>，</w:t>
      </w:r>
      <w:r>
        <w:rPr>
          <w:rFonts w:hint="eastAsia"/>
        </w:rPr>
        <w:t>本文针对图像-地理位置坐标场景设计双分支哈希投影融合机制（DBHP），结构如图3.1</w:t>
      </w:r>
      <w:r>
        <w:rPr>
          <w:rFonts w:hint="eastAsia"/>
          <w:lang w:val="en-US" w:eastAsia="zh-CN"/>
        </w:rPr>
        <w:t>的哈希层</w:t>
      </w:r>
      <w:r>
        <w:rPr>
          <w:rFonts w:hint="eastAsia"/>
        </w:rPr>
        <w:t>所示。其核心思想是：将图像特征与位置特征分别通过独立投影矩阵映射至128维哈希语义空间，再在哈希空间进行显式加权融合。该设计的优势在于：（1）模态解耦</w:t>
      </w:r>
      <w:r>
        <w:rPr>
          <w:rFonts w:hint="eastAsia"/>
          <w:lang w:eastAsia="zh-CN"/>
        </w:rPr>
        <w:t>，</w:t>
      </w:r>
      <w:r>
        <w:rPr>
          <w:rFonts w:hint="eastAsia"/>
        </w:rPr>
        <w:t>各模态在投影过程中保持独立，避免混叠干扰；（2）可解释性</w:t>
      </w:r>
      <w:r>
        <w:rPr>
          <w:rFonts w:hint="eastAsia"/>
          <w:lang w:eastAsia="zh-CN"/>
        </w:rPr>
        <w:t>，</w:t>
      </w:r>
      <w:r>
        <w:rPr>
          <w:rFonts w:hint="eastAsia"/>
        </w:rPr>
        <w:t>融合权重</w:t>
      </w:r>
      <w:r>
        <w:rPr>
          <w:rFonts w:hint="default"/>
          <w:lang w:val="en-US" w:eastAsia="zh-CN"/>
        </w:rPr>
        <w:t>λ</w:t>
      </w:r>
      <w:r>
        <w:rPr>
          <w:rFonts w:hint="eastAsia"/>
        </w:rPr>
        <w:t>直接反映模型对图像模态与位置模态判别力的动态评估。</w:t>
      </w:r>
    </w:p>
    <w:p w14:paraId="1992FFDA">
      <w:pPr>
        <w:bidi w:val="0"/>
        <w:rPr>
          <w:rFonts w:hint="eastAsia"/>
        </w:rPr>
      </w:pPr>
      <w:r>
        <w:rPr>
          <w:rFonts w:hint="eastAsia"/>
        </w:rPr>
        <w:t>具体而言，设图像特征</w:t>
      </w:r>
      <w:r>
        <w:rPr>
          <w:rFonts w:hint="default" w:ascii="Times New Roman" w:hAnsi="Times New Roman" w:cs="Times New Roman"/>
          <w:i/>
          <w:iCs/>
        </w:rPr>
        <w:t>f</w:t>
      </w:r>
      <w:r>
        <w:rPr>
          <w:rFonts w:hint="default" w:ascii="Times New Roman" w:hAnsi="Times New Roman" w:cs="Times New Roman"/>
          <w:i/>
          <w:iCs/>
          <w:vertAlign w:val="subscript"/>
        </w:rPr>
        <w:t>i</w:t>
      </w:r>
      <w:r>
        <w:rPr>
          <w:rFonts w:hint="default" w:ascii="Times New Roman" w:hAnsi="Times New Roman" w:cs="Times New Roman"/>
          <w:i/>
          <w:iCs/>
        </w:rPr>
        <w:t>∈R</w:t>
      </w:r>
      <w:r>
        <w:rPr>
          <w:rFonts w:hint="default" w:ascii="Times New Roman" w:hAnsi="Times New Roman" w:cs="Times New Roman"/>
          <w:i/>
          <w:iCs/>
          <w:vertAlign w:val="superscript"/>
        </w:rPr>
        <w:t>512</w:t>
      </w:r>
      <w:r>
        <w:rPr>
          <w:rFonts w:hint="eastAsia"/>
          <w:i/>
          <w:iCs/>
        </w:rPr>
        <w:t>，位置特征f</w:t>
      </w:r>
      <w:r>
        <w:rPr>
          <w:rFonts w:hint="eastAsia"/>
          <w:i/>
          <w:iCs/>
          <w:vertAlign w:val="subscript"/>
          <w:lang w:val="en-US" w:eastAsia="zh-CN"/>
        </w:rPr>
        <w:t>l</w:t>
      </w:r>
      <w:r>
        <w:rPr>
          <w:rFonts w:hint="eastAsia"/>
          <w:i/>
          <w:iCs/>
        </w:rPr>
        <w:t>∈R</w:t>
      </w:r>
      <w:r>
        <w:rPr>
          <w:rFonts w:hint="eastAsia"/>
          <w:i/>
          <w:iCs/>
          <w:vertAlign w:val="superscript"/>
        </w:rPr>
        <w:t>256</w:t>
      </w:r>
      <w:r>
        <w:rPr>
          <w:rFonts w:hint="eastAsia"/>
        </w:rPr>
        <w:t>，双分支线性投影过程如公式（3-</w:t>
      </w:r>
      <w:r>
        <w:rPr>
          <w:rFonts w:hint="eastAsia"/>
          <w:lang w:val="en-US" w:eastAsia="zh-CN"/>
        </w:rPr>
        <w:t>6</w:t>
      </w:r>
      <w:r>
        <w:rPr>
          <w:rFonts w:hint="eastAsia"/>
        </w:rPr>
        <w:t>）和公式（3-</w:t>
      </w:r>
      <w:r>
        <w:rPr>
          <w:rFonts w:hint="eastAsia"/>
          <w:lang w:val="en-US" w:eastAsia="zh-CN"/>
        </w:rPr>
        <w:t>7</w:t>
      </w:r>
      <w:r>
        <w:rPr>
          <w:rFonts w:hint="eastAsia"/>
        </w:rPr>
        <w:t>）所示：</w:t>
      </w:r>
    </w:p>
    <w:p w14:paraId="741B47DE">
      <w:pPr>
        <w:pStyle w:val="54"/>
        <w:bidi w:val="0"/>
        <w:jc w:val="center"/>
        <w:rPr>
          <w:rFonts w:hint="eastAsia"/>
          <w:lang w:val="en-US" w:eastAsia="zh-CN"/>
        </w:rPr>
      </w:pPr>
      <w:r>
        <w:rPr>
          <w:rFonts w:hint="eastAsia" w:hAnsi="Cambria Math"/>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iCs/>
          <w:lang w:val="en-US" w:eastAsia="zh-CN"/>
        </w:rPr>
        <w:t>（3-</w:t>
      </w:r>
      <w:r>
        <w:rPr>
          <w:rFonts w:hint="eastAsia" w:cs="Times New Roman"/>
          <w:i w:val="0"/>
          <w:iCs/>
          <w:lang w:val="en-US" w:eastAsia="zh-CN"/>
        </w:rPr>
        <w:t>6</w:t>
      </w:r>
      <w:r>
        <w:rPr>
          <w:rFonts w:hint="default" w:ascii="Times New Roman" w:hAnsi="Times New Roman" w:cs="Times New Roman"/>
          <w:i w:val="0"/>
          <w:iCs/>
          <w:lang w:val="en-US" w:eastAsia="zh-CN"/>
        </w:rPr>
        <w:t>）</w:t>
      </w:r>
    </w:p>
    <w:p w14:paraId="46203D53">
      <w:pPr>
        <w:pStyle w:val="54"/>
        <w:bidi w:val="0"/>
        <w:jc w:val="center"/>
        <w:rPr>
          <w:rFonts w:hint="eastAsia" w:eastAsia="宋体"/>
          <w:lang w:val="en-US" w:eastAsia="zh-CN"/>
        </w:rPr>
      </w:pPr>
      <w:r>
        <w:rPr>
          <w:rFonts w:hint="eastAsia"/>
          <w:i/>
          <w:sz w:val="24"/>
          <w:lang w:val="en-US" w:eastAsia="zh-CN"/>
        </w:rPr>
        <w:t xml:space="preserve">                           </w:t>
      </w:r>
      <w:r>
        <w:rPr>
          <w:rFonts w:hint="eastAsia"/>
          <w:i/>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iCs/>
          <w:lang w:val="en-US" w:eastAsia="zh-CN"/>
        </w:rPr>
        <w:t>（3-</w:t>
      </w:r>
      <w:r>
        <w:rPr>
          <w:rFonts w:hint="eastAsia" w:cs="Times New Roman"/>
          <w:i w:val="0"/>
          <w:iCs/>
          <w:lang w:val="en-US" w:eastAsia="zh-CN"/>
        </w:rPr>
        <w:t>7</w:t>
      </w:r>
      <w:r>
        <w:rPr>
          <w:rFonts w:hint="default" w:ascii="Times New Roman" w:hAnsi="Times New Roman" w:cs="Times New Roman"/>
          <w:i w:val="0"/>
          <w:iCs/>
          <w:lang w:val="en-US" w:eastAsia="zh-CN"/>
        </w:rPr>
        <w:t>）</w:t>
      </w:r>
    </w:p>
    <w:p w14:paraId="2F8FE8C4">
      <w:pPr>
        <w:bidi w:val="0"/>
        <w:rPr>
          <w:rFonts w:hint="default"/>
          <w:lang w:val="en-US" w:eastAsia="zh-CN"/>
        </w:rPr>
      </w:pPr>
      <w:r>
        <w:rPr>
          <w:rFonts w:hint="default"/>
          <w:lang w:val="en-US" w:eastAsia="zh-CN"/>
        </w:rPr>
        <w:t>其中，</w:t>
      </w:r>
      <w:r>
        <w:rPr>
          <w:rFonts w:hint="default"/>
          <w:i/>
          <w:iCs/>
          <w:lang w:val="en-US" w:eastAsia="zh-CN"/>
        </w:rPr>
        <w:t>W</w:t>
      </w:r>
      <w:r>
        <w:rPr>
          <w:rFonts w:hint="default"/>
          <w:i/>
          <w:iCs/>
          <w:vertAlign w:val="subscript"/>
          <w:lang w:val="en-US" w:eastAsia="zh-CN"/>
        </w:rPr>
        <w:t>i</w:t>
      </w:r>
      <w:r>
        <w:rPr>
          <w:rFonts w:hint="default"/>
          <w:i/>
          <w:iCs/>
          <w:lang w:val="en-US" w:eastAsia="zh-CN"/>
        </w:rPr>
        <w:t>∈R</w:t>
      </w:r>
      <w:r>
        <w:rPr>
          <w:rFonts w:hint="default"/>
          <w:i/>
          <w:iCs/>
          <w:vertAlign w:val="superscript"/>
          <w:lang w:val="en-US" w:eastAsia="zh-CN"/>
        </w:rPr>
        <w:t>(128×512)</w:t>
      </w:r>
      <w:r>
        <w:rPr>
          <w:rFonts w:hint="default"/>
          <w:lang w:val="en-US" w:eastAsia="zh-CN"/>
        </w:rPr>
        <w:t>、</w:t>
      </w:r>
      <w:r>
        <w:rPr>
          <w:rFonts w:hint="default"/>
          <w:i/>
          <w:iCs/>
          <w:lang w:val="en-US" w:eastAsia="zh-CN"/>
        </w:rPr>
        <w:t>b</w:t>
      </w:r>
      <w:r>
        <w:rPr>
          <w:rFonts w:hint="default"/>
          <w:i/>
          <w:iCs/>
          <w:vertAlign w:val="subscript"/>
          <w:lang w:val="en-US" w:eastAsia="zh-CN"/>
        </w:rPr>
        <w:t>i</w:t>
      </w:r>
      <w:r>
        <w:rPr>
          <w:rFonts w:hint="default"/>
          <w:i/>
          <w:iCs/>
          <w:lang w:val="en-US" w:eastAsia="zh-CN"/>
        </w:rPr>
        <w:t>∈R</w:t>
      </w:r>
      <w:r>
        <w:rPr>
          <w:rFonts w:hint="default"/>
          <w:i/>
          <w:iCs/>
          <w:vertAlign w:val="superscript"/>
          <w:lang w:val="en-US" w:eastAsia="zh-CN"/>
        </w:rPr>
        <w:t>128</w:t>
      </w:r>
      <w:r>
        <w:rPr>
          <w:rFonts w:hint="default"/>
          <w:lang w:val="en-US" w:eastAsia="zh-CN"/>
        </w:rPr>
        <w:t>为图像分支投影参数；</w:t>
      </w:r>
      <w:r>
        <w:rPr>
          <w:rFonts w:hint="default"/>
          <w:i/>
          <w:iCs/>
          <w:lang w:val="en-US" w:eastAsia="zh-CN"/>
        </w:rPr>
        <w:t>W</w:t>
      </w:r>
      <w:r>
        <w:rPr>
          <w:rFonts w:hint="default"/>
          <w:i/>
          <w:iCs/>
          <w:vertAlign w:val="subscript"/>
          <w:lang w:val="en-US" w:eastAsia="zh-CN"/>
        </w:rPr>
        <w:t>l</w:t>
      </w:r>
      <w:r>
        <w:rPr>
          <w:rFonts w:hint="default"/>
          <w:i/>
          <w:iCs/>
          <w:lang w:val="en-US" w:eastAsia="zh-CN"/>
        </w:rPr>
        <w:t>∈R</w:t>
      </w:r>
      <w:r>
        <w:rPr>
          <w:rFonts w:hint="default"/>
          <w:i/>
          <w:iCs/>
          <w:vertAlign w:val="superscript"/>
          <w:lang w:val="en-US" w:eastAsia="zh-CN"/>
        </w:rPr>
        <w:t>(128×256)</w:t>
      </w:r>
      <w:r>
        <w:rPr>
          <w:rFonts w:hint="default"/>
          <w:lang w:val="en-US" w:eastAsia="zh-CN"/>
        </w:rPr>
        <w:t>、</w:t>
      </w:r>
      <w:r>
        <w:rPr>
          <w:rFonts w:hint="default"/>
          <w:i/>
          <w:iCs/>
          <w:lang w:val="en-US" w:eastAsia="zh-CN"/>
        </w:rPr>
        <w:t>b</w:t>
      </w:r>
      <w:r>
        <w:rPr>
          <w:rFonts w:hint="default"/>
          <w:i/>
          <w:iCs/>
          <w:vertAlign w:val="subscript"/>
          <w:lang w:val="en-US" w:eastAsia="zh-CN"/>
        </w:rPr>
        <w:t>l</w:t>
      </w:r>
      <w:r>
        <w:rPr>
          <w:rFonts w:hint="default"/>
          <w:i/>
          <w:iCs/>
          <w:lang w:val="en-US" w:eastAsia="zh-CN"/>
        </w:rPr>
        <w:t>∈R</w:t>
      </w:r>
      <w:r>
        <w:rPr>
          <w:rFonts w:hint="default"/>
          <w:i/>
          <w:iCs/>
          <w:vertAlign w:val="superscript"/>
          <w:lang w:val="en-US" w:eastAsia="zh-CN"/>
        </w:rPr>
        <w:t>128</w:t>
      </w:r>
      <w:r>
        <w:rPr>
          <w:rFonts w:hint="default"/>
          <w:lang w:val="en-US" w:eastAsia="zh-CN"/>
        </w:rPr>
        <w:t>为位置分支投影参数；</w:t>
      </w:r>
      <m:oMath>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eastAsia" w:ascii="Cambria Math" w:hAnsi="Cambria Math"/>
            <w:sz w:val="24"/>
            <w:lang w:eastAsia="zh-CN"/>
          </w:rPr>
          <m:t>，</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oMath>
      <w:r>
        <w:rPr>
          <w:rFonts w:hint="default"/>
          <w:i/>
          <w:iCs/>
          <w:lang w:val="en-US" w:eastAsia="zh-CN"/>
        </w:rPr>
        <w:t>∈R</w:t>
      </w:r>
      <w:r>
        <w:rPr>
          <w:rFonts w:hint="default"/>
          <w:i/>
          <w:iCs/>
          <w:vertAlign w:val="superscript"/>
          <w:lang w:val="en-US" w:eastAsia="zh-CN"/>
        </w:rPr>
        <w:t>128</w:t>
      </w:r>
      <w:r>
        <w:rPr>
          <w:rFonts w:hint="default"/>
          <w:lang w:val="en-US" w:eastAsia="zh-CN"/>
        </w:rPr>
        <w:t>为分支线性投影输出。</w:t>
      </w:r>
    </w:p>
    <w:p w14:paraId="7BBFD8FB">
      <w:pPr>
        <w:bidi w:val="0"/>
        <w:rPr>
          <w:rFonts w:hint="default"/>
          <w:lang w:val="en-US" w:eastAsia="zh-CN"/>
        </w:rPr>
      </w:pPr>
      <w:r>
        <w:rPr>
          <w:rFonts w:hint="default"/>
          <w:lang w:val="en-US" w:eastAsia="zh-CN"/>
        </w:rPr>
        <w:t>哈希空间融合与连续松弛过程如公式（3-</w:t>
      </w:r>
      <w:r>
        <w:rPr>
          <w:rFonts w:hint="eastAsia"/>
          <w:lang w:val="en-US" w:eastAsia="zh-CN"/>
        </w:rPr>
        <w:t>8</w:t>
      </w:r>
      <w:r>
        <w:rPr>
          <w:rFonts w:hint="default"/>
          <w:lang w:val="en-US" w:eastAsia="zh-CN"/>
        </w:rPr>
        <w:t>）和公式（3-</w:t>
      </w:r>
      <w:r>
        <w:rPr>
          <w:rFonts w:hint="eastAsia"/>
          <w:lang w:val="en-US" w:eastAsia="zh-CN"/>
        </w:rPr>
        <w:t>9</w:t>
      </w:r>
      <w:r>
        <w:rPr>
          <w:rFonts w:hint="default"/>
          <w:lang w:val="en-US" w:eastAsia="zh-CN"/>
        </w:rPr>
        <w:t>）所示：</w:t>
      </w:r>
    </w:p>
    <w:p w14:paraId="74365A50">
      <w:pPr>
        <w:bidi w:val="0"/>
        <w:ind w:left="0" w:leftChars="0" w:firstLine="0" w:firstLineChars="0"/>
        <w:jc w:val="center"/>
        <w:rPr>
          <w:rFonts w:hint="default" w:ascii="Times New Roman" w:hAnsi="Times New Roman" w:eastAsia="宋体" w:cs="Times New Roman"/>
          <w:i w:val="0"/>
          <w:iCs/>
          <w:lang w:val="en-US" w:eastAsia="zh-CN"/>
        </w:rPr>
      </w:pPr>
      <w:r>
        <w:rPr>
          <w:rFonts w:hint="eastAsia" w:hAnsi="Cambria Math"/>
          <w:i w:val="0"/>
          <w:sz w:val="24"/>
          <w:lang w:val="en-US" w:eastAsia="zh-CN"/>
        </w:rPr>
        <w:t xml:space="preserve">                            </w:t>
      </w:r>
      <m:oMath>
        <m:r>
          <m:rPr/>
          <w:rPr>
            <w:rFonts w:hint="default" w:ascii="Cambria Math" w:hAnsi="Cambria Math" w:eastAsia="宋体"/>
            <w:sz w:val="24"/>
          </w:rPr>
          <m:t>z=λ</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+(1−λ)</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 xml:space="preserve"> </w:t>
      </w:r>
      <w:r>
        <w:rPr>
          <w:rStyle w:val="55"/>
          <w:rFonts w:hint="eastAsia"/>
          <w:lang w:val="en-US" w:eastAsia="zh-CN"/>
        </w:rPr>
        <w:t xml:space="preserve">  </w:t>
      </w:r>
      <w:r>
        <w:rPr>
          <w:rStyle w:val="55"/>
          <w:rFonts w:hint="default" w:ascii="Times New Roman" w:hAnsi="Times New Roman" w:cs="Times New Roman"/>
          <w:i w:val="0"/>
          <w:iCs/>
          <w:lang w:val="en-US" w:eastAsia="zh-CN"/>
        </w:rPr>
        <w:t>（3-</w:t>
      </w:r>
      <w:r>
        <w:rPr>
          <w:rStyle w:val="55"/>
          <w:rFonts w:hint="eastAsia" w:cs="Times New Roman"/>
          <w:i w:val="0"/>
          <w:iCs/>
          <w:lang w:val="en-US" w:eastAsia="zh-CN"/>
        </w:rPr>
        <w:t>8</w:t>
      </w:r>
      <w:r>
        <w:rPr>
          <w:rStyle w:val="55"/>
          <w:rFonts w:hint="default" w:ascii="Times New Roman" w:hAnsi="Times New Roman" w:cs="Times New Roman"/>
          <w:i w:val="0"/>
          <w:iCs/>
          <w:lang w:val="en-US" w:eastAsia="zh-CN"/>
        </w:rPr>
        <w:t>）</w:t>
      </w:r>
    </w:p>
    <w:p w14:paraId="3EDC95F1">
      <w:pPr>
        <w:bidi w:val="0"/>
        <w:ind w:firstLine="3403" w:firstLineChars="1418"/>
        <w:jc w:val="center"/>
        <w:rPr>
          <w:rStyle w:val="55"/>
          <w:rFonts w:hint="eastAsia"/>
          <w:lang w:val="en-US" w:eastAsia="zh-CN"/>
        </w:rPr>
      </w:pPr>
      <w:r>
        <w:rPr>
          <w:rFonts w:hint="eastAsia" w:hAnsi="Cambria Math"/>
          <w:i w:val="0"/>
          <w:sz w:val="24"/>
          <w:lang w:val="en-US" w:eastAsia="zh-CN"/>
        </w:rPr>
        <w:t xml:space="preserve">  </w:t>
      </w:r>
      <m:oMath>
        <m:r>
          <m:rPr/>
          <w:rPr>
            <w:rFonts w:hint="default" w:ascii="Cambria Math" w:hAnsi="Cambria Math" w:eastAsia="宋体"/>
            <w:sz w:val="24"/>
          </w:rPr>
          <m:t>h=</m:t>
        </m:r>
        <m:func>
          <m:funcPr>
            <m:ctrlPr>
              <w:rPr>
                <w:rFonts w:hint="default" w:ascii="Cambria Math" w:hAnsi="Cambria Math" w:eastAsia="宋体"/>
                <w:sz w:val="24"/>
              </w:rPr>
            </m:ctrlPr>
          </m:funcPr>
          <m:fName>
            <m:r>
              <m:rPr>
                <m:sty m:val="p"/>
              </m:rPr>
              <w:rPr>
                <w:rFonts w:hint="default" w:ascii="Cambria Math" w:hAnsi="Cambria Math" w:eastAsia="宋体"/>
                <w:sz w:val="24"/>
              </w:rPr>
              <m:t>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z)</m:t>
        </m:r>
      </m:oMath>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 xml:space="preserve">   </w:t>
      </w:r>
      <w:r>
        <w:rPr>
          <w:rStyle w:val="55"/>
          <w:rFonts w:hint="default"/>
          <w:lang w:val="en-US" w:eastAsia="zh-CN"/>
        </w:rPr>
        <w:t>（3-</w:t>
      </w:r>
      <w:r>
        <w:rPr>
          <w:rStyle w:val="55"/>
          <w:rFonts w:hint="eastAsia"/>
          <w:lang w:val="en-US" w:eastAsia="zh-CN"/>
        </w:rPr>
        <w:t>9</w:t>
      </w:r>
      <w:r>
        <w:rPr>
          <w:rStyle w:val="55"/>
          <w:rFonts w:hint="default"/>
          <w:lang w:val="en-US" w:eastAsia="zh-CN"/>
        </w:rPr>
        <w:t>）</w:t>
      </w:r>
    </w:p>
    <w:p w14:paraId="600CFF46">
      <w:pPr>
        <w:bidi w:val="0"/>
        <w:rPr>
          <w:rFonts w:hint="default"/>
          <w:lang w:val="en-US" w:eastAsia="zh-CN"/>
        </w:rPr>
      </w:pPr>
      <w:r>
        <w:rPr>
          <w:rFonts w:hint="default"/>
          <w:lang w:val="en-US" w:eastAsia="zh-CN"/>
        </w:rPr>
        <w:t>其中，λ∈(0,1)为可学习融合权重，通过Sigmoid函数映射得到，即λ=σ(w)，其中</w:t>
      </w:r>
      <w:r>
        <w:rPr>
          <w:rFonts w:hint="default"/>
          <w:i/>
          <w:iCs/>
          <w:lang w:val="en-US" w:eastAsia="zh-CN"/>
        </w:rPr>
        <w:t>w</w:t>
      </w:r>
      <w:r>
        <w:rPr>
          <w:rFonts w:hint="default"/>
          <w:lang w:val="en-US" w:eastAsia="zh-CN"/>
        </w:rPr>
        <w:t>为可学习参数，确保λ始终处于(0,1)区间</w:t>
      </w:r>
      <w:r>
        <w:rPr>
          <w:rFonts w:hint="eastAsia"/>
          <w:lang w:val="en-US" w:eastAsia="zh-CN"/>
        </w:rPr>
        <w:t>；</w:t>
      </w:r>
      <w:r>
        <w:rPr>
          <w:rFonts w:hint="default"/>
          <w:lang w:val="en-US" w:eastAsia="zh-CN"/>
        </w:rPr>
        <w:t>初始化</w:t>
      </w:r>
      <w:r>
        <w:rPr>
          <w:rFonts w:hint="default"/>
          <w:i/>
          <w:iCs/>
          <w:lang w:val="en-US" w:eastAsia="zh-CN"/>
        </w:rPr>
        <w:t>w</w:t>
      </w:r>
      <w:r>
        <w:rPr>
          <w:rFonts w:hint="default"/>
          <w:lang w:val="en-US" w:eastAsia="zh-CN"/>
        </w:rPr>
        <w:t>=0使λ=0.5，以平衡两模态初始贡献。训练过程中λ自动优化，λ趋近于1表示模型更依赖图像判别信息，λ趋近于0表示位置信息在当前样本中起主导作用。</w:t>
      </w:r>
      <w:r>
        <w:rPr>
          <w:rFonts w:hint="default"/>
          <w:i/>
          <w:iCs/>
          <w:lang w:val="en-US" w:eastAsia="zh-CN"/>
        </w:rPr>
        <w:t>h</w:t>
      </w:r>
      <w:r>
        <w:rPr>
          <w:rFonts w:hint="default"/>
          <w:lang w:val="en-US" w:eastAsia="zh-CN"/>
        </w:rPr>
        <w:t>∈(-1,1)</w:t>
      </w:r>
      <w:r>
        <w:rPr>
          <w:rFonts w:hint="default"/>
          <w:vertAlign w:val="superscript"/>
          <w:lang w:val="en-US" w:eastAsia="zh-CN"/>
        </w:rPr>
        <w:t>128</w:t>
      </w:r>
      <w:r>
        <w:rPr>
          <w:rFonts w:hint="default"/>
          <w:lang w:val="en-US" w:eastAsia="zh-CN"/>
        </w:rPr>
        <w:t>为连续值哈希向量。</w:t>
      </w:r>
    </w:p>
    <w:p w14:paraId="3ABC2438">
      <w:pPr>
        <w:bidi w:val="0"/>
        <w:rPr>
          <w:rFonts w:hint="eastAsia"/>
          <w:lang w:val="en-US" w:eastAsia="zh-CN"/>
        </w:rPr>
      </w:pPr>
      <w:r>
        <w:rPr>
          <w:rFonts w:hint="eastAsia"/>
          <w:lang w:val="en-US" w:eastAsia="zh-CN"/>
        </w:rPr>
        <w:t>最终，通过符号函数将连续表示量化为二进制哈希码，如公式（3-10）所示：</w:t>
      </w:r>
    </w:p>
    <w:p w14:paraId="78E95238">
      <w:pPr>
        <w:pStyle w:val="54"/>
        <w:bidi w:val="0"/>
        <w:jc w:val="center"/>
        <w:rPr>
          <w:rFonts w:hint="eastAsia" w:eastAsia="宋体"/>
          <w:lang w:val="en-US" w:eastAsia="zh-CN"/>
        </w:rPr>
      </w:pPr>
      <w:r>
        <w:rPr>
          <w:rFonts w:hint="eastAsia" w:hAnsi="Cambria Math"/>
          <w:i w:val="0"/>
          <w:sz w:val="24"/>
          <w:lang w:val="en-US" w:eastAsia="zh-CN"/>
        </w:rPr>
        <w:t xml:space="preserve">      </w:t>
      </w:r>
      <w:r>
        <w:rPr>
          <w:rFonts w:hint="eastAsia" w:hAnsi="Cambria Math"/>
          <w:i w:val="0"/>
          <w:sz w:val="24"/>
          <w:lang w:val="en-US" w:eastAsia="zh-CN"/>
        </w:rPr>
        <w:tab/>
      </w:r>
      <m:oMath>
        <m:r>
          <m:rPr/>
          <w:rPr>
            <w:rFonts w:hint="default" w:ascii="Cambria Math" w:hAnsi="Cambria Math" w:eastAsia="宋体"/>
            <w:sz w:val="24"/>
          </w:rPr>
          <m:t>b=sign(h)</m:t>
        </m:r>
      </m:oMath>
      <w:r>
        <w:rPr>
          <w:rFonts w:hint="eastAsia" w:hAnsi="Cambria Math"/>
          <w:i w:val="0"/>
          <w:sz w:val="24"/>
          <w:lang w:val="en-US" w:eastAsia="zh-CN"/>
        </w:rPr>
        <w:tab/>
      </w:r>
      <w:r>
        <w:rPr>
          <w:rFonts w:hint="eastAsia" w:hAnsi="Cambria Math"/>
          <w:i w:val="0"/>
          <w:sz w:val="24"/>
          <w:lang w:eastAsia="zh-CN"/>
        </w:rPr>
        <w:t>（</w:t>
      </w:r>
      <w:r>
        <w:rPr>
          <w:rFonts w:hint="eastAsia" w:hAnsi="Cambria Math"/>
          <w:i w:val="0"/>
          <w:sz w:val="24"/>
          <w:lang w:val="en-US" w:eastAsia="zh-CN"/>
        </w:rPr>
        <w:t>3-10</w:t>
      </w:r>
      <w:r>
        <w:rPr>
          <w:rFonts w:hint="eastAsia" w:hAnsi="Cambria Math"/>
          <w:i w:val="0"/>
          <w:sz w:val="24"/>
          <w:lang w:eastAsia="zh-CN"/>
        </w:rPr>
        <w:t>）</w:t>
      </w:r>
    </w:p>
    <w:p w14:paraId="7DB03F9C">
      <w:pPr>
        <w:bidi w:val="0"/>
        <w:rPr>
          <w:rFonts w:hint="eastAsia"/>
          <w:lang w:val="en-US" w:eastAsia="zh-CN"/>
        </w:rPr>
      </w:pPr>
      <w:r>
        <w:rPr>
          <w:rFonts w:hint="eastAsia"/>
          <w:lang w:val="en-US" w:eastAsia="zh-CN"/>
        </w:rPr>
        <w:t>为减小训练阶段连续值与推理阶段离散值之间的量化误差，本文沿用量化损失进行约束，其数学表达式如公式（3-11）所示：</w:t>
      </w:r>
    </w:p>
    <w:p w14:paraId="2B150E7F">
      <w:pPr>
        <w:pStyle w:val="54"/>
        <w:bidi w:val="0"/>
        <w:jc w:val="both"/>
        <w:rPr>
          <w:rFonts w:hint="eastAsia" w:eastAsia="宋体"/>
          <w:lang w:val="en-US" w:eastAsia="zh-CN"/>
        </w:rPr>
      </w:pPr>
      <w:r>
        <w:rPr>
          <w:rFonts w:hint="eastAsia" w:hAnsi="Cambria Math"/>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nary>
          <m:naryPr>
            <m:chr m:val="∑"/>
            <m:limLoc m:val="subSup"/>
            <m:ctrlPr>
              <w:rPr>
                <w:rFonts w:hint="default" w:ascii="Cambria Math" w:hAnsi="Cambria Math" w:eastAsia="宋体"/>
                <w:sz w:val="24"/>
              </w:rPr>
            </m:ctrlPr>
          </m:naryPr>
          <m:sub>
            <m:r>
              <m:rPr/>
              <w:rPr>
                <w:rFonts w:hint="default" w:ascii="Cambria Math" w:hAnsi="Cambria Math" w:eastAsia="宋体"/>
                <w:sz w:val="24"/>
              </w:rPr>
              <m:t>j=1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（3-11）</w:t>
      </w:r>
    </w:p>
    <w:p w14:paraId="06BD2DF7">
      <w:pPr>
        <w:bidi w:val="0"/>
        <w:rPr>
          <w:rFonts w:hint="eastAsia"/>
          <w:lang w:val="en-US" w:eastAsia="zh-CN"/>
        </w:rPr>
      </w:pPr>
      <w:r>
        <w:rPr>
          <w:rFonts w:hint="eastAsia"/>
          <w:lang w:val="en-US" w:eastAsia="zh-CN"/>
        </w:rPr>
        <w:t>其中，</w:t>
      </w:r>
      <w:r>
        <w:rPr>
          <w:rFonts w:hint="eastAsia"/>
          <w:i/>
          <w:iCs/>
          <w:lang w:val="en-US" w:eastAsia="zh-CN"/>
        </w:rPr>
        <w:t>L</w:t>
      </w:r>
      <w:r>
        <w:rPr>
          <w:rFonts w:hint="eastAsia"/>
          <w:lang w:val="en-US" w:eastAsia="zh-CN"/>
        </w:rPr>
        <w:t>=128为哈希码长度；</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hint="eastAsia"/>
          <w:lang w:val="en-US" w:eastAsia="zh-CN"/>
        </w:rPr>
        <w:t>为第</w:t>
      </w:r>
      <w:r>
        <w:rPr>
          <w:rFonts w:hint="eastAsia"/>
          <w:i/>
          <w:iCs/>
          <w:lang w:val="en-US" w:eastAsia="zh-CN"/>
        </w:rPr>
        <w:t>j</w:t>
      </w:r>
      <w:r>
        <w:rPr>
          <w:rFonts w:hint="eastAsia"/>
          <w:lang w:val="en-US" w:eastAsia="zh-CN"/>
        </w:rPr>
        <w:t>位连续值输出。该损失鼓励哈希层输出的绝对值接近1，从而减小Sign函数量化引入的信息损失。</w:t>
      </w:r>
    </w:p>
    <w:p w14:paraId="4F7E53D6">
      <w:pPr>
        <w:bidi w:val="0"/>
        <w:rPr>
          <w:rFonts w:hint="eastAsia"/>
          <w:lang w:val="en-US" w:eastAsia="zh-CN"/>
        </w:rPr>
      </w:pPr>
      <w:r>
        <w:rPr>
          <w:rFonts w:hint="eastAsia"/>
          <w:lang w:val="en-US" w:eastAsia="zh-CN"/>
        </w:rPr>
        <w:t>此外，双分支投影未引入额外的非线性层或注意力模块，参数量与单路FC投影相比增量可忽略。</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3E62F700">
      <w:pPr>
        <w:ind w:firstLine="420"/>
        <w:jc w:val="center"/>
        <w:rPr>
          <w:rFonts w:hint="eastAsia"/>
          <w:sz w:val="21"/>
          <w:szCs w:val="21"/>
          <w:lang w:eastAsia="zh-CN"/>
        </w:rPr>
      </w:pPr>
    </w:p>
    <w:p w14:paraId="28C1BE32">
      <w:pPr>
        <w:numPr>
          <w:ilvl w:val="0"/>
          <w:numId w:val="5"/>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Loss通过构建三元组(锚点a、正样本p、负样本n)学习判别性特征。对于每个锚点样本，从同类别中随机选取正样本，从不同类别中选取负样本。数学表达式如公式（3-12）所示：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2</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5"/>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数学表达式如公式（3-13）所示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数学表达式如公式（3-14）所示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5"/>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，其数学表达式见上述公式（3-11）。</w:t>
      </w:r>
    </w:p>
    <w:p w14:paraId="5FF3FD89">
      <w:pPr>
        <w:numPr>
          <w:ilvl w:val="0"/>
          <w:numId w:val="5"/>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15）所示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5"/>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，其数学表达式如公式（3-16）所示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4" w:name="_Toc7999"/>
      <w:bookmarkStart w:id="105" w:name="_Toc219236321"/>
      <w:bookmarkStart w:id="106" w:name="_Toc21323"/>
      <w:bookmarkStart w:id="107" w:name="_Toc10210"/>
      <w:r>
        <w:rPr>
          <w:rFonts w:hint="eastAsia"/>
        </w:rPr>
        <w:t>3.2.</w:t>
      </w:r>
      <w:r>
        <w:rPr>
          <w:rFonts w:hint="eastAsia"/>
          <w:lang w:val="en-US" w:eastAsia="zh-CN"/>
        </w:rPr>
        <w:t>6 检索层</w:t>
      </w:r>
      <w:bookmarkEnd w:id="104"/>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6"/>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使用哈希层输出的连续值哈希码，通过余弦相似度度量查询样本与库样本的语义相似程度。余弦相似度计算数学表达式如公式（3-17）所示：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6"/>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将哈希层输出的连续值通过Sign函数二值化为128位二进制哈希码，利用汉明距离度量样本间的相似性。汉明距离数学表达式如公式（3-18）所示：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6"/>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5"/>
      <w:r>
        <w:rPr>
          <w:rFonts w:hint="eastAsia"/>
          <w:lang w:val="en-US" w:eastAsia="zh-CN"/>
        </w:rPr>
        <w:t xml:space="preserve"> </w:t>
      </w:r>
      <w:r>
        <w:rPr>
          <w:rFonts w:hint="eastAsia"/>
        </w:rPr>
        <w:t>实验条件</w:t>
      </w:r>
      <w:bookmarkEnd w:id="106"/>
      <w:r>
        <w:rPr>
          <w:rFonts w:hint="eastAsia"/>
        </w:rPr>
        <w:t>与环境设置</w:t>
      </w:r>
      <w:bookmarkEnd w:id="107"/>
      <w:bookmarkEnd w:id="108"/>
    </w:p>
    <w:p w14:paraId="3D6EC3F3">
      <w:pPr>
        <w:pStyle w:val="4"/>
        <w:ind w:left="0" w:leftChars="0" w:firstLine="0" w:firstLineChars="0"/>
      </w:pPr>
      <w:bookmarkStart w:id="109" w:name="_Toc23804"/>
      <w:bookmarkStart w:id="110" w:name="_Toc17588"/>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177FA4AE">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本研究的数据构建流程如下：</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41314CAB">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经上述筛查，最终保留197个物种、12544张具有有效坐标的图像数据。</w:t>
      </w:r>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将上述12544张古树名木相关图像按约7:2:1比例划分为训练集（8781张）、验证集（2509张）和测试集（1254张）。为避免数据泄露，划分时基于image_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58D78F91">
      <w:pPr>
        <w:bidi w:val="0"/>
        <w:rPr>
          <w:rFonts w:hint="eastAsia"/>
          <w:lang w:eastAsia="zh-CN"/>
        </w:rPr>
      </w:pPr>
      <w:r>
        <w:rPr>
          <w:rFonts w:hint="eastAsia"/>
        </w:rPr>
        <w:t>本研究的数据构建流程如下</w:t>
      </w: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步骤2，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红桦共15个典型树种。</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本书收录的约190株古树经多图扩展后获得500余张候选图像，经严格筛选后保留300张带精确位置坐标的权威标注样本，已属稀缺资源。为缓解小样本对实验结论的影响，本文采用“iNaturalist预训练+BFATH微调”的迁移学习策略降低对小样本的依赖。BFATH在本文中的职能定位为：领域微调，在iNaturalist预训练模型基础上，使用BFATH训练集进行有监督微调，验证模型在真实古树名木数据上的迁移能力；系统演示，作为第4章系统演示数据源，树龄、树高等字段仅用于系统功能界面展示，不参与任何模型训练与计算过程。</w:t>
      </w:r>
    </w:p>
    <w:p w14:paraId="0AA28CD3">
      <w:pPr>
        <w:bidi w:val="0"/>
      </w:pPr>
      <w:r>
        <w:rPr>
          <w:rFonts w:hint="eastAsia"/>
        </w:rPr>
        <w:t>综上所述，iNaturalist 2018数据集作为主要实验数据，BFATH数据集用于领域微调与系统演示。</w:t>
      </w:r>
    </w:p>
    <w:p w14:paraId="19013A6B">
      <w:pPr>
        <w:pStyle w:val="4"/>
      </w:pPr>
      <w:bookmarkStart w:id="111" w:name="_Toc1770392442"/>
      <w:bookmarkStart w:id="112" w:name="_Toc14020"/>
      <w:bookmarkStart w:id="113" w:name="_Toc6854"/>
      <w:bookmarkStart w:id="114" w:name="_Toc2909"/>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7"/>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7"/>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7"/>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7"/>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16" w:name="_Toc11187"/>
      <w:bookmarkStart w:id="117" w:name="_Toc3128"/>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8"/>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8"/>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8"/>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搜索半径</w:t>
      </w:r>
      <w:r>
        <w:rPr>
          <w:rFonts w:hint="eastAsia"/>
          <w:lang w:eastAsia="zh-CN"/>
        </w:rPr>
        <w:t>&lt;1km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8"/>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31614"/>
      <w:bookmarkStart w:id="119" w:name="_Toc18063"/>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30944C58">
      <w:pPr>
        <w:bidi w:val="0"/>
      </w:pPr>
      <w:bookmarkStart w:id="121" w:name="_Toc8211"/>
    </w:p>
    <w:p w14:paraId="6E81C1BF">
      <w:pPr>
        <w:pStyle w:val="4"/>
      </w:pPr>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多模态融合层构建768维融合特征。哈希层采用双分支投影结构：图像分支通过512×128投影矩阵映射至128维哈希空间，位置分支通过256×128投影矩阵映射至128维哈希空间，再通过可学习权重</w:t>
      </w:r>
      <w:r>
        <w:rPr>
          <w:rFonts w:hint="default"/>
          <w:lang w:val="en-US" w:eastAsia="zh-CN"/>
        </w:rPr>
        <w:t>λ</w:t>
      </w:r>
      <w:r>
        <w:rPr>
          <w:rFonts w:hint="eastAsia"/>
          <w:lang w:eastAsia="zh-Hans"/>
        </w:rPr>
        <w:t>在哈希空间融合为128维连续哈希表示。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898680015"/>
      <w:bookmarkStart w:id="123" w:name="_Toc12000"/>
      <w:bookmarkStart w:id="124" w:name="_Toc2221"/>
      <w:bookmarkStart w:id="125" w:name="_Toc2544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592"/>
      <w:bookmarkStart w:id="127" w:name="_Toc3264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2018承担核心性能对比（表3.3）、融合策略对比（表3.6）与消融实验（表3.7），保证统计稳健性；BFATH承担领域微调验证与系统演示，关注模型在真实古树名木场景中的迁移有效性。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9"/>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9"/>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9"/>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0"/>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0"/>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模态对齐实现拍摄地理位置推断（Geo-localization），其任务目标为根据输入图像推断未知地理位置坐标，属于回归/分类任务；而DHLM面向数据库检索场景，通过哈希码快速匹配数据库中已知古树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1"/>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需要说明的是，DHLM-Image作为单模态变体，其哈希层沿用经典FC-Tanh-Sign结构；完整DHLM模型的多模态哈希层则采用3.2.4节所述的DBHP双分支投影机制。</w:t>
      </w:r>
    </w:p>
    <w:p w14:paraId="11B120BE">
      <w:pPr>
        <w:numPr>
          <w:ilvl w:val="0"/>
          <w:numId w:val="11"/>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1"/>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方面创新：双分支哈希投影机制将图像特征与位置特征分别映射至128维哈希语义空间，通过可学习权重</w:t>
      </w:r>
      <w:r>
        <w:rPr>
          <w:rFonts w:hint="default"/>
          <w:lang w:val="en-US" w:eastAsia="zh-CN"/>
        </w:rPr>
        <w:t>λ</w:t>
      </w:r>
      <w:r>
        <w:rPr>
          <w:rFonts w:hint="eastAsia"/>
        </w:rPr>
        <w:t>在哈希空间进行显式加权融合，既保留了各模态的独立判别语义，又实现了模态间的互补增强，有效缓解了单一图像特征在形态相似树种判别中的局限性；多损失联合优化通过Triplet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2C8E5FF5">
      <w:pPr>
        <w:ind w:firstLine="420"/>
        <w:jc w:val="left"/>
        <w:rPr>
          <w:rFonts w:hint="eastAsia"/>
        </w:rPr>
      </w:pPr>
      <w:bookmarkStart w:id="130" w:name="_Toc8339"/>
      <w:bookmarkStart w:id="131" w:name="_Toc16225"/>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55FBA59B">
      <w:pPr>
        <w:ind w:left="0" w:leftChars="0" w:firstLine="420" w:firstLineChars="0"/>
        <w:jc w:val="left"/>
        <w:rPr>
          <w:rFonts w:hint="eastAsia"/>
          <w:lang w:eastAsia="zh-CN"/>
        </w:rPr>
      </w:pPr>
      <w:r>
        <w:rPr>
          <w:rFonts w:hint="eastAsia"/>
          <w:lang w:val="en-US" w:eastAsia="zh-CN"/>
        </w:rPr>
        <w:t>见下</w:t>
      </w:r>
      <w:r>
        <w:rPr>
          <w:rFonts w:hint="eastAsia"/>
        </w:rPr>
        <w:t>表3.</w:t>
      </w:r>
      <w:r>
        <w:rPr>
          <w:rFonts w:hint="eastAsia"/>
          <w:lang w:val="en-US" w:eastAsia="zh-CN"/>
        </w:rPr>
        <w:t>6所示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00D091DF">
      <w:pPr>
        <w:ind w:left="0" w:leftChars="0" w:firstLine="420" w:firstLineChars="0"/>
        <w:jc w:val="left"/>
        <w:rPr>
          <w:rFonts w:hint="eastAsia"/>
          <w:lang w:eastAsia="zh-CN"/>
        </w:rPr>
      </w:pPr>
    </w:p>
    <w:p w14:paraId="7C97F858">
      <w:pPr>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融合策略对比实验</w:t>
      </w:r>
    </w:p>
    <w:p w14:paraId="5C9DBB83">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65E4FA94">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3F8C87B9">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6EB622B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2FAE022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6343D971">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14C92012">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00FCFF44">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7A2E761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09ABBCDB">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37E1984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766BB3BE">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621879E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3FB045A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6137F3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1B8E6FE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71C466C">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06C9EBF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A19BE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A48BF2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77A435EC">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85BFBA4">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6EE4D1">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03A21B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7B3A92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1B36CE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552C632F">
      <w:pPr>
        <w:bidi w:val="0"/>
        <w:ind w:left="0" w:leftChars="0" w:firstLine="0" w:firstLineChars="0"/>
      </w:pPr>
    </w:p>
    <w:p w14:paraId="554A9B59">
      <w:pPr>
        <w:pStyle w:val="4"/>
        <w:rPr>
          <w:rFonts w:hint="eastAsia" w:eastAsia="宋体"/>
          <w:lang w:val="en-US" w:eastAsia="zh-CN"/>
        </w:rPr>
      </w:pPr>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张）上设计消融实验。相比于BFATH测试集（30张），iNaturalist验证集样本量充足，统计波动显著降低，可为模块贡献提供更稳健的量化估计。本节设置以下五种模型配置</w:t>
      </w:r>
      <w:r>
        <w:rPr>
          <w:rFonts w:hint="eastAsia"/>
          <w:lang w:val="en-US" w:eastAsia="zh-CN"/>
        </w:rPr>
        <w:t>：</w:t>
      </w:r>
    </w:p>
    <w:p w14:paraId="4C3CB358">
      <w:pPr>
        <w:numPr>
          <w:ilvl w:val="0"/>
          <w:numId w:val="12"/>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2"/>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2"/>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246B4182">
      <w:pPr>
        <w:numPr>
          <w:ilvl w:val="0"/>
          <w:numId w:val="12"/>
        </w:numPr>
        <w:ind w:firstLine="420"/>
        <w:jc w:val="left"/>
        <w:rPr>
          <w:rFonts w:hint="default"/>
          <w:lang w:val="en-US" w:eastAsia="zh-CN"/>
        </w:rPr>
      </w:pPr>
      <w:r>
        <w:rPr>
          <w:rFonts w:hint="default"/>
          <w:lang w:val="en-US" w:eastAsia="zh-CN"/>
        </w:rPr>
        <w:t>w/o DBHP</w:t>
      </w:r>
      <w:r>
        <w:rPr>
          <w:rFonts w:hint="eastAsia"/>
          <w:lang w:val="en-US" w:eastAsia="zh-CN"/>
        </w:rPr>
        <w:t>：</w:t>
      </w:r>
      <w:r>
        <w:rPr>
          <w:rFonts w:hint="default"/>
          <w:lang w:val="en-US" w:eastAsia="zh-CN"/>
        </w:rPr>
        <w:t>去除双分支哈希投影，改用单路FC(768→128)直接投影，其余配置不变。该单路FC结构与HashNe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default"/>
          <w:lang w:val="en-US" w:eastAsia="zh-CN"/>
        </w:rPr>
        <w:t>、DCH</w:t>
      </w:r>
      <w:r>
        <w:rPr>
          <w:rFonts w:hint="default"/>
          <w:vertAlign w:val="superscript"/>
          <w:lang w:val="en-US" w:eastAsia="zh-CN"/>
        </w:rPr>
        <w:fldChar w:fldCharType="begin"/>
      </w:r>
      <w:r>
        <w:instrText xml:space="preserve"> REF _Ref1088561762 \r \h  \* MERGEFORMAT</w:instrText>
      </w:r>
      <w:r>
        <w:rPr>
          <w:rFonts w:hint="default"/>
          <w:vertAlign w:val="superscript"/>
          <w:lang w:val="en-US" w:eastAsia="zh-CN"/>
        </w:rPr>
        <w:fldChar w:fldCharType="separate"/>
      </w:r>
      <w:r>
        <w:rPr>
          <w:rFonts w:hint="default"/>
          <w:vertAlign w:val="superscript"/>
          <w:lang w:val="en-US" w:eastAsia="zh-CN"/>
        </w:rPr>
        <w:t>[41]</w:t>
      </w:r>
      <w:r>
        <w:rPr>
          <w:rFonts w:hint="default"/>
          <w:vertAlign w:val="superscript"/>
          <w:lang w:val="en-US" w:eastAsia="zh-CN"/>
        </w:rPr>
        <w:fldChar w:fldCharType="end"/>
      </w:r>
      <w:r>
        <w:rPr>
          <w:rFonts w:hint="default"/>
          <w:lang w:val="en-US" w:eastAsia="zh-CN"/>
        </w:rPr>
        <w:t>、MDSH</w:t>
      </w:r>
      <w:r>
        <w:rPr>
          <w:rFonts w:hint="default"/>
          <w:vertAlign w:val="superscript"/>
          <w:lang w:val="en-US" w:eastAsia="zh-CN"/>
        </w:rPr>
        <w:fldChar w:fldCharType="begin"/>
      </w:r>
      <w:r>
        <w:instrText xml:space="preserve"> REF _Ref1088864288 \r \h  \* MERGEFORMAT</w:instrText>
      </w:r>
      <w:r>
        <w:rPr>
          <w:rFonts w:hint="default"/>
          <w:vertAlign w:val="superscript"/>
          <w:lang w:val="en-US" w:eastAsia="zh-CN"/>
        </w:rPr>
        <w:fldChar w:fldCharType="separate"/>
      </w:r>
      <w:r>
        <w:rPr>
          <w:rFonts w:hint="default"/>
          <w:vertAlign w:val="superscript"/>
          <w:lang w:val="en-US" w:eastAsia="zh-CN"/>
        </w:rPr>
        <w:t>[42]</w:t>
      </w:r>
      <w:r>
        <w:rPr>
          <w:rFonts w:hint="default"/>
          <w:vertAlign w:val="superscript"/>
          <w:lang w:val="en-US" w:eastAsia="zh-CN"/>
        </w:rPr>
        <w:fldChar w:fldCharType="end"/>
      </w:r>
      <w:r>
        <w:rPr>
          <w:rFonts w:hint="default"/>
          <w:lang w:val="en-US" w:eastAsia="zh-CN"/>
        </w:rPr>
        <w:t>等基线方法的哈希层结构</w:t>
      </w:r>
      <w:r>
        <w:rPr>
          <w:rFonts w:hint="eastAsia"/>
          <w:lang w:val="en-US" w:eastAsia="zh-CN"/>
        </w:rPr>
        <w:t>相似</w:t>
      </w:r>
      <w:r>
        <w:rPr>
          <w:rFonts w:hint="default"/>
          <w:lang w:val="en-US" w:eastAsia="zh-CN"/>
        </w:rPr>
        <w:t>，但输入维度为768（融合特征），大于单模态基线的512维图像特征输入；二者均属于</w:t>
      </w:r>
      <w:r>
        <w:rPr>
          <w:rFonts w:hint="eastAsia"/>
          <w:lang w:val="en-US" w:eastAsia="zh-CN"/>
        </w:rPr>
        <w:t>“</w:t>
      </w:r>
      <w:r>
        <w:rPr>
          <w:rFonts w:hint="default"/>
          <w:lang w:val="en-US" w:eastAsia="zh-CN"/>
        </w:rPr>
        <w:t>单投影矩阵降维</w:t>
      </w:r>
      <w:r>
        <w:rPr>
          <w:rFonts w:hint="eastAsia"/>
          <w:lang w:val="en-US" w:eastAsia="zh-CN"/>
        </w:rPr>
        <w:t>”</w:t>
      </w:r>
      <w:r>
        <w:rPr>
          <w:rFonts w:hint="default"/>
          <w:lang w:val="en-US" w:eastAsia="zh-CN"/>
        </w:rPr>
        <w:t>的同类结构，w/o DBHP与FULL的对比是在控制其余模块完全一致的条件下，对单投影与双投影策略的对照验证，旨在量化双分支独立投影的设计价值。</w:t>
      </w:r>
    </w:p>
    <w:p w14:paraId="41CC5821">
      <w:pPr>
        <w:numPr>
          <w:ilvl w:val="0"/>
          <w:numId w:val="12"/>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模型（含多模态融合、在线难例挖掘、量化损失和DBHP）</w:t>
      </w:r>
      <w:r>
        <w:rPr>
          <w:rFonts w:hint="eastAsia"/>
          <w:lang w:val="en-US" w:eastAsia="zh-CN"/>
        </w:rPr>
        <w:t>。</w:t>
      </w:r>
    </w:p>
    <w:p w14:paraId="6D8196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0A5327D">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消融实验</w:t>
      </w:r>
    </w:p>
    <w:p w14:paraId="5E8ADE2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100D6A5">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57656847">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5338B5EE">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6A90B61D">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14EB0078">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49" w:type="dxa"/>
            <w:tcBorders>
              <w:top w:val="single" w:color="000000" w:sz="12" w:space="0"/>
              <w:left w:val="nil"/>
              <w:bottom w:val="nil"/>
              <w:right w:val="nil"/>
            </w:tcBorders>
            <w:noWrap w:val="0"/>
            <w:tcMar>
              <w:top w:w="-1" w:type="dxa"/>
              <w:left w:w="-1" w:type="dxa"/>
              <w:bottom w:w="-1" w:type="dxa"/>
              <w:right w:w="-1" w:type="dxa"/>
            </w:tcMar>
            <w:vAlign w:val="center"/>
          </w:tcPr>
          <w:p w14:paraId="0964191F">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146D4FA4">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7A603467">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7E4C945B">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77838B6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1F2D7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49" w:type="dxa"/>
            <w:tcBorders>
              <w:top w:val="single" w:color="000000" w:sz="4" w:space="0"/>
              <w:left w:val="nil"/>
              <w:bottom w:val="nil"/>
              <w:right w:val="nil"/>
            </w:tcBorders>
            <w:noWrap w:val="0"/>
            <w:tcMar>
              <w:top w:w="-1" w:type="dxa"/>
              <w:left w:w="-1" w:type="dxa"/>
              <w:bottom w:w="-1" w:type="dxa"/>
              <w:right w:w="-1" w:type="dxa"/>
            </w:tcMar>
            <w:vAlign w:val="center"/>
          </w:tcPr>
          <w:p w14:paraId="78CDF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5B6FC7D5">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1610B8A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0862355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346350BB">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1F4464">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49" w:type="dxa"/>
            <w:tcBorders>
              <w:top w:val="nil"/>
              <w:left w:val="nil"/>
              <w:bottom w:val="nil"/>
              <w:right w:val="nil"/>
            </w:tcBorders>
            <w:noWrap w:val="0"/>
            <w:tcMar>
              <w:top w:w="-1" w:type="dxa"/>
              <w:left w:w="-1" w:type="dxa"/>
              <w:bottom w:w="-1" w:type="dxa"/>
              <w:right w:w="-1" w:type="dxa"/>
            </w:tcMar>
            <w:vAlign w:val="center"/>
          </w:tcPr>
          <w:p w14:paraId="1761FDC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6C0C0BCA">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9900CB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 xml:space="preserve">w/o </w:t>
            </w:r>
            <w:r>
              <w:rPr>
                <w:rFonts w:hint="eastAsia"/>
                <w:sz w:val="21"/>
                <w:lang w:val="en-US" w:eastAsia="zh-CN"/>
              </w:rPr>
              <w:t>DBHP</w:t>
            </w:r>
          </w:p>
        </w:tc>
        <w:tc>
          <w:tcPr>
            <w:tcW w:w="1332" w:type="dxa"/>
            <w:tcBorders>
              <w:top w:val="nil"/>
              <w:left w:val="nil"/>
              <w:bottom w:val="nil"/>
              <w:right w:val="nil"/>
            </w:tcBorders>
            <w:noWrap w:val="0"/>
            <w:tcMar>
              <w:top w:w="-1" w:type="dxa"/>
              <w:left w:w="-1" w:type="dxa"/>
              <w:bottom w:w="-1" w:type="dxa"/>
              <w:right w:w="-1" w:type="dxa"/>
            </w:tcMar>
            <w:vAlign w:val="center"/>
          </w:tcPr>
          <w:p w14:paraId="6D7D28E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729</w:t>
            </w:r>
          </w:p>
        </w:tc>
        <w:tc>
          <w:tcPr>
            <w:tcW w:w="1333" w:type="dxa"/>
            <w:tcBorders>
              <w:top w:val="nil"/>
              <w:left w:val="nil"/>
              <w:bottom w:val="nil"/>
              <w:right w:val="nil"/>
            </w:tcBorders>
            <w:noWrap w:val="0"/>
            <w:tcMar>
              <w:top w:w="-1" w:type="dxa"/>
              <w:left w:w="-1" w:type="dxa"/>
              <w:bottom w:w="-1" w:type="dxa"/>
              <w:right w:w="-1" w:type="dxa"/>
            </w:tcMar>
            <w:vAlign w:val="center"/>
          </w:tcPr>
          <w:p w14:paraId="0376595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566</w:t>
            </w:r>
          </w:p>
        </w:tc>
        <w:tc>
          <w:tcPr>
            <w:tcW w:w="1333" w:type="dxa"/>
            <w:tcBorders>
              <w:top w:val="nil"/>
              <w:left w:val="nil"/>
              <w:bottom w:val="nil"/>
              <w:right w:val="nil"/>
            </w:tcBorders>
            <w:noWrap w:val="0"/>
            <w:tcMar>
              <w:top w:w="-1" w:type="dxa"/>
              <w:left w:w="-1" w:type="dxa"/>
              <w:bottom w:w="-1" w:type="dxa"/>
              <w:right w:w="-1" w:type="dxa"/>
            </w:tcMar>
            <w:vAlign w:val="center"/>
          </w:tcPr>
          <w:p w14:paraId="4370F412">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0.794</w:t>
            </w:r>
          </w:p>
        </w:tc>
        <w:tc>
          <w:tcPr>
            <w:tcW w:w="1449" w:type="dxa"/>
            <w:tcBorders>
              <w:top w:val="nil"/>
              <w:left w:val="nil"/>
              <w:bottom w:val="nil"/>
              <w:right w:val="nil"/>
            </w:tcBorders>
            <w:noWrap w:val="0"/>
            <w:tcMar>
              <w:top w:w="-1" w:type="dxa"/>
              <w:left w:w="-1" w:type="dxa"/>
              <w:bottom w:w="-1" w:type="dxa"/>
              <w:right w:w="-1" w:type="dxa"/>
            </w:tcMar>
            <w:vAlign w:val="center"/>
          </w:tcPr>
          <w:p w14:paraId="6B4FF54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0.879</w:t>
            </w:r>
          </w:p>
        </w:tc>
      </w:tr>
      <w:tr w14:paraId="754BBFDD">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15C8A8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7AC8D02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3F1C9C4">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7A27CB0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49" w:type="dxa"/>
            <w:tcBorders>
              <w:top w:val="nil"/>
              <w:left w:val="nil"/>
              <w:bottom w:val="nil"/>
              <w:right w:val="nil"/>
            </w:tcBorders>
            <w:shd w:val="clear" w:color="auto" w:fill="auto"/>
            <w:noWrap w:val="0"/>
            <w:tcMar>
              <w:top w:w="-1" w:type="dxa"/>
              <w:left w:w="-1" w:type="dxa"/>
              <w:bottom w:w="-1" w:type="dxa"/>
              <w:right w:w="-1" w:type="dxa"/>
            </w:tcMar>
            <w:vAlign w:val="center"/>
          </w:tcPr>
          <w:p w14:paraId="1F7060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562EDFE7">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6864721">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2303D1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EDF4AE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744F0D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4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4982B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049059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表3.7所示。在iNaturalist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 xml:space="preserve">0.726，下降约1.3个百分点，P@1降至0.563、R@10降至0.875，验证了在线难例挖掘策略对长尾分布类别不平衡问题的优化作用；在缺少难例挖掘时，模型对尾部类别的判别能力下降，导致头部命中率损失明显。w/o DBHP取得mAP </w:t>
      </w:r>
      <w:r>
        <w:rPr>
          <w:rFonts w:hint="eastAsia"/>
          <w:lang w:val="en-US" w:eastAsia="zh-CN"/>
        </w:rPr>
        <w:t>=</w:t>
      </w:r>
      <w:r>
        <w:rPr>
          <w:rFonts w:hint="eastAsia"/>
        </w:rPr>
        <w:t>0.729，下降约1.2个百分点，P@1降至0.566、R@10降至0.879；单路FC投影将图像和位置信息混合后一次性降维，导致位置模态的地理判别信息被稀释，而DBHP通过独立投影保留各模态哈希语义，再通过λ加权融合实现有选择的信息整合。此外，训练过程中</w:t>
      </w:r>
      <w:r>
        <w:rPr>
          <w:rFonts w:hint="default"/>
          <w:lang w:val="en-US" w:eastAsia="zh-CN"/>
        </w:rPr>
        <w:t>λ</w:t>
      </w:r>
      <w:r>
        <w:rPr>
          <w:rFonts w:hint="eastAsia"/>
        </w:rPr>
        <w:t>最终收敛至0.62附近，表明模型对图像模态赋予略高权重，体现了DBHP的可解释性优势。w/o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1的程度增大，导致汉明距离检索精度略有下降。</w:t>
      </w:r>
    </w:p>
    <w:p w14:paraId="66F433B6">
      <w:pPr>
        <w:jc w:val="left"/>
        <w:rPr>
          <w:rFonts w:hint="eastAsia"/>
        </w:rPr>
      </w:pPr>
      <w:r>
        <w:rPr>
          <w:rFonts w:hint="eastAsia"/>
        </w:rPr>
        <w:t>综上所述，五个模块协同工作实现最优性能，证明了DHLM各模块设计的合理性与必要性。各模块的mAP贡献排序为“地理位置（约2.8个百分点）&gt; 难例挖掘（约1.3个百分点）&gt; DBHP（约1.2个百分点）&gt; 量化损失（约0.6个百分点）”。从相对贡献比例来看，地理位置元数据融合贡献了总性能提升的约48.3%（2.8/5.8），难例挖掘贡献约22.4%（1.3/5.8），DBHP贡献约20.7%（1.2/5.8），量化损失贡献约10.3%（0.6/5.8），四者形成“主导—辅助—结构优化—约束”的层级贡献格局。需要说明的是，上述消融实验在iNaturalist 2018验证集上完成，验证了模块设计的通用有效性；模型在真实古树名木场景（BFATH）中的迁移性能见3.4.2节，完整模型在BFATH上取得mAP 0.647，表明各模块设计具备良好的领域迁移能力。</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8</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8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454"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mAp</w:t>
            </w:r>
          </w:p>
        </w:tc>
      </w:tr>
      <w:tr w14:paraId="48C13345">
        <w:tblPrEx>
          <w:tblCellMar>
            <w:top w:w="0" w:type="dxa"/>
            <w:left w:w="108" w:type="dxa"/>
            <w:bottom w:w="0" w:type="dxa"/>
            <w:right w:w="108" w:type="dxa"/>
          </w:tblCellMar>
        </w:tblPrEx>
        <w:trPr>
          <w:trHeight w:val="454"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454"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454"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454"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454"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26A5D9E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bookmarkStart w:id="133" w:name="_Toc18827"/>
      <w:bookmarkStart w:id="134" w:name="_Toc19354"/>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9B2719E">
      <w:pPr>
        <w:pStyle w:val="3"/>
        <w:spacing w:before="193"/>
        <w:rPr>
          <w:rFonts w:hint="eastAsia" w:eastAsia="黑体"/>
          <w:lang w:val="en-US" w:eastAsia="zh-CN"/>
        </w:rPr>
      </w:pPr>
      <w:r>
        <w:rPr>
          <w:rFonts w:hint="eastAsia"/>
        </w:rPr>
        <w:t>3.5 本章</w:t>
      </w:r>
      <w:bookmarkEnd w:id="133"/>
      <w:r>
        <w:rPr>
          <w:rFonts w:hint="eastAsia"/>
          <w:lang w:val="en-US" w:eastAsia="zh-CN"/>
        </w:rPr>
        <w:t>小结</w:t>
      </w:r>
      <w:bookmarkEnd w:id="134"/>
    </w:p>
    <w:bookmarkEnd w:id="85"/>
    <w:bookmarkEnd w:id="86"/>
    <w:bookmarkEnd w:id="87"/>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与双分支哈希投影机制的设计动机，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5"/>
      <w:bookmarkEnd w:id="136"/>
      <w:r>
        <w:rPr>
          <w:rFonts w:hint="eastAsia"/>
          <w:lang w:val="en-US" w:eastAsia="zh-CN"/>
        </w:rPr>
        <w:t>展示与检索系统</w:t>
      </w:r>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地理位置元数据多模态的古树名木</w:t>
      </w:r>
      <w:r>
        <w:rPr>
          <w:rFonts w:hint="eastAsia"/>
          <w:lang w:val="en-US" w:eastAsia="zh-CN"/>
        </w:rPr>
        <w:t>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管理为一体的系统平台。本系统采用Browser/Server（B/S）架构设计古树名木</w:t>
      </w:r>
      <w:r>
        <w:rPr>
          <w:rFonts w:hint="eastAsia"/>
          <w:lang w:val="en-US" w:eastAsia="zh-CN"/>
        </w:rPr>
        <w:t>展示与</w:t>
      </w:r>
      <w:r>
        <w:rPr>
          <w:rFonts w:hint="eastAsia"/>
        </w:rPr>
        <w:t>检索功能以及系统管理员的资源管理等功能。</w:t>
      </w:r>
    </w:p>
    <w:p w14:paraId="6437602D">
      <w:pPr>
        <w:pStyle w:val="3"/>
        <w:spacing w:before="193"/>
      </w:pPr>
      <w:bookmarkStart w:id="137" w:name="_Toc10250"/>
      <w:bookmarkStart w:id="138" w:name="_Toc6561"/>
      <w:bookmarkStart w:id="139" w:name="_Toc13933"/>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w:t>
      </w:r>
      <w:r>
        <w:rPr>
          <w:rFonts w:hint="eastAsia"/>
          <w:lang w:val="en-US" w:eastAsia="zh-CN"/>
        </w:rPr>
        <w:t>展示与</w:t>
      </w:r>
      <w:r>
        <w:rPr>
          <w:rFonts w:hint="eastAsia"/>
        </w:rPr>
        <w:t>检索系统，以实现古树名木管理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1759"/>
      <w:bookmarkStart w:id="141" w:name="_Toc25656"/>
      <w:bookmarkStart w:id="142" w:name="_Toc25165"/>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rPr>
        <w:t>系统整体用例图如图4.1所示。</w:t>
      </w:r>
    </w:p>
    <w:p w14:paraId="28D41D82">
      <w:pPr>
        <w:rPr>
          <w:rFonts w:hint="eastAsia"/>
        </w:rPr>
      </w:pPr>
    </w:p>
    <w:p w14:paraId="63B56142">
      <w:pPr>
        <w:pStyle w:val="46"/>
        <w:spacing w:line="300" w:lineRule="auto"/>
        <w:ind w:left="0" w:leftChars="0" w:firstLine="0" w:firstLineChars="0"/>
        <w:jc w:val="center"/>
      </w:pPr>
      <w:r>
        <w:drawing>
          <wp:inline distT="0" distB="0" distL="114300" distR="114300">
            <wp:extent cx="3252470" cy="4944110"/>
            <wp:effectExtent l="0" t="0" r="11430" b="8890"/>
            <wp:docPr id="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pic:cNvPicPr>
                      <a:picLocks noChangeAspect="1"/>
                    </pic:cNvPicPr>
                  </pic:nvPicPr>
                  <pic:blipFill>
                    <a:blip r:embed="rId60"/>
                    <a:stretch>
                      <a:fillRect/>
                    </a:stretch>
                  </pic:blipFill>
                  <pic:spPr>
                    <a:xfrm>
                      <a:off x="0" y="0"/>
                      <a:ext cx="3252470" cy="494411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CC2C0A3">
      <w:pPr>
        <w:rPr>
          <w:rFonts w:hint="default" w:ascii="宋体" w:hAnsi="宋体" w:eastAsia="宋体" w:cs="宋体"/>
          <w:lang w:val="en-US" w:eastAsia="zh-CN"/>
        </w:rPr>
      </w:pPr>
      <w:bookmarkStart w:id="143"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逻辑关系。系统为每株古树名木提供独立详情展示页面，通过右侧抽屉展示完整档案信息，包括高清图像、地理位置坐标、科属种三级分类信息、树龄、树高、保护级别及描述等。</w:t>
      </w:r>
    </w:p>
    <w:bookmarkEnd w:id="143"/>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4" w:name="_Toc17366"/>
      <w:bookmarkStart w:id="145" w:name="_Toc2296"/>
      <w:bookmarkStart w:id="146" w:name="_Toc3858"/>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w:t>
      </w:r>
      <w:r>
        <w:rPr>
          <w:rFonts w:hint="eastAsia"/>
          <w:lang w:val="en-US" w:eastAsia="zh-CN"/>
        </w:rPr>
        <w:t>展示与</w:t>
      </w:r>
      <w:r>
        <w:rPr>
          <w:rFonts w:hint="eastAsia"/>
        </w:rPr>
        <w:t>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9803"/>
      <w:bookmarkStart w:id="149" w:name="_Toc2603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1" w:name="_Toc5387"/>
      <w:bookmarkStart w:id="152" w:name="_Toc10756"/>
      <w:r>
        <w:rPr>
          <w:rFonts w:hint="eastAsia"/>
        </w:rPr>
        <w:t>4</w:t>
      </w:r>
      <w:r>
        <w:t>.2.1</w:t>
      </w:r>
      <w:r>
        <w:rPr>
          <w:rFonts w:hint="eastAsia"/>
          <w:lang w:val="en-US" w:eastAsia="zh-CN"/>
        </w:rPr>
        <w:t xml:space="preserve"> </w:t>
      </w:r>
      <w:r>
        <w:t>系统架构</w:t>
      </w:r>
      <w:bookmarkEnd w:id="150"/>
      <w:bookmarkEnd w:id="151"/>
      <w:bookmarkEnd w:id="152"/>
      <w:r>
        <w:rPr>
          <w:rFonts w:hint="eastAsia"/>
          <w:lang w:val="en-US" w:eastAsia="zh-CN"/>
        </w:rPr>
        <w:t>设计</w:t>
      </w:r>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16453"/>
      <w:bookmarkStart w:id="154" w:name="_Toc9556"/>
      <w:bookmarkStart w:id="155" w:name="_Toc3123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121025" cy="2987040"/>
            <wp:effectExtent l="0" t="0" r="3175" b="10160"/>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3"/>
                    <a:stretch>
                      <a:fillRect/>
                    </a:stretch>
                  </pic:blipFill>
                  <pic:spPr>
                    <a:xfrm>
                      <a:off x="0" y="0"/>
                      <a:ext cx="3121025" cy="298704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56"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其余属性其中包括古树名称、树种名称、科属、保护级别、树龄、树高、经纬坐标等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4"/>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3"/>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3"/>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3"/>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3"/>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四</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3026"/>
      <w:bookmarkStart w:id="163" w:name="_Toc17736"/>
      <w:r>
        <w:rPr>
          <w:rFonts w:hint="eastAsia"/>
        </w:rPr>
        <w:t>4.3.1</w:t>
      </w:r>
      <w:r>
        <w:rPr>
          <w:rFonts w:hint="eastAsia"/>
          <w:lang w:val="en-US" w:eastAsia="zh-CN"/>
        </w:rPr>
        <w:t xml:space="preserve"> </w:t>
      </w:r>
      <w:r>
        <w:rPr>
          <w:rFonts w:hint="eastAsia"/>
        </w:rPr>
        <w:t>用户信息详细设计与实现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用户管理详细设计</w:t>
      </w:r>
    </w:p>
    <w:p w14:paraId="3C0996D6">
      <w:pPr>
        <w:numPr>
          <w:ilvl w:val="0"/>
          <w:numId w:val="0"/>
        </w:numPr>
        <w:ind w:firstLine="420" w:firstLineChars="0"/>
        <w:rPr>
          <w:rFonts w:hint="eastAsia"/>
          <w:lang w:eastAsia="zh-CN"/>
        </w:rPr>
      </w:pPr>
      <w:r>
        <w:rPr>
          <w:rFonts w:hint="eastAsia"/>
          <w:lang w:val="en-US" w:eastAsia="zh-CN"/>
        </w:rPr>
        <w:t>如下图4.5所示，展示了用户信息管理模块时序图。管理员登录后访问用户信息页面，前端GET调用/user/list分页接口，传入查询关键词及分页参数。请求经由UserController路由至UserService的list方法，Service层构建UserExample查询条件，通过PageHelper设置分页页码与每页条数，调用UserMapper的selectByExample方法执行数据库分页查询。数据库返回用户数据列表及总条数后，Service层使PageInfo封装分页信息，并通过CopyUtil.copyList将User实体列表转换为UserQueryResp响应对象列表，同时遍历关联查询权限角色表填充角色名称。最终分页结果经控制层封装响应返回给前端，前端渲染用户信息表格及分页组件。</w:t>
      </w:r>
    </w:p>
    <w:p w14:paraId="2D62108D">
      <w:pPr>
        <w:ind w:left="0" w:leftChars="0" w:firstLine="0" w:firstLineChars="0"/>
        <w:jc w:val="center"/>
      </w:pPr>
      <w:r>
        <w:drawing>
          <wp:inline distT="0" distB="0" distL="114300" distR="114300">
            <wp:extent cx="5239385" cy="3105150"/>
            <wp:effectExtent l="0" t="0" r="5715" b="635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5"/>
                    <a:stretch>
                      <a:fillRect/>
                    </a:stretch>
                  </pic:blipFill>
                  <pic:spPr>
                    <a:xfrm>
                      <a:off x="0" y="0"/>
                      <a:ext cx="5239385" cy="3105150"/>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用户管理实现</w:t>
      </w:r>
    </w:p>
    <w:p w14:paraId="2631F0A6">
      <w:pPr>
        <w:ind w:left="0" w:leftChars="0" w:firstLine="0" w:firstLineChars="0"/>
        <w:jc w:val="center"/>
        <w:rPr>
          <w:b/>
          <w:bCs/>
          <w:color w:val="FF0000"/>
        </w:rPr>
      </w:pPr>
      <w:r>
        <w:drawing>
          <wp:inline distT="0" distB="0" distL="114300" distR="114300">
            <wp:extent cx="5577205" cy="3237230"/>
            <wp:effectExtent l="9525" t="9525" r="13970" b="1714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66"/>
                    <a:stretch>
                      <a:fillRect/>
                    </a:stretch>
                  </pic:blipFill>
                  <pic:spPr>
                    <a:xfrm>
                      <a:off x="0" y="0"/>
                      <a:ext cx="5577205" cy="3237230"/>
                    </a:xfrm>
                    <a:prstGeom prst="rect">
                      <a:avLst/>
                    </a:prstGeom>
                    <a:noFill/>
                    <a:ln>
                      <a:solidFill>
                        <a:schemeClr val="tx1"/>
                      </a:solidFill>
                    </a:ln>
                  </pic:spPr>
                </pic:pic>
              </a:graphicData>
            </a:graphic>
          </wp:inline>
        </w:drawing>
      </w:r>
    </w:p>
    <w:p w14:paraId="019AF92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w:t>
      </w:r>
      <w:r>
        <w:rPr>
          <w:rFonts w:hint="eastAsia"/>
          <w:sz w:val="21"/>
          <w:szCs w:val="21"/>
          <w:highlight w:val="none"/>
          <w:lang w:val="en-US" w:eastAsia="zh-CN"/>
        </w:rPr>
        <w:t>管理</w:t>
      </w:r>
      <w:r>
        <w:rPr>
          <w:rFonts w:hint="eastAsia"/>
          <w:sz w:val="21"/>
          <w:szCs w:val="21"/>
          <w:highlight w:val="none"/>
        </w:rPr>
        <w:t>页面</w:t>
      </w:r>
    </w:p>
    <w:p w14:paraId="44CFC0AF">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 xml:space="preserve">6 User </w:t>
      </w:r>
      <w:r>
        <w:rPr>
          <w:rFonts w:hint="eastAsia"/>
          <w:sz w:val="21"/>
          <w:szCs w:val="21"/>
          <w:lang w:val="en-US" w:eastAsia="zh-CN"/>
        </w:rPr>
        <w:t>Manage</w:t>
      </w:r>
      <w:r>
        <w:rPr>
          <w:rFonts w:hint="eastAsia"/>
          <w:sz w:val="21"/>
          <w:szCs w:val="21"/>
        </w:rPr>
        <w:t xml:space="preserve"> Page </w:t>
      </w:r>
    </w:p>
    <w:p w14:paraId="5859426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eastAsia="宋体"/>
          <w:sz w:val="21"/>
          <w:szCs w:val="21"/>
          <w:lang w:eastAsia="zh-CN"/>
        </w:rPr>
      </w:pPr>
      <w:r>
        <w:rPr>
          <w:rFonts w:hint="eastAsia"/>
          <w:lang w:val="en-US" w:eastAsia="zh-CN"/>
        </w:rPr>
        <w:t>如上图4.6所示，展示了用户信息管理模块的前端界面。页面顶部配置按登录名检索和新增用户入口；主体表格呈现登录名、姓名、年龄、角色、用户介绍、上次登录时间及操作共7列。角色字段依据RBAC权限模型划分为管理员和普通用户两类，对应差异化的数据访问与操作权限。操作列集成重置密码、编辑和删除三个功能按钮，便于管理员对目标账户进行即时维护。表格底部分页组件默认单页展示10条记录，支持翻页浏览全量用户数据，降低单次加载的数据量与渲染开销。</w:t>
      </w:r>
    </w:p>
    <w:p w14:paraId="3E6E3587">
      <w:pPr>
        <w:pStyle w:val="4"/>
        <w:spacing w:before="193"/>
      </w:pPr>
      <w:r>
        <w:rPr>
          <w:rFonts w:hint="eastAsia"/>
        </w:rPr>
        <w:t>4.3.2</w:t>
      </w:r>
      <w:r>
        <w:rPr>
          <w:rFonts w:hint="eastAsia"/>
          <w:lang w:val="en-US" w:eastAsia="zh-CN"/>
        </w:rPr>
        <w:t xml:space="preserve"> </w:t>
      </w:r>
      <w:r>
        <w:rPr>
          <w:rFonts w:hint="eastAsia"/>
        </w:rPr>
        <w:t>古树名木</w:t>
      </w:r>
      <w:r>
        <w:rPr>
          <w:rFonts w:hint="eastAsia"/>
          <w:lang w:val="en-US" w:eastAsia="zh-CN"/>
        </w:rPr>
        <w:t>数据上传</w:t>
      </w:r>
      <w:r>
        <w:rPr>
          <w:rFonts w:hint="eastAsia"/>
        </w:rPr>
        <w:t>详细设计与实现</w:t>
      </w:r>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7</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7"/>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7 </w:t>
      </w:r>
      <w:r>
        <w:rPr>
          <w:rFonts w:hint="eastAsia"/>
          <w:sz w:val="21"/>
          <w:szCs w:val="21"/>
        </w:rPr>
        <w:t>Upload sequence diagram of ancient and famous trees data</w:t>
      </w: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 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如下图4.8所示，展示了古树名木数据上传模块的前端界面。页面采用左右分栏布局，左侧为信息录入区域，右侧为图像上传区域。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75935" cy="2355215"/>
            <wp:effectExtent l="9525" t="9525" r="15240" b="1016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68"/>
                    <a:stretch>
                      <a:fillRect/>
                    </a:stretch>
                  </pic:blipFill>
                  <pic:spPr>
                    <a:xfrm>
                      <a:off x="0" y="0"/>
                      <a:ext cx="5575935" cy="235521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68140187">
      <w:pPr>
        <w:pStyle w:val="4"/>
        <w:spacing w:before="193"/>
        <w:rPr>
          <w:rFonts w:hint="eastAsia"/>
          <w:lang w:val="en-US" w:eastAsia="zh-CN"/>
        </w:rPr>
      </w:pPr>
      <w:r>
        <w:rPr>
          <w:rFonts w:hint="eastAsia"/>
        </w:rPr>
        <w:t>4.3.</w:t>
      </w:r>
      <w:r>
        <w:rPr>
          <w:rFonts w:hint="eastAsia"/>
          <w:lang w:val="en-US" w:eastAsia="zh-CN"/>
        </w:rPr>
        <w:t>3 古树名木信息查询详细设计与实现</w:t>
      </w:r>
    </w:p>
    <w:p w14:paraId="53A6732D">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rPr>
        <w:t>如下图4.</w:t>
      </w:r>
      <w:r>
        <w:rPr>
          <w:rFonts w:hint="eastAsia"/>
          <w:lang w:val="en-US" w:eastAsia="zh-CN"/>
        </w:rPr>
        <w:t>9</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4C0B670A">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9"/>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62195053">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3759472B">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 LIKE 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513D54F2">
      <w:pPr>
        <w:numPr>
          <w:ilvl w:val="0"/>
          <w:numId w:val="0"/>
        </w:numPr>
        <w:ind w:firstLine="420" w:firstLineChars="0"/>
        <w:rPr>
          <w:rFonts w:hint="eastAsia"/>
          <w:lang w:val="en-US" w:eastAsia="zh-CN"/>
        </w:rPr>
      </w:pPr>
    </w:p>
    <w:p w14:paraId="66DE31F0">
      <w:pPr>
        <w:numPr>
          <w:ilvl w:val="0"/>
          <w:numId w:val="0"/>
        </w:numPr>
        <w:jc w:val="left"/>
        <w:rPr>
          <w:rFonts w:hint="default"/>
          <w:lang w:val="en-US" w:eastAsia="zh-CN"/>
        </w:rPr>
      </w:pPr>
      <w:r>
        <w:drawing>
          <wp:inline distT="0" distB="0" distL="114300" distR="114300">
            <wp:extent cx="5577840" cy="3125470"/>
            <wp:effectExtent l="9525" t="9525" r="13335" b="1460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70"/>
                    <a:stretch>
                      <a:fillRect/>
                    </a:stretch>
                  </pic:blipFill>
                  <pic:spPr>
                    <a:xfrm>
                      <a:off x="0" y="0"/>
                      <a:ext cx="5577840" cy="3125470"/>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10</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36A029EE">
      <w:pPr>
        <w:numPr>
          <w:ilvl w:val="0"/>
          <w:numId w:val="0"/>
        </w:numPr>
        <w:ind w:firstLine="420" w:firstLineChars="0"/>
        <w:rPr>
          <w:rFonts w:hint="eastAsia"/>
          <w:lang w:val="en-US" w:eastAsia="zh-CN"/>
        </w:rPr>
      </w:pPr>
    </w:p>
    <w:p w14:paraId="39779371">
      <w:pPr>
        <w:numPr>
          <w:ilvl w:val="0"/>
          <w:numId w:val="0"/>
        </w:numPr>
        <w:ind w:firstLine="420" w:firstLineChars="0"/>
        <w:rPr>
          <w:rFonts w:hint="eastAsia"/>
          <w:sz w:val="21"/>
          <w:szCs w:val="21"/>
        </w:rPr>
      </w:pPr>
      <w:r>
        <w:rPr>
          <w:rFonts w:hint="eastAsia"/>
          <w:lang w:val="en-US" w:eastAsia="zh-CN"/>
        </w:rPr>
        <w:t>如上图4.10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年）。左侧底部设置“查询古树”按钮，触发 handleTaxonomySearch方法组装参数调用/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63D7DBE0">
      <w:pPr>
        <w:numPr>
          <w:ilvl w:val="0"/>
          <w:numId w:val="0"/>
        </w:numPr>
        <w:ind w:firstLine="420" w:firstLineChars="0"/>
        <w:rPr>
          <w:rFonts w:hint="default"/>
          <w:lang w:val="en-US" w:eastAsia="zh-CN"/>
        </w:rPr>
      </w:pPr>
      <w:r>
        <w:rPr>
          <w:rFonts w:hint="default"/>
          <w:lang w:val="en-US" w:eastAsia="zh-CN"/>
        </w:rPr>
        <w:t>如下图4.</w:t>
      </w:r>
      <w:r>
        <w:rPr>
          <w:rFonts w:hint="eastAsia"/>
          <w:lang w:val="en-US" w:eastAsia="zh-CN"/>
        </w:rPr>
        <w:t>11</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243476EC">
      <w:pPr>
        <w:numPr>
          <w:ilvl w:val="0"/>
          <w:numId w:val="0"/>
        </w:numPr>
        <w:ind w:firstLine="420" w:firstLineChars="0"/>
        <w:rPr>
          <w:rFonts w:hint="default"/>
          <w:lang w:val="en-US" w:eastAsia="zh-CN"/>
        </w:rPr>
      </w:pPr>
    </w:p>
    <w:p w14:paraId="430BE57B">
      <w:pPr>
        <w:ind w:left="0" w:leftChars="0" w:firstLine="0" w:firstLineChars="0"/>
        <w:rPr>
          <w:b/>
          <w:bCs/>
          <w:color w:val="FF0000"/>
        </w:rPr>
      </w:pPr>
      <w:r>
        <w:drawing>
          <wp:inline distT="0" distB="0" distL="114300" distR="114300">
            <wp:extent cx="5565775" cy="2841625"/>
            <wp:effectExtent l="9525" t="9525" r="12700" b="1905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71"/>
                    <a:stretch>
                      <a:fillRect/>
                    </a:stretch>
                  </pic:blipFill>
                  <pic:spPr>
                    <a:xfrm>
                      <a:off x="0" y="0"/>
                      <a:ext cx="5565775" cy="2841625"/>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4" w:name="_Toc23342"/>
      <w:bookmarkStart w:id="165"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11</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bidi w:val="0"/>
        <w:rPr>
          <w:rFonts w:hint="eastAsia"/>
        </w:rPr>
      </w:pPr>
    </w:p>
    <w:p w14:paraId="6D779172">
      <w:pPr>
        <w:pStyle w:val="4"/>
        <w:spacing w:before="193"/>
      </w:pPr>
      <w:r>
        <w:rPr>
          <w:rFonts w:hint="eastAsia"/>
        </w:rPr>
        <w:t>4.3.</w:t>
      </w:r>
      <w:r>
        <w:rPr>
          <w:rFonts w:hint="eastAsia"/>
          <w:lang w:val="en-US" w:eastAsia="zh-CN"/>
        </w:rPr>
        <w:t xml:space="preserve">4 </w:t>
      </w:r>
      <w:r>
        <w:rPr>
          <w:rFonts w:hint="eastAsia"/>
        </w:rPr>
        <w:t>古树名木</w:t>
      </w:r>
      <w:r>
        <w:rPr>
          <w:rFonts w:hint="eastAsia"/>
          <w:lang w:val="en-US" w:eastAsia="zh-CN"/>
        </w:rPr>
        <w:t>多模态检索</w:t>
      </w:r>
      <w:r>
        <w:rPr>
          <w:rFonts w:hint="eastAsia"/>
        </w:rPr>
        <w:t>详细设计与实现</w:t>
      </w:r>
      <w:bookmarkEnd w:id="164"/>
      <w:bookmarkEnd w:id="165"/>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2"/>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12</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12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12</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提取图像和位置特征，经多模态融合后由哈希层生成128位二进制哈希码，返回后通过TreeMapper关联查询树木与图像哈希记录，Service层计算汉明距离并排序取Top-K结果，最终经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1F6413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lang w:val="en-US" w:eastAsia="zh-CN"/>
        </w:rPr>
        <w:t>如下</w:t>
      </w:r>
      <w:r>
        <w:rPr>
          <w:rFonts w:hint="eastAsia"/>
        </w:rPr>
        <w:t>图4.</w:t>
      </w:r>
      <w:r>
        <w:rPr>
          <w:rFonts w:hint="eastAsia"/>
          <w:lang w:val="en-US" w:eastAsia="zh-CN"/>
        </w:rPr>
        <w:t>13</w:t>
      </w:r>
      <w:r>
        <w:rPr>
          <w:rFonts w:hint="eastAsia"/>
        </w:rPr>
        <w:t>-4.1</w:t>
      </w:r>
      <w:r>
        <w:rPr>
          <w:rFonts w:hint="eastAsia"/>
          <w:lang w:val="en-US" w:eastAsia="zh-CN"/>
        </w:rPr>
        <w:t>5</w:t>
      </w:r>
      <w:r>
        <w:rPr>
          <w:rFonts w:hint="eastAsia"/>
        </w:rPr>
        <w:t>展示了系统三种</w:t>
      </w:r>
      <w:r>
        <w:rPr>
          <w:rFonts w:hint="eastAsia"/>
          <w:lang w:val="en-US" w:eastAsia="zh-CN"/>
        </w:rPr>
        <w:t>多模态</w:t>
      </w:r>
      <w:r>
        <w:rPr>
          <w:rFonts w:hint="eastAsia"/>
        </w:rPr>
        <w:t>检索模式：以图搜图、以图搜位置及以位置搜图。图4.</w:t>
      </w:r>
      <w:r>
        <w:rPr>
          <w:rFonts w:hint="eastAsia"/>
          <w:lang w:val="en-US" w:eastAsia="zh-CN"/>
        </w:rPr>
        <w:t>13</w:t>
      </w:r>
      <w:r>
        <w:rPr>
          <w:rFonts w:hint="eastAsia"/>
        </w:rPr>
        <w:t>中用户上传查询图像后，系统返回相似古树</w:t>
      </w:r>
      <w:r>
        <w:rPr>
          <w:rFonts w:hint="eastAsia"/>
          <w:lang w:val="en-US" w:eastAsia="zh-CN"/>
        </w:rPr>
        <w:t>名木</w:t>
      </w:r>
      <w:r>
        <w:rPr>
          <w:rFonts w:hint="eastAsia"/>
        </w:rPr>
        <w:t>列表并按相似度排序；图4.</w:t>
      </w:r>
      <w:r>
        <w:rPr>
          <w:rFonts w:hint="eastAsia"/>
          <w:lang w:val="en-US" w:eastAsia="zh-CN"/>
        </w:rPr>
        <w:t>14</w:t>
      </w:r>
      <w:r>
        <w:rPr>
          <w:rFonts w:hint="eastAsia"/>
        </w:rPr>
        <w:t>通过图像检索返回古树</w:t>
      </w:r>
      <w:r>
        <w:rPr>
          <w:rFonts w:hint="eastAsia"/>
          <w:lang w:val="en-US" w:eastAsia="zh-CN"/>
        </w:rPr>
        <w:t>名木</w:t>
      </w:r>
      <w:r>
        <w:rPr>
          <w:rFonts w:hint="eastAsia"/>
        </w:rPr>
        <w:t>地理位置；图4.1</w:t>
      </w:r>
      <w:r>
        <w:rPr>
          <w:rFonts w:hint="eastAsia"/>
          <w:lang w:val="en-US" w:eastAsia="zh-CN"/>
        </w:rPr>
        <w:t>5</w:t>
      </w:r>
      <w:r>
        <w:rPr>
          <w:rFonts w:hint="eastAsia"/>
        </w:rPr>
        <w:t>基于输入坐标检索周边古树</w:t>
      </w:r>
      <w:r>
        <w:rPr>
          <w:rFonts w:hint="eastAsia"/>
          <w:lang w:val="en-US" w:eastAsia="zh-CN"/>
        </w:rPr>
        <w:t>名木</w:t>
      </w:r>
      <w:r>
        <w:rPr>
          <w:rFonts w:hint="eastAsia"/>
        </w:rPr>
        <w:t>。三种模式协同实现</w:t>
      </w:r>
      <w:r>
        <w:rPr>
          <w:rFonts w:hint="eastAsia"/>
          <w:lang w:val="en-US" w:eastAsia="zh-CN"/>
        </w:rPr>
        <w:t>图</w:t>
      </w:r>
      <w:r>
        <w:rPr>
          <w:rFonts w:hint="eastAsia"/>
        </w:rPr>
        <w:t>像与地理位置的</w:t>
      </w:r>
      <w:r>
        <w:rPr>
          <w:rFonts w:hint="eastAsia"/>
          <w:lang w:val="en-US" w:eastAsia="zh-CN"/>
        </w:rPr>
        <w:t>多模态检索</w:t>
      </w:r>
      <w:r>
        <w:rPr>
          <w:rFonts w:hint="eastAsia"/>
        </w:rPr>
        <w:t>。</w:t>
      </w:r>
    </w:p>
    <w:p w14:paraId="0B5D174B">
      <w:pPr>
        <w:bidi w:val="0"/>
        <w:ind w:firstLine="420" w:firstLineChars="0"/>
        <w:rPr>
          <w:rFonts w:hint="eastAsia"/>
        </w:rPr>
      </w:pPr>
    </w:p>
    <w:p w14:paraId="7C56C5E0">
      <w:pPr>
        <w:ind w:left="0" w:leftChars="0" w:firstLine="0" w:firstLineChars="0"/>
        <w:jc w:val="center"/>
      </w:pPr>
      <w:r>
        <w:drawing>
          <wp:inline distT="0" distB="0" distL="114300" distR="114300">
            <wp:extent cx="5572125" cy="3270885"/>
            <wp:effectExtent l="9525" t="9525" r="19050" b="21590"/>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73"/>
                    <a:stretch>
                      <a:fillRect/>
                    </a:stretch>
                  </pic:blipFill>
                  <pic:spPr>
                    <a:xfrm>
                      <a:off x="0" y="0"/>
                      <a:ext cx="5572125" cy="3270885"/>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66" w:name="_Toc1202"/>
      <w:r>
        <w:drawing>
          <wp:inline distT="0" distB="0" distL="114300" distR="114300">
            <wp:extent cx="5575300" cy="2865755"/>
            <wp:effectExtent l="9525" t="9525" r="15875" b="20320"/>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74"/>
                    <a:stretch>
                      <a:fillRect/>
                    </a:stretch>
                  </pic:blipFill>
                  <pic:spPr>
                    <a:xfrm>
                      <a:off x="0" y="0"/>
                      <a:ext cx="5575300" cy="286575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14</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14</w:t>
      </w:r>
      <w:r>
        <w:rPr>
          <w:rFonts w:hint="eastAsia"/>
          <w:sz w:val="21"/>
          <w:szCs w:val="21"/>
        </w:rPr>
        <w:t xml:space="preserve"> Image-to-Location Retrieval Result Interface </w:t>
      </w:r>
    </w:p>
    <w:p w14:paraId="5C5A6A67">
      <w:pPr>
        <w:jc w:val="center"/>
        <w:rPr>
          <w:rFonts w:hint="eastAsia"/>
          <w:sz w:val="21"/>
          <w:szCs w:val="21"/>
        </w:rPr>
      </w:pPr>
    </w:p>
    <w:p w14:paraId="17D89A98">
      <w:pPr>
        <w:ind w:left="0" w:leftChars="0" w:firstLine="0" w:firstLineChars="0"/>
        <w:jc w:val="center"/>
      </w:pPr>
      <w:r>
        <w:drawing>
          <wp:inline distT="0" distB="0" distL="114300" distR="114300">
            <wp:extent cx="5565775" cy="2926715"/>
            <wp:effectExtent l="9525" t="9525" r="12700" b="10160"/>
            <wp:docPr id="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pic:cNvPicPr>
                      <a:picLocks noChangeAspect="1"/>
                    </pic:cNvPicPr>
                  </pic:nvPicPr>
                  <pic:blipFill>
                    <a:blip r:embed="rId75"/>
                    <a:stretch>
                      <a:fillRect/>
                    </a:stretch>
                  </pic:blipFill>
                  <pic:spPr>
                    <a:xfrm>
                      <a:off x="0" y="0"/>
                      <a:ext cx="5565775" cy="292671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15</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15</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bookmarkStart w:id="167" w:name="_Toc7167"/>
    </w:p>
    <w:p w14:paraId="4670FDCD">
      <w:pPr>
        <w:pStyle w:val="3"/>
        <w:spacing w:before="193"/>
      </w:pPr>
      <w:r>
        <w:t>4.4</w:t>
      </w:r>
      <w:r>
        <w:rPr>
          <w:rFonts w:hint="eastAsia"/>
          <w:lang w:val="en-US" w:eastAsia="zh-CN"/>
        </w:rPr>
        <w:t xml:space="preserve"> </w:t>
      </w:r>
      <w:r>
        <w:t>系统测试</w:t>
      </w:r>
      <w:bookmarkEnd w:id="166"/>
      <w:bookmarkEnd w:id="167"/>
      <w:r>
        <w:t xml:space="preserve"> </w:t>
      </w:r>
    </w:p>
    <w:p w14:paraId="705D239C">
      <w:pPr>
        <w:pStyle w:val="4"/>
      </w:pPr>
      <w:bookmarkStart w:id="168" w:name="_Toc8060"/>
      <w:bookmarkStart w:id="169" w:name="_Toc1979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70" w:name="_Toc15930"/>
      <w:bookmarkStart w:id="171" w:name="_Toc7376"/>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5" w:name="_Toc16137"/>
      <w:bookmarkStart w:id="176" w:name="_Toc13268"/>
      <w:bookmarkStart w:id="177" w:name="_Toc28146"/>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21248"/>
      <w:bookmarkStart w:id="179" w:name="_Toc7441"/>
      <w:bookmarkStart w:id="180" w:name="_Toc26958"/>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采用双分支哈希投影机制（DBHP）将图像特征与位置特征分别映射至哈希语义空间后加权融合，生成128位二进制哈希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3044CA12">
      <w:pPr>
        <w:ind w:firstLine="420"/>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w:t>
      </w:r>
      <w:r>
        <w:rPr>
          <w:rFonts w:hint="eastAsia"/>
          <w:lang w:val="en-US" w:eastAsia="zh-CN"/>
        </w:rPr>
        <w:t>约</w:t>
      </w:r>
      <w:r>
        <w:rPr>
          <w:rFonts w:hint="eastAsia"/>
        </w:rPr>
        <w:t>2.8个百分点）&gt; 难例挖掘（</w:t>
      </w:r>
      <w:r>
        <w:rPr>
          <w:rFonts w:hint="eastAsia"/>
          <w:lang w:val="en-US" w:eastAsia="zh-CN"/>
        </w:rPr>
        <w:t>约</w:t>
      </w:r>
      <w:r>
        <w:rPr>
          <w:rFonts w:hint="eastAsia"/>
        </w:rPr>
        <w:t>1.</w:t>
      </w:r>
      <w:r>
        <w:rPr>
          <w:rFonts w:hint="eastAsia"/>
          <w:lang w:val="en-US" w:eastAsia="zh-CN"/>
        </w:rPr>
        <w:t>3</w:t>
      </w:r>
      <w:r>
        <w:rPr>
          <w:rFonts w:hint="eastAsia"/>
        </w:rPr>
        <w:t>个百分点）&gt; DBHP（</w:t>
      </w:r>
      <w:r>
        <w:rPr>
          <w:rFonts w:hint="eastAsia"/>
          <w:lang w:val="en-US" w:eastAsia="zh-CN"/>
        </w:rPr>
        <w:t>约</w:t>
      </w:r>
      <w:r>
        <w:rPr>
          <w:rFonts w:hint="eastAsia"/>
        </w:rPr>
        <w:t>1.</w:t>
      </w:r>
      <w:r>
        <w:rPr>
          <w:rFonts w:hint="eastAsia"/>
          <w:lang w:val="en-US" w:eastAsia="zh-CN"/>
        </w:rPr>
        <w:t>2</w:t>
      </w:r>
      <w:r>
        <w:rPr>
          <w:rFonts w:hint="eastAsia"/>
        </w:rPr>
        <w:t>个百分点）&gt; 量化损失（</w:t>
      </w:r>
      <w:r>
        <w:rPr>
          <w:rFonts w:hint="eastAsia"/>
          <w:lang w:val="en-US" w:eastAsia="zh-CN"/>
        </w:rPr>
        <w:t>约</w:t>
      </w:r>
      <w:r>
        <w:rPr>
          <w:rFonts w:hint="eastAsia"/>
        </w:rPr>
        <w:t>0.</w:t>
      </w:r>
      <w:r>
        <w:rPr>
          <w:rFonts w:hint="eastAsia"/>
          <w:lang w:val="en-US" w:eastAsia="zh-CN"/>
        </w:rPr>
        <w:t>6</w:t>
      </w:r>
      <w:r>
        <w:rPr>
          <w:rFonts w:hint="eastAsia"/>
        </w:rPr>
        <w:t>个百分点），在</w:t>
      </w:r>
      <w:r>
        <w:rPr>
          <w:rFonts w:hint="eastAsia"/>
          <w:lang w:eastAsia="zh-CN"/>
        </w:rPr>
        <w:t>2509</w:t>
      </w:r>
      <w:r>
        <w:rPr>
          <w:rFonts w:hint="eastAsia"/>
        </w:rPr>
        <w:t>张验证样本上具有统计稳健性；BFATH数据集上的领域迁移验证表明完整模型在真实古树名木场景中取得mAP 0.647，具备良好的领域适应能力。</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w:t>
      </w:r>
      <w:r>
        <w:rPr>
          <w:rFonts w:hint="eastAsia"/>
          <w:lang w:eastAsia="zh-CN"/>
        </w:rPr>
        <w:t>DHLM</w:t>
      </w:r>
      <w:r>
        <w:rPr>
          <w:rFonts w:hint="eastAsia"/>
        </w:rPr>
        <w:t>模型与古树名木</w:t>
      </w:r>
      <w:r>
        <w:rPr>
          <w:rFonts w:hint="eastAsia"/>
          <w:lang w:val="en-US" w:eastAsia="zh-CN"/>
        </w:rPr>
        <w:t>展示与</w:t>
      </w:r>
      <w:r>
        <w:rPr>
          <w:rFonts w:hint="eastAsia"/>
        </w:rPr>
        <w:t>检索系统在iNaturalist到BFATH的迁移中展现了一定的领域适应能力，其在更多场景中的通用性有待进一步验证。例如，在园林绿化管理中，该系统可支持珍贵树种的建档与检索。系统基于前后端分离的架构，具备良好的可扩展性和跨平台适应能力，未来有望在林业资源管理与生态保护等场景中发挥应用价值。</w:t>
      </w:r>
    </w:p>
    <w:p w14:paraId="17737458">
      <w:pPr>
        <w:pStyle w:val="3"/>
        <w:spacing w:before="193"/>
      </w:pPr>
      <w:bookmarkStart w:id="182" w:name="_Toc4921"/>
      <w:bookmarkStart w:id="183" w:name="_Toc17533"/>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4"/>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4"/>
        </w:numPr>
        <w:ind w:firstLine="420"/>
        <w:jc w:val="left"/>
      </w:pPr>
      <w:r>
        <w:rPr>
          <w:rFonts w:hint="eastAsia"/>
        </w:rPr>
        <w:t>融合机制层面，</w:t>
      </w:r>
      <w:r>
        <w:rPr>
          <w:rFonts w:hint="eastAsia"/>
          <w:lang w:eastAsia="zh-CN"/>
        </w:rPr>
        <w:t>DHLM模型当前通过多路融合策略验证确定特征拼接为最优融合方案，并采用双分支哈希投影机制在哈希空间实现模态加权融合。后续可探索将地理位置的空间关联特性（如地理围栏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w:t>
      </w:r>
      <w:bookmarkStart w:id="236" w:name="_GoBack"/>
      <w:bookmarkEnd w:id="236"/>
      <w:r>
        <w:rPr>
          <w:rFonts w:hint="eastAsia"/>
          <w:lang w:eastAsia="zh-CN"/>
        </w:rPr>
        <w:t>提升位置特征的判别性</w:t>
      </w:r>
      <w:r>
        <w:rPr>
          <w:rFonts w:hint="eastAsia"/>
        </w:rPr>
        <w:t>。</w:t>
      </w:r>
    </w:p>
    <w:p w14:paraId="0AF7987C">
      <w:pPr>
        <w:numPr>
          <w:ilvl w:val="0"/>
          <w:numId w:val="14"/>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SSAH等图像-文本多模态哈希方法适配至图像-位置坐标场景，在统一的图像-位置</w:t>
      </w:r>
      <w:r>
        <w:rPr>
          <w:rFonts w:hint="eastAsia"/>
          <w:lang w:val="en-US" w:eastAsia="zh-CN"/>
        </w:rPr>
        <w:t>坐标</w:t>
      </w:r>
      <w:r>
        <w:rPr>
          <w:rFonts w:hint="eastAsia"/>
        </w:rPr>
        <w:t>上与本文DBHP机制</w:t>
      </w:r>
      <w:r>
        <w:rPr>
          <w:rFonts w:hint="eastAsia"/>
          <w:lang w:val="en-US" w:eastAsia="zh-CN"/>
        </w:rPr>
        <w:t>进行</w:t>
      </w:r>
      <w:r>
        <w:rPr>
          <w:rFonts w:hint="eastAsia"/>
        </w:rPr>
        <w:t>对比</w:t>
      </w:r>
      <w:r>
        <w:rPr>
          <w:rFonts w:hint="eastAsia"/>
          <w:lang w:val="en-US" w:eastAsia="zh-CN"/>
        </w:rPr>
        <w:t>实验</w:t>
      </w:r>
      <w:r>
        <w:rPr>
          <w:rFonts w:hint="eastAsia"/>
        </w:rPr>
        <w:t>。</w:t>
      </w:r>
    </w:p>
    <w:p w14:paraId="7713EF47">
      <w:pPr>
        <w:numPr>
          <w:ilvl w:val="0"/>
          <w:numId w:val="14"/>
        </w:numPr>
        <w:ind w:firstLine="420"/>
        <w:jc w:val="left"/>
      </w:pPr>
      <w:r>
        <w:rPr>
          <w:rFonts w:hint="eastAsia"/>
        </w:rPr>
        <w:t>系统层面，当前古树名木展示与检索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52CF69EB">
      <w:pPr>
        <w:numPr>
          <w:ilvl w:val="0"/>
          <w:numId w:val="14"/>
        </w:numPr>
        <w:ind w:firstLine="420"/>
        <w:jc w:val="left"/>
      </w:pPr>
      <w:r>
        <w:rPr>
          <w:rFonts w:hint="eastAsia"/>
        </w:rPr>
        <w:t>应用层面，</w:t>
      </w:r>
      <w:r>
        <w:rPr>
          <w:rFonts w:hint="eastAsia"/>
          <w:lang w:eastAsia="zh-CN"/>
        </w:rPr>
        <w:t>DHLM</w:t>
      </w:r>
      <w:r>
        <w:rPr>
          <w:rFonts w:hint="eastAsia"/>
        </w:rPr>
        <w:t>模型在iNaturalist到BFATH的迁移中展现了一定的领域适应能力，未来可进一步探索其在濒危植物识别、植物多样性监测等林业相关场景的应用，进一步拓展模型与系统的应用范围。</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4"/>
      <w:bookmarkStart w:id="185" w:name="_Toc258"/>
      <w:r>
        <w:rPr>
          <w:rFonts w:hint="eastAsia"/>
        </w:rPr>
        <w:t>参考文献</w:t>
      </w:r>
      <w:bookmarkEnd w:id="184"/>
      <w:bookmarkEnd w:id="185"/>
    </w:p>
    <w:p w14:paraId="62A03112">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p w14:paraId="2D11333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5" w:name="_Ref4601"/>
      <w:r>
        <w:rPr>
          <w:rFonts w:hint="eastAsia"/>
          <w:color w:val="000000"/>
          <w:sz w:val="21"/>
          <w:szCs w:val="21"/>
        </w:rPr>
        <w:t>国家林业局. 古树名木普查技术规范: LY/T 2738-2016[S]. 北京: 中国标准出版社, 2016.</w:t>
      </w:r>
      <w:bookmarkEnd w:id="235"/>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default" w:eastAsia="宋体"/>
        <w:sz w:val="21"/>
        <w:szCs w:val="21"/>
        <w:lang w:val="en-US" w:eastAsia="zh-CN"/>
      </w:rPr>
      <w:t>融合图像与地理位置元数据的古树名木多模态哈希检索方法研究与应用</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abstractNum w:abstractNumId="14">
    <w:nsid w:val="7CF275E0"/>
    <w:multiLevelType w:val="singleLevel"/>
    <w:tmpl w:val="7CF275E0"/>
    <w:lvl w:ilvl="0" w:tentative="0">
      <w:start w:val="2"/>
      <w:numFmt w:val="decimal"/>
      <w:suff w:val="nothing"/>
      <w:lvlText w:val="（%1）"/>
      <w:lvlJc w:val="left"/>
    </w:lvl>
  </w:abstractNum>
  <w:num w:numId="1">
    <w:abstractNumId w:val="11"/>
  </w:num>
  <w:num w:numId="2">
    <w:abstractNumId w:val="12"/>
  </w:num>
  <w:num w:numId="3">
    <w:abstractNumId w:val="14"/>
  </w:num>
  <w:num w:numId="4">
    <w:abstractNumId w:val="3"/>
  </w:num>
  <w:num w:numId="5">
    <w:abstractNumId w:val="5"/>
  </w:num>
  <w:num w:numId="6">
    <w:abstractNumId w:val="4"/>
  </w:num>
  <w:num w:numId="7">
    <w:abstractNumId w:val="8"/>
  </w:num>
  <w:num w:numId="8">
    <w:abstractNumId w:val="9"/>
  </w:num>
  <w:num w:numId="9">
    <w:abstractNumId w:val="2"/>
  </w:num>
  <w:num w:numId="10">
    <w:abstractNumId w:val="10"/>
  </w:num>
  <w:num w:numId="11">
    <w:abstractNumId w:val="0"/>
  </w:num>
  <w:num w:numId="12">
    <w:abstractNumId w:val="7"/>
  </w:num>
  <w:num w:numId="13">
    <w:abstractNumId w:val="13"/>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105DD0"/>
    <w:rsid w:val="0216715F"/>
    <w:rsid w:val="021C29C7"/>
    <w:rsid w:val="021D04ED"/>
    <w:rsid w:val="021F7DC1"/>
    <w:rsid w:val="0224362A"/>
    <w:rsid w:val="022573A2"/>
    <w:rsid w:val="02313F99"/>
    <w:rsid w:val="02502671"/>
    <w:rsid w:val="02571C51"/>
    <w:rsid w:val="02603BB4"/>
    <w:rsid w:val="026161C7"/>
    <w:rsid w:val="02753E85"/>
    <w:rsid w:val="02785D09"/>
    <w:rsid w:val="027A5940"/>
    <w:rsid w:val="027F4C16"/>
    <w:rsid w:val="02906F11"/>
    <w:rsid w:val="02A00FF1"/>
    <w:rsid w:val="02A97FD3"/>
    <w:rsid w:val="02C0471E"/>
    <w:rsid w:val="02D05560"/>
    <w:rsid w:val="02DB2768"/>
    <w:rsid w:val="02DC5CB3"/>
    <w:rsid w:val="02DD5B9C"/>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10E17"/>
    <w:rsid w:val="03F139E0"/>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77A04"/>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477B7"/>
    <w:rsid w:val="05F94DCD"/>
    <w:rsid w:val="06007623"/>
    <w:rsid w:val="06042CC3"/>
    <w:rsid w:val="06055520"/>
    <w:rsid w:val="060774EA"/>
    <w:rsid w:val="060C2D53"/>
    <w:rsid w:val="060F2738"/>
    <w:rsid w:val="0616772D"/>
    <w:rsid w:val="061D286A"/>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8132CC"/>
    <w:rsid w:val="078B24C0"/>
    <w:rsid w:val="078E65AC"/>
    <w:rsid w:val="079910D5"/>
    <w:rsid w:val="079E5C2C"/>
    <w:rsid w:val="07AD596A"/>
    <w:rsid w:val="07B3334A"/>
    <w:rsid w:val="07B82B29"/>
    <w:rsid w:val="07C022F8"/>
    <w:rsid w:val="07C1191B"/>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2D0DDC"/>
    <w:rsid w:val="0834033F"/>
    <w:rsid w:val="08352372"/>
    <w:rsid w:val="08386081"/>
    <w:rsid w:val="083C410F"/>
    <w:rsid w:val="083D3A51"/>
    <w:rsid w:val="083F49A7"/>
    <w:rsid w:val="08451EB2"/>
    <w:rsid w:val="08460D9C"/>
    <w:rsid w:val="084C38DA"/>
    <w:rsid w:val="085140BA"/>
    <w:rsid w:val="085263EF"/>
    <w:rsid w:val="08637AFE"/>
    <w:rsid w:val="087B5AFA"/>
    <w:rsid w:val="08873BB0"/>
    <w:rsid w:val="08892439"/>
    <w:rsid w:val="088A64D5"/>
    <w:rsid w:val="089F49DA"/>
    <w:rsid w:val="08A96637"/>
    <w:rsid w:val="08AA23AF"/>
    <w:rsid w:val="08AC32C5"/>
    <w:rsid w:val="08AC4379"/>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502F56"/>
    <w:rsid w:val="095073FA"/>
    <w:rsid w:val="09507869"/>
    <w:rsid w:val="095427DA"/>
    <w:rsid w:val="0954785F"/>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D0E47"/>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40E39"/>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39F9"/>
    <w:rsid w:val="0E57377F"/>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8D0B11"/>
    <w:rsid w:val="0F8D6756"/>
    <w:rsid w:val="0F915C8D"/>
    <w:rsid w:val="0F917F09"/>
    <w:rsid w:val="0F9815A7"/>
    <w:rsid w:val="0F9F6E61"/>
    <w:rsid w:val="0F9FEC04"/>
    <w:rsid w:val="0FA22032"/>
    <w:rsid w:val="0FB32491"/>
    <w:rsid w:val="0FB95776"/>
    <w:rsid w:val="0FC51BF1"/>
    <w:rsid w:val="0FC5D72A"/>
    <w:rsid w:val="0FC9E0DA"/>
    <w:rsid w:val="0FD07339"/>
    <w:rsid w:val="0FD35650"/>
    <w:rsid w:val="0FD52583"/>
    <w:rsid w:val="0FD84745"/>
    <w:rsid w:val="0FDF5034"/>
    <w:rsid w:val="0FDFD0A1"/>
    <w:rsid w:val="0FE765B4"/>
    <w:rsid w:val="0FEEE00F"/>
    <w:rsid w:val="0FF423D1"/>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464A7"/>
    <w:rsid w:val="101C1267"/>
    <w:rsid w:val="102E6A16"/>
    <w:rsid w:val="1035519A"/>
    <w:rsid w:val="10364FD2"/>
    <w:rsid w:val="10376C1E"/>
    <w:rsid w:val="103919DF"/>
    <w:rsid w:val="10392996"/>
    <w:rsid w:val="103A04BC"/>
    <w:rsid w:val="10401F77"/>
    <w:rsid w:val="104B091B"/>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9A3908"/>
    <w:rsid w:val="119B1D62"/>
    <w:rsid w:val="11B10C8D"/>
    <w:rsid w:val="11BA35D3"/>
    <w:rsid w:val="11CE35B2"/>
    <w:rsid w:val="11D0732A"/>
    <w:rsid w:val="11D708DB"/>
    <w:rsid w:val="11DF6829"/>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B51E71"/>
    <w:rsid w:val="12BC78AF"/>
    <w:rsid w:val="12BE53D5"/>
    <w:rsid w:val="12CA4769"/>
    <w:rsid w:val="12CC5D44"/>
    <w:rsid w:val="12CE2581"/>
    <w:rsid w:val="12D06EB6"/>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4F78BE"/>
    <w:rsid w:val="156F567A"/>
    <w:rsid w:val="15725053"/>
    <w:rsid w:val="159438C8"/>
    <w:rsid w:val="15991BC6"/>
    <w:rsid w:val="15A05265"/>
    <w:rsid w:val="15A05CB5"/>
    <w:rsid w:val="15A317D4"/>
    <w:rsid w:val="15A41965"/>
    <w:rsid w:val="15A91713"/>
    <w:rsid w:val="15A9236C"/>
    <w:rsid w:val="15A93381"/>
    <w:rsid w:val="15AD5965"/>
    <w:rsid w:val="15B61B95"/>
    <w:rsid w:val="15B90314"/>
    <w:rsid w:val="15C36F7A"/>
    <w:rsid w:val="15C947BC"/>
    <w:rsid w:val="15CA4D97"/>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76A65"/>
    <w:rsid w:val="16DA0094"/>
    <w:rsid w:val="16DB2158"/>
    <w:rsid w:val="16E318AE"/>
    <w:rsid w:val="16F1492D"/>
    <w:rsid w:val="16F6CE41"/>
    <w:rsid w:val="17036CB8"/>
    <w:rsid w:val="17070757"/>
    <w:rsid w:val="170C1AE4"/>
    <w:rsid w:val="170D11CC"/>
    <w:rsid w:val="170E4685"/>
    <w:rsid w:val="17147CB9"/>
    <w:rsid w:val="171750B3"/>
    <w:rsid w:val="171F2696"/>
    <w:rsid w:val="17215D19"/>
    <w:rsid w:val="1723320B"/>
    <w:rsid w:val="17263548"/>
    <w:rsid w:val="1728539B"/>
    <w:rsid w:val="172A4CF6"/>
    <w:rsid w:val="173259EC"/>
    <w:rsid w:val="17464176"/>
    <w:rsid w:val="174B0D9F"/>
    <w:rsid w:val="174B19B8"/>
    <w:rsid w:val="17556281"/>
    <w:rsid w:val="17573B61"/>
    <w:rsid w:val="176443F5"/>
    <w:rsid w:val="176C17D0"/>
    <w:rsid w:val="176D1177"/>
    <w:rsid w:val="177F293C"/>
    <w:rsid w:val="177F76C0"/>
    <w:rsid w:val="177FA5F3"/>
    <w:rsid w:val="179B3F36"/>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936E6A"/>
    <w:rsid w:val="18A4216F"/>
    <w:rsid w:val="18A474FD"/>
    <w:rsid w:val="18B6485F"/>
    <w:rsid w:val="18C272A1"/>
    <w:rsid w:val="18C33745"/>
    <w:rsid w:val="18C63B73"/>
    <w:rsid w:val="18E84F59"/>
    <w:rsid w:val="18F916EA"/>
    <w:rsid w:val="18FB0E90"/>
    <w:rsid w:val="18FF36EC"/>
    <w:rsid w:val="19035D5A"/>
    <w:rsid w:val="1908655F"/>
    <w:rsid w:val="190B6E9A"/>
    <w:rsid w:val="190C1415"/>
    <w:rsid w:val="191D5610"/>
    <w:rsid w:val="191E6BCD"/>
    <w:rsid w:val="192959AF"/>
    <w:rsid w:val="193957B5"/>
    <w:rsid w:val="193C7053"/>
    <w:rsid w:val="193E0B05"/>
    <w:rsid w:val="1942602D"/>
    <w:rsid w:val="194D1260"/>
    <w:rsid w:val="195C14A3"/>
    <w:rsid w:val="195C5DF6"/>
    <w:rsid w:val="19631CB7"/>
    <w:rsid w:val="19744A3F"/>
    <w:rsid w:val="197D4330"/>
    <w:rsid w:val="199A4A77"/>
    <w:rsid w:val="199B6470"/>
    <w:rsid w:val="19AC242B"/>
    <w:rsid w:val="19B6671E"/>
    <w:rsid w:val="19B854D3"/>
    <w:rsid w:val="19B915C3"/>
    <w:rsid w:val="19BA4605"/>
    <w:rsid w:val="19C0022C"/>
    <w:rsid w:val="19C71B4A"/>
    <w:rsid w:val="19CB211F"/>
    <w:rsid w:val="19D64119"/>
    <w:rsid w:val="19E33973"/>
    <w:rsid w:val="19E90135"/>
    <w:rsid w:val="19E90A8E"/>
    <w:rsid w:val="19EA2F53"/>
    <w:rsid w:val="19EC7C28"/>
    <w:rsid w:val="19F20775"/>
    <w:rsid w:val="19F25277"/>
    <w:rsid w:val="19FA6567"/>
    <w:rsid w:val="1A041C53"/>
    <w:rsid w:val="1A080271"/>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943933"/>
    <w:rsid w:val="1A952EBF"/>
    <w:rsid w:val="1AA24D9F"/>
    <w:rsid w:val="1AAA5CD7"/>
    <w:rsid w:val="1AB27C85"/>
    <w:rsid w:val="1ABC1257"/>
    <w:rsid w:val="1AC71042"/>
    <w:rsid w:val="1AD10211"/>
    <w:rsid w:val="1ADD35D2"/>
    <w:rsid w:val="1ADD4E90"/>
    <w:rsid w:val="1AED6432"/>
    <w:rsid w:val="1AF35FC0"/>
    <w:rsid w:val="1AF40A84"/>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52C44"/>
    <w:rsid w:val="1BE7046B"/>
    <w:rsid w:val="1BE834C2"/>
    <w:rsid w:val="1BEF8922"/>
    <w:rsid w:val="1BF9122C"/>
    <w:rsid w:val="1BFD9FA9"/>
    <w:rsid w:val="1BFF53D2"/>
    <w:rsid w:val="1BFFFD79"/>
    <w:rsid w:val="1C113C73"/>
    <w:rsid w:val="1C1401D7"/>
    <w:rsid w:val="1C1B1166"/>
    <w:rsid w:val="1C295ECB"/>
    <w:rsid w:val="1C314E69"/>
    <w:rsid w:val="1C321C74"/>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7702A0"/>
    <w:rsid w:val="1D7D9222"/>
    <w:rsid w:val="1D816BAA"/>
    <w:rsid w:val="1D83660F"/>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787B"/>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A6411"/>
    <w:rsid w:val="1E6E5F01"/>
    <w:rsid w:val="1E707ECB"/>
    <w:rsid w:val="1E7159F1"/>
    <w:rsid w:val="1E773774"/>
    <w:rsid w:val="1E7D5ADD"/>
    <w:rsid w:val="1E7DC577"/>
    <w:rsid w:val="1E8043CD"/>
    <w:rsid w:val="1E805C34"/>
    <w:rsid w:val="1E85149C"/>
    <w:rsid w:val="1E8869CA"/>
    <w:rsid w:val="1E967206"/>
    <w:rsid w:val="1E990BD3"/>
    <w:rsid w:val="1E9FA133"/>
    <w:rsid w:val="1EA11BFC"/>
    <w:rsid w:val="1EA7630C"/>
    <w:rsid w:val="1EA97269"/>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3233D2"/>
    <w:rsid w:val="1F365447"/>
    <w:rsid w:val="1F3D2C05"/>
    <w:rsid w:val="1F3FE216"/>
    <w:rsid w:val="1F4FE79D"/>
    <w:rsid w:val="1F552C1D"/>
    <w:rsid w:val="1F5B251F"/>
    <w:rsid w:val="1F5C0367"/>
    <w:rsid w:val="1F646212"/>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55DBE"/>
    <w:rsid w:val="1FC94CE1"/>
    <w:rsid w:val="1FCE3C4A"/>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576BD"/>
    <w:rsid w:val="204C26F0"/>
    <w:rsid w:val="205E1FA5"/>
    <w:rsid w:val="2061413D"/>
    <w:rsid w:val="20633426"/>
    <w:rsid w:val="20657B97"/>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78228"/>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D73BB"/>
    <w:rsid w:val="22D14565"/>
    <w:rsid w:val="22D57C93"/>
    <w:rsid w:val="22DD18A7"/>
    <w:rsid w:val="22E22A19"/>
    <w:rsid w:val="22E76282"/>
    <w:rsid w:val="22F6534C"/>
    <w:rsid w:val="22F776BB"/>
    <w:rsid w:val="23031E65"/>
    <w:rsid w:val="23052BAC"/>
    <w:rsid w:val="23111551"/>
    <w:rsid w:val="231132FF"/>
    <w:rsid w:val="23161685"/>
    <w:rsid w:val="2318468D"/>
    <w:rsid w:val="231921B3"/>
    <w:rsid w:val="23252F60"/>
    <w:rsid w:val="232657DC"/>
    <w:rsid w:val="23280A54"/>
    <w:rsid w:val="232B589C"/>
    <w:rsid w:val="232D6BB0"/>
    <w:rsid w:val="23393083"/>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A79B4"/>
    <w:rsid w:val="23D5F281"/>
    <w:rsid w:val="23DB49CC"/>
    <w:rsid w:val="23DF9DD9"/>
    <w:rsid w:val="23EE57A5"/>
    <w:rsid w:val="23EFCB3D"/>
    <w:rsid w:val="23F16BDA"/>
    <w:rsid w:val="23FBA525"/>
    <w:rsid w:val="23FE3883"/>
    <w:rsid w:val="23FFF03C"/>
    <w:rsid w:val="24070432"/>
    <w:rsid w:val="2409256C"/>
    <w:rsid w:val="24093AE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8A5117"/>
    <w:rsid w:val="249146F7"/>
    <w:rsid w:val="249441E7"/>
    <w:rsid w:val="249C09CC"/>
    <w:rsid w:val="249D6EA0"/>
    <w:rsid w:val="24A37AEA"/>
    <w:rsid w:val="24AA21AC"/>
    <w:rsid w:val="24B6092B"/>
    <w:rsid w:val="24B87295"/>
    <w:rsid w:val="24C40BCE"/>
    <w:rsid w:val="24C42215"/>
    <w:rsid w:val="24C95021"/>
    <w:rsid w:val="24CD14A7"/>
    <w:rsid w:val="24D27E4D"/>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641BC4"/>
    <w:rsid w:val="257A162F"/>
    <w:rsid w:val="257F09F3"/>
    <w:rsid w:val="257F5D61"/>
    <w:rsid w:val="2582407F"/>
    <w:rsid w:val="25836BCB"/>
    <w:rsid w:val="258555C1"/>
    <w:rsid w:val="259326F1"/>
    <w:rsid w:val="259721E1"/>
    <w:rsid w:val="259A3E52"/>
    <w:rsid w:val="25AF7B21"/>
    <w:rsid w:val="25B25001"/>
    <w:rsid w:val="25BA1A2C"/>
    <w:rsid w:val="25BE01AD"/>
    <w:rsid w:val="25C33248"/>
    <w:rsid w:val="25D649BC"/>
    <w:rsid w:val="25D93D01"/>
    <w:rsid w:val="25DC0056"/>
    <w:rsid w:val="25DF2A30"/>
    <w:rsid w:val="25E14A26"/>
    <w:rsid w:val="25EE289B"/>
    <w:rsid w:val="25F21B8C"/>
    <w:rsid w:val="25F74A2E"/>
    <w:rsid w:val="25FC0F89"/>
    <w:rsid w:val="26053FC3"/>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C84787"/>
    <w:rsid w:val="26D11723"/>
    <w:rsid w:val="26D60AE7"/>
    <w:rsid w:val="26D66D39"/>
    <w:rsid w:val="26D7A32E"/>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72FEB"/>
    <w:rsid w:val="27A6495D"/>
    <w:rsid w:val="27A75FE0"/>
    <w:rsid w:val="27B14AF6"/>
    <w:rsid w:val="27B74619"/>
    <w:rsid w:val="27B760C2"/>
    <w:rsid w:val="27B842BA"/>
    <w:rsid w:val="27B87CE5"/>
    <w:rsid w:val="27B95593"/>
    <w:rsid w:val="27BA06F2"/>
    <w:rsid w:val="27BA566D"/>
    <w:rsid w:val="27BFFDD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9724F8"/>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872DC"/>
    <w:rsid w:val="29AC2228"/>
    <w:rsid w:val="29AD5782"/>
    <w:rsid w:val="29C81C78"/>
    <w:rsid w:val="29CB06AB"/>
    <w:rsid w:val="29CF1E07"/>
    <w:rsid w:val="29DF4F1D"/>
    <w:rsid w:val="29E0320E"/>
    <w:rsid w:val="29EB48A9"/>
    <w:rsid w:val="29EC23D0"/>
    <w:rsid w:val="29F44C41"/>
    <w:rsid w:val="29FC5656"/>
    <w:rsid w:val="2A0E0598"/>
    <w:rsid w:val="2A103D92"/>
    <w:rsid w:val="2A151272"/>
    <w:rsid w:val="2A164F5A"/>
    <w:rsid w:val="2A172511"/>
    <w:rsid w:val="2A1F09F7"/>
    <w:rsid w:val="2A331DAD"/>
    <w:rsid w:val="2A4254F9"/>
    <w:rsid w:val="2A450AA9"/>
    <w:rsid w:val="2A600439"/>
    <w:rsid w:val="2A70221C"/>
    <w:rsid w:val="2A77613D"/>
    <w:rsid w:val="2A7E77AA"/>
    <w:rsid w:val="2A7F16E5"/>
    <w:rsid w:val="2A8D0942"/>
    <w:rsid w:val="2A9F3151"/>
    <w:rsid w:val="2A9F7442"/>
    <w:rsid w:val="2AA809EC"/>
    <w:rsid w:val="2AAB375B"/>
    <w:rsid w:val="2AAD4703"/>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E6AA0"/>
    <w:rsid w:val="2B6111BC"/>
    <w:rsid w:val="2B642979"/>
    <w:rsid w:val="2B692999"/>
    <w:rsid w:val="2B6C0AFC"/>
    <w:rsid w:val="2B7B3A0B"/>
    <w:rsid w:val="2B804374"/>
    <w:rsid w:val="2B920981"/>
    <w:rsid w:val="2B922E0C"/>
    <w:rsid w:val="2B97CE49"/>
    <w:rsid w:val="2B9E79FB"/>
    <w:rsid w:val="2BA7764A"/>
    <w:rsid w:val="2BA86578"/>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7476"/>
    <w:rsid w:val="2C4F150B"/>
    <w:rsid w:val="2C6703CD"/>
    <w:rsid w:val="2C673F8F"/>
    <w:rsid w:val="2C802CF0"/>
    <w:rsid w:val="2C8B2374"/>
    <w:rsid w:val="2C944E7B"/>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11797"/>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4B2ABD"/>
    <w:rsid w:val="30562C99"/>
    <w:rsid w:val="30611B6D"/>
    <w:rsid w:val="3062163D"/>
    <w:rsid w:val="30633C2C"/>
    <w:rsid w:val="306453B6"/>
    <w:rsid w:val="30731155"/>
    <w:rsid w:val="30737369"/>
    <w:rsid w:val="307809F1"/>
    <w:rsid w:val="307A0735"/>
    <w:rsid w:val="307F0B59"/>
    <w:rsid w:val="309061AB"/>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142151"/>
    <w:rsid w:val="31164B35"/>
    <w:rsid w:val="31215291"/>
    <w:rsid w:val="31216E03"/>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912998"/>
    <w:rsid w:val="339C08ED"/>
    <w:rsid w:val="33A146B4"/>
    <w:rsid w:val="33AA78FC"/>
    <w:rsid w:val="33B4169A"/>
    <w:rsid w:val="33B52BE2"/>
    <w:rsid w:val="33B57CD6"/>
    <w:rsid w:val="33BA009C"/>
    <w:rsid w:val="33BB54C8"/>
    <w:rsid w:val="33BC72B7"/>
    <w:rsid w:val="33BD46BD"/>
    <w:rsid w:val="33BD5082"/>
    <w:rsid w:val="33C54C52"/>
    <w:rsid w:val="33CD57FF"/>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C2474"/>
    <w:rsid w:val="34FE35F4"/>
    <w:rsid w:val="34FF70E6"/>
    <w:rsid w:val="35004AF6"/>
    <w:rsid w:val="35054FC8"/>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13662"/>
    <w:rsid w:val="37270EEB"/>
    <w:rsid w:val="372F1658"/>
    <w:rsid w:val="37335AE2"/>
    <w:rsid w:val="373374EF"/>
    <w:rsid w:val="37425D25"/>
    <w:rsid w:val="37472E2C"/>
    <w:rsid w:val="374A56DA"/>
    <w:rsid w:val="37591B4A"/>
    <w:rsid w:val="375C50DA"/>
    <w:rsid w:val="3765796B"/>
    <w:rsid w:val="37667C65"/>
    <w:rsid w:val="37690C0C"/>
    <w:rsid w:val="376911DC"/>
    <w:rsid w:val="376F7F2C"/>
    <w:rsid w:val="377063EE"/>
    <w:rsid w:val="3773249A"/>
    <w:rsid w:val="37741137"/>
    <w:rsid w:val="3775A62E"/>
    <w:rsid w:val="377A4C40"/>
    <w:rsid w:val="377A5AA5"/>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3D62"/>
    <w:rsid w:val="384F06F9"/>
    <w:rsid w:val="384F6F52"/>
    <w:rsid w:val="38601B63"/>
    <w:rsid w:val="386046B4"/>
    <w:rsid w:val="386677F1"/>
    <w:rsid w:val="38693011"/>
    <w:rsid w:val="386D6DD1"/>
    <w:rsid w:val="386F36AB"/>
    <w:rsid w:val="38740E0B"/>
    <w:rsid w:val="3887217A"/>
    <w:rsid w:val="388E3785"/>
    <w:rsid w:val="389E4E7A"/>
    <w:rsid w:val="38A359B8"/>
    <w:rsid w:val="38B16CBE"/>
    <w:rsid w:val="38B927E7"/>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572B32"/>
    <w:rsid w:val="3A623E3D"/>
    <w:rsid w:val="3A6C4ACA"/>
    <w:rsid w:val="3A6D1ABE"/>
    <w:rsid w:val="3A713CCC"/>
    <w:rsid w:val="3A7F1959"/>
    <w:rsid w:val="3A7F65B4"/>
    <w:rsid w:val="3A8013C4"/>
    <w:rsid w:val="3A822988"/>
    <w:rsid w:val="3A871D46"/>
    <w:rsid w:val="3A9E1B37"/>
    <w:rsid w:val="3A9F85AD"/>
    <w:rsid w:val="3AA430AB"/>
    <w:rsid w:val="3AA54601"/>
    <w:rsid w:val="3AA97077"/>
    <w:rsid w:val="3AAB65A3"/>
    <w:rsid w:val="3AAC215F"/>
    <w:rsid w:val="3AAE15B7"/>
    <w:rsid w:val="3AB4098F"/>
    <w:rsid w:val="3AB72586"/>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4649A"/>
    <w:rsid w:val="3C291261"/>
    <w:rsid w:val="3C397F0C"/>
    <w:rsid w:val="3C3F2833"/>
    <w:rsid w:val="3C3F6133"/>
    <w:rsid w:val="3C406CD7"/>
    <w:rsid w:val="3C485B8B"/>
    <w:rsid w:val="3C4C02AC"/>
    <w:rsid w:val="3C59051F"/>
    <w:rsid w:val="3C591F50"/>
    <w:rsid w:val="3C616C4D"/>
    <w:rsid w:val="3C644133"/>
    <w:rsid w:val="3C6776CB"/>
    <w:rsid w:val="3C6817B3"/>
    <w:rsid w:val="3C7B7989"/>
    <w:rsid w:val="3C7C3A87"/>
    <w:rsid w:val="3C7E335B"/>
    <w:rsid w:val="3C872BFA"/>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E15A2C"/>
    <w:rsid w:val="3CE354CC"/>
    <w:rsid w:val="3CEC29BB"/>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195E74"/>
    <w:rsid w:val="40350DE5"/>
    <w:rsid w:val="40463B1E"/>
    <w:rsid w:val="404A2A6F"/>
    <w:rsid w:val="404A3A83"/>
    <w:rsid w:val="4059648A"/>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546164"/>
    <w:rsid w:val="41623755"/>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F27582"/>
    <w:rsid w:val="41F84AD7"/>
    <w:rsid w:val="41FF6E4C"/>
    <w:rsid w:val="42022339"/>
    <w:rsid w:val="420A5B11"/>
    <w:rsid w:val="420A743F"/>
    <w:rsid w:val="420E3E5C"/>
    <w:rsid w:val="420F0158"/>
    <w:rsid w:val="42114C71"/>
    <w:rsid w:val="42274495"/>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9F8A9"/>
    <w:rsid w:val="43D016A0"/>
    <w:rsid w:val="43D5C649"/>
    <w:rsid w:val="43DD0CA1"/>
    <w:rsid w:val="43E20674"/>
    <w:rsid w:val="43E32C3E"/>
    <w:rsid w:val="43E333B4"/>
    <w:rsid w:val="43E96375"/>
    <w:rsid w:val="43E9786D"/>
    <w:rsid w:val="43EA577A"/>
    <w:rsid w:val="43FD36FF"/>
    <w:rsid w:val="440054AD"/>
    <w:rsid w:val="44065357"/>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D0117"/>
    <w:rsid w:val="451F1453"/>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C5D9D"/>
    <w:rsid w:val="46461101"/>
    <w:rsid w:val="46496788"/>
    <w:rsid w:val="464A5CFD"/>
    <w:rsid w:val="464CBFDD"/>
    <w:rsid w:val="464E27F6"/>
    <w:rsid w:val="4656274A"/>
    <w:rsid w:val="465E2A06"/>
    <w:rsid w:val="46603AD2"/>
    <w:rsid w:val="46607F75"/>
    <w:rsid w:val="466138F1"/>
    <w:rsid w:val="46677590"/>
    <w:rsid w:val="46713F31"/>
    <w:rsid w:val="467337D4"/>
    <w:rsid w:val="46777349"/>
    <w:rsid w:val="4678706D"/>
    <w:rsid w:val="467EC14B"/>
    <w:rsid w:val="468537C7"/>
    <w:rsid w:val="469750EF"/>
    <w:rsid w:val="469B1347"/>
    <w:rsid w:val="469D7C80"/>
    <w:rsid w:val="46A11B2B"/>
    <w:rsid w:val="46A20D18"/>
    <w:rsid w:val="46A32FF7"/>
    <w:rsid w:val="46A63BDA"/>
    <w:rsid w:val="46AC31BB"/>
    <w:rsid w:val="46AE157B"/>
    <w:rsid w:val="46B75D3F"/>
    <w:rsid w:val="46BF6A4A"/>
    <w:rsid w:val="46C55DB4"/>
    <w:rsid w:val="46CA5C0C"/>
    <w:rsid w:val="46CC1DEE"/>
    <w:rsid w:val="46DA0CA5"/>
    <w:rsid w:val="46E14C12"/>
    <w:rsid w:val="46EF6468"/>
    <w:rsid w:val="46F15764"/>
    <w:rsid w:val="46FE52B2"/>
    <w:rsid w:val="470B038B"/>
    <w:rsid w:val="471F1BDF"/>
    <w:rsid w:val="472B75FD"/>
    <w:rsid w:val="4745001B"/>
    <w:rsid w:val="476A2E5A"/>
    <w:rsid w:val="476E6AE6"/>
    <w:rsid w:val="477A6033"/>
    <w:rsid w:val="477DCE1E"/>
    <w:rsid w:val="477E3728"/>
    <w:rsid w:val="477F1591"/>
    <w:rsid w:val="479E0D55"/>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0C7ABD"/>
    <w:rsid w:val="48116838"/>
    <w:rsid w:val="48180B08"/>
    <w:rsid w:val="481F2B54"/>
    <w:rsid w:val="48272AF9"/>
    <w:rsid w:val="482A1464"/>
    <w:rsid w:val="4832149E"/>
    <w:rsid w:val="4833716D"/>
    <w:rsid w:val="48353EC3"/>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81A17"/>
    <w:rsid w:val="49AE2DA6"/>
    <w:rsid w:val="49CA5E32"/>
    <w:rsid w:val="49D21CBC"/>
    <w:rsid w:val="49D62A28"/>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B3F25"/>
    <w:rsid w:val="4A8E1C25"/>
    <w:rsid w:val="4A8E20F7"/>
    <w:rsid w:val="4A914BA1"/>
    <w:rsid w:val="4A9463DF"/>
    <w:rsid w:val="4A9B25E6"/>
    <w:rsid w:val="4A9B332A"/>
    <w:rsid w:val="4AA1777F"/>
    <w:rsid w:val="4AA246B9"/>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90539"/>
    <w:rsid w:val="4AEC627C"/>
    <w:rsid w:val="4AF52A88"/>
    <w:rsid w:val="4AF7CA82"/>
    <w:rsid w:val="4AFA5BA7"/>
    <w:rsid w:val="4AFC7261"/>
    <w:rsid w:val="4AFF2D26"/>
    <w:rsid w:val="4B044794"/>
    <w:rsid w:val="4B122EC6"/>
    <w:rsid w:val="4B1368CD"/>
    <w:rsid w:val="4B2606EF"/>
    <w:rsid w:val="4B343D27"/>
    <w:rsid w:val="4B3D2633"/>
    <w:rsid w:val="4B4B7D51"/>
    <w:rsid w:val="4B5A31E5"/>
    <w:rsid w:val="4B5B750A"/>
    <w:rsid w:val="4B5C51AF"/>
    <w:rsid w:val="4B62560B"/>
    <w:rsid w:val="4B6D2F19"/>
    <w:rsid w:val="4B6E90D0"/>
    <w:rsid w:val="4B753A52"/>
    <w:rsid w:val="4B756F90"/>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20442F"/>
    <w:rsid w:val="4C2A0B13"/>
    <w:rsid w:val="4C2FF311"/>
    <w:rsid w:val="4C304467"/>
    <w:rsid w:val="4C3A1686"/>
    <w:rsid w:val="4C3FA161"/>
    <w:rsid w:val="4C44439A"/>
    <w:rsid w:val="4C550DC6"/>
    <w:rsid w:val="4C623D3C"/>
    <w:rsid w:val="4C6267F5"/>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702828"/>
    <w:rsid w:val="4D737564"/>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71BEE"/>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818EC"/>
    <w:rsid w:val="4F7838D9"/>
    <w:rsid w:val="4F7930E1"/>
    <w:rsid w:val="4F7C2757"/>
    <w:rsid w:val="4F7F2889"/>
    <w:rsid w:val="4F7F7AA1"/>
    <w:rsid w:val="4F7FA37F"/>
    <w:rsid w:val="4F822D0B"/>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A55DB"/>
    <w:rsid w:val="510E0CFA"/>
    <w:rsid w:val="51113A57"/>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E657D3"/>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533CC8"/>
    <w:rsid w:val="55657695"/>
    <w:rsid w:val="55657CA2"/>
    <w:rsid w:val="55713605"/>
    <w:rsid w:val="55722A84"/>
    <w:rsid w:val="55774994"/>
    <w:rsid w:val="557B70AC"/>
    <w:rsid w:val="55833339"/>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249E9"/>
    <w:rsid w:val="580F7BDF"/>
    <w:rsid w:val="58105524"/>
    <w:rsid w:val="58114A52"/>
    <w:rsid w:val="58171515"/>
    <w:rsid w:val="581B1E8F"/>
    <w:rsid w:val="581B3E8B"/>
    <w:rsid w:val="58254B7B"/>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574331"/>
    <w:rsid w:val="5A5B12B5"/>
    <w:rsid w:val="5A624779"/>
    <w:rsid w:val="5A7476F4"/>
    <w:rsid w:val="5A778387"/>
    <w:rsid w:val="5A7D2A4C"/>
    <w:rsid w:val="5A7FB459"/>
    <w:rsid w:val="5A7FC531"/>
    <w:rsid w:val="5A820063"/>
    <w:rsid w:val="5A9009D2"/>
    <w:rsid w:val="5A92474A"/>
    <w:rsid w:val="5A9F1C77"/>
    <w:rsid w:val="5AA1498D"/>
    <w:rsid w:val="5AA4622B"/>
    <w:rsid w:val="5AAE2914"/>
    <w:rsid w:val="5AAF779E"/>
    <w:rsid w:val="5ABD20D4"/>
    <w:rsid w:val="5ABF62C1"/>
    <w:rsid w:val="5AC221FF"/>
    <w:rsid w:val="5AC661A1"/>
    <w:rsid w:val="5ACE75A8"/>
    <w:rsid w:val="5AD14B46"/>
    <w:rsid w:val="5AD676A3"/>
    <w:rsid w:val="5ADC3431"/>
    <w:rsid w:val="5ADD4D38"/>
    <w:rsid w:val="5ADD8A57"/>
    <w:rsid w:val="5ADF5D54"/>
    <w:rsid w:val="5ADF7C89"/>
    <w:rsid w:val="5ADF9E61"/>
    <w:rsid w:val="5AEA6714"/>
    <w:rsid w:val="5AF344C4"/>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3992C3"/>
    <w:rsid w:val="613D0337"/>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401CC"/>
    <w:rsid w:val="62B87DC6"/>
    <w:rsid w:val="62C30E7C"/>
    <w:rsid w:val="62C562DB"/>
    <w:rsid w:val="62C84D65"/>
    <w:rsid w:val="62D76283"/>
    <w:rsid w:val="62DC5115"/>
    <w:rsid w:val="62E177C7"/>
    <w:rsid w:val="62ED7E47"/>
    <w:rsid w:val="62EDAF18"/>
    <w:rsid w:val="62EE0A07"/>
    <w:rsid w:val="62F67840"/>
    <w:rsid w:val="62FF1540"/>
    <w:rsid w:val="6300246C"/>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F7193"/>
    <w:rsid w:val="637075F2"/>
    <w:rsid w:val="63711163"/>
    <w:rsid w:val="63767CBC"/>
    <w:rsid w:val="637A4A54"/>
    <w:rsid w:val="637A4F24"/>
    <w:rsid w:val="637B37E8"/>
    <w:rsid w:val="637BB93B"/>
    <w:rsid w:val="637D3C1C"/>
    <w:rsid w:val="637FF04C"/>
    <w:rsid w:val="638312A4"/>
    <w:rsid w:val="639D5F0D"/>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5C266C"/>
    <w:rsid w:val="655C5011"/>
    <w:rsid w:val="65627A2D"/>
    <w:rsid w:val="656C5E2C"/>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FB48C"/>
    <w:rsid w:val="66AD3308"/>
    <w:rsid w:val="66B479E6"/>
    <w:rsid w:val="66B75069"/>
    <w:rsid w:val="66B75538"/>
    <w:rsid w:val="66BC66AA"/>
    <w:rsid w:val="66BF2810"/>
    <w:rsid w:val="66C27892"/>
    <w:rsid w:val="66C35C8B"/>
    <w:rsid w:val="66C35E68"/>
    <w:rsid w:val="66C72837"/>
    <w:rsid w:val="66CA7019"/>
    <w:rsid w:val="66CC3515"/>
    <w:rsid w:val="66CD2666"/>
    <w:rsid w:val="66CE11E4"/>
    <w:rsid w:val="66CF2F3B"/>
    <w:rsid w:val="66D44878"/>
    <w:rsid w:val="66D718AA"/>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E5A9D"/>
    <w:rsid w:val="694A1939"/>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3514E"/>
    <w:rsid w:val="69B47B0D"/>
    <w:rsid w:val="69B933FE"/>
    <w:rsid w:val="69B95123"/>
    <w:rsid w:val="69BB0F42"/>
    <w:rsid w:val="69BD2E65"/>
    <w:rsid w:val="69BF4AFE"/>
    <w:rsid w:val="69C112CB"/>
    <w:rsid w:val="69C27265"/>
    <w:rsid w:val="69C86AD4"/>
    <w:rsid w:val="69C9A2A1"/>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F08DB"/>
    <w:rsid w:val="6B9145AA"/>
    <w:rsid w:val="6B9B2D32"/>
    <w:rsid w:val="6BA16F19"/>
    <w:rsid w:val="6BA79EDB"/>
    <w:rsid w:val="6BAE29BD"/>
    <w:rsid w:val="6BB13EA5"/>
    <w:rsid w:val="6BB1CE4A"/>
    <w:rsid w:val="6BB31F44"/>
    <w:rsid w:val="6BB649E3"/>
    <w:rsid w:val="6BBBE2B3"/>
    <w:rsid w:val="6BBF3E0E"/>
    <w:rsid w:val="6BBFBE9C"/>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661A"/>
    <w:rsid w:val="6C0C59DE"/>
    <w:rsid w:val="6C0D540B"/>
    <w:rsid w:val="6C1655FB"/>
    <w:rsid w:val="6C1A00FB"/>
    <w:rsid w:val="6C1D5E3D"/>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F06A8"/>
    <w:rsid w:val="6CBFDB77"/>
    <w:rsid w:val="6CBFFA36"/>
    <w:rsid w:val="6CCD0829"/>
    <w:rsid w:val="6CD3A16D"/>
    <w:rsid w:val="6CD41B88"/>
    <w:rsid w:val="6CD53F3B"/>
    <w:rsid w:val="6CD544BD"/>
    <w:rsid w:val="6CD8343A"/>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78CD"/>
    <w:rsid w:val="6E4A2AFE"/>
    <w:rsid w:val="6E577BD2"/>
    <w:rsid w:val="6E5B28B3"/>
    <w:rsid w:val="6E5F49A6"/>
    <w:rsid w:val="6E7837FF"/>
    <w:rsid w:val="6E7855AD"/>
    <w:rsid w:val="6E7C1B07"/>
    <w:rsid w:val="6E7F0666"/>
    <w:rsid w:val="6E7F0827"/>
    <w:rsid w:val="6E8F81CF"/>
    <w:rsid w:val="6E92399F"/>
    <w:rsid w:val="6E9D8C0E"/>
    <w:rsid w:val="6E9EEF82"/>
    <w:rsid w:val="6EAE87C4"/>
    <w:rsid w:val="6EB50B32"/>
    <w:rsid w:val="6EB50F2B"/>
    <w:rsid w:val="6EB8009F"/>
    <w:rsid w:val="6EBB9868"/>
    <w:rsid w:val="6EBEA365"/>
    <w:rsid w:val="6EC647D7"/>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18FB"/>
    <w:rsid w:val="6F736093"/>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93D5E"/>
    <w:rsid w:val="703A372F"/>
    <w:rsid w:val="704716DB"/>
    <w:rsid w:val="7047792D"/>
    <w:rsid w:val="70524664"/>
    <w:rsid w:val="70531E2E"/>
    <w:rsid w:val="705927E9"/>
    <w:rsid w:val="705942F2"/>
    <w:rsid w:val="7069490C"/>
    <w:rsid w:val="706F7F3E"/>
    <w:rsid w:val="70725570"/>
    <w:rsid w:val="707B053E"/>
    <w:rsid w:val="707F1A9F"/>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C607D"/>
    <w:rsid w:val="719F3C0B"/>
    <w:rsid w:val="719F5F35"/>
    <w:rsid w:val="71A60541"/>
    <w:rsid w:val="71A65AB9"/>
    <w:rsid w:val="71A861A9"/>
    <w:rsid w:val="71A86C91"/>
    <w:rsid w:val="71AD58DF"/>
    <w:rsid w:val="71AF5789"/>
    <w:rsid w:val="71B3DE0D"/>
    <w:rsid w:val="71B5BD2A"/>
    <w:rsid w:val="71B9671F"/>
    <w:rsid w:val="71BE3143"/>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901C2"/>
    <w:rsid w:val="72F659E2"/>
    <w:rsid w:val="72F69611"/>
    <w:rsid w:val="72FDA2BA"/>
    <w:rsid w:val="72FF2499"/>
    <w:rsid w:val="72FF520B"/>
    <w:rsid w:val="72FF8ED4"/>
    <w:rsid w:val="72FFB7B2"/>
    <w:rsid w:val="730A4632"/>
    <w:rsid w:val="730B2F60"/>
    <w:rsid w:val="730D083E"/>
    <w:rsid w:val="73154783"/>
    <w:rsid w:val="731D7050"/>
    <w:rsid w:val="73243F55"/>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6F4A04"/>
    <w:rsid w:val="74743BC8"/>
    <w:rsid w:val="74777E8B"/>
    <w:rsid w:val="747A2B1D"/>
    <w:rsid w:val="747E4778"/>
    <w:rsid w:val="74816EB6"/>
    <w:rsid w:val="748E1122"/>
    <w:rsid w:val="749D6310"/>
    <w:rsid w:val="749F06FE"/>
    <w:rsid w:val="74AFA636"/>
    <w:rsid w:val="74B46920"/>
    <w:rsid w:val="74B819D9"/>
    <w:rsid w:val="74B86703"/>
    <w:rsid w:val="74BE69A6"/>
    <w:rsid w:val="74C13CF7"/>
    <w:rsid w:val="74C96B62"/>
    <w:rsid w:val="74C9BB6B"/>
    <w:rsid w:val="74CD1C2D"/>
    <w:rsid w:val="74D572EF"/>
    <w:rsid w:val="74DD43BC"/>
    <w:rsid w:val="74DEF75A"/>
    <w:rsid w:val="74E9318D"/>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1A46E6"/>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6335D"/>
    <w:rsid w:val="7B674F74"/>
    <w:rsid w:val="7B684125"/>
    <w:rsid w:val="7B6BC3A0"/>
    <w:rsid w:val="7B6E049A"/>
    <w:rsid w:val="7B6F567D"/>
    <w:rsid w:val="7B707D38"/>
    <w:rsid w:val="7B733E15"/>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45.png"/><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sv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49756</Words>
  <Characters>70360</Characters>
  <Lines>1628</Lines>
  <Paragraphs>1460</Paragraphs>
  <TotalTime>5</TotalTime>
  <ScaleCrop>false</ScaleCrop>
  <LinksUpToDate>false</LinksUpToDate>
  <CharactersWithSpaces>73674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2026-05-20T11:54:44Z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