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8598"/>
      <w:bookmarkStart w:id="2" w:name="_Toc12473"/>
      <w:bookmarkStart w:id="3" w:name="_Toc12951"/>
      <w:bookmarkStart w:id="4" w:name="_Toc11806"/>
      <w:bookmarkStart w:id="5" w:name="_Toc25711"/>
      <w:bookmarkStart w:id="6" w:name="_Toc22211"/>
      <w:bookmarkStart w:id="7" w:name="_Toc6575"/>
      <w:bookmarkStart w:id="8" w:name="_Toc10403"/>
      <w:bookmarkStart w:id="9" w:name="_Toc211470751"/>
      <w:bookmarkStart w:id="10" w:name="_Toc21715"/>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20</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9147"/>
      <w:bookmarkStart w:id="14" w:name="_Toc31812"/>
      <w:bookmarkStart w:id="15" w:name="_Toc26034"/>
      <w:bookmarkStart w:id="16" w:name="_Toc870"/>
      <w:bookmarkStart w:id="17" w:name="_Toc22267"/>
      <w:bookmarkStart w:id="18" w:name="_Toc211470756"/>
      <w:bookmarkStart w:id="19" w:name="_Toc23928"/>
      <w:bookmarkStart w:id="20" w:name="_Toc6356"/>
      <w:bookmarkStart w:id="21" w:name="_Toc25211"/>
      <w:bookmarkStart w:id="22" w:name="_Toc15094"/>
      <w:bookmarkStart w:id="23" w:name="_Toc27917"/>
      <w:bookmarkStart w:id="24" w:name="_Toc26449"/>
      <w:bookmarkStart w:id="25" w:name="_Toc24376"/>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hint="eastAsia" w:cs="Times New Roman"/>
              <w:sz w:val="21"/>
              <w:szCs w:val="21"/>
              <w:lang w:val="en-US" w:eastAsia="zh-CN"/>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hint="eastAsia" w:cs="Times New Roman"/>
              <w:sz w:val="21"/>
              <w:szCs w:val="21"/>
              <w:lang w:val="en-US" w:eastAsia="zh-CN"/>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4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6014"/>
      <w:bookmarkStart w:id="33" w:name="_Toc13329"/>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为满足古树名木在实际管理中的检索应用需求，本文针对古树名木保护与管理的实际需求构建了古树名木</w:t>
      </w:r>
      <w:r>
        <w:rPr>
          <w:rFonts w:hint="eastAsia"/>
          <w:lang w:val="en-US" w:eastAsia="zh-CN"/>
        </w:rPr>
        <w:t>展示与</w:t>
      </w:r>
      <w:r>
        <w:rPr>
          <w:rFonts w:hint="eastAsia"/>
        </w:rPr>
        <w:t>检索系统，前端使用Vue开发用户界面，后端采用SpringBoot做数据处理与服务管理，实现古树名木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章：古树名木多模态展示与检索系统。本章设计与实现基于B/S结构的古树名木展示与检索系统，技术栈采用Vue及SpringBoot框架进行前后端设计，集成DHLM模型实现多模态检索。基于需求分析进行数据库设计，实现了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112"/>
      <w:bookmarkStart w:id="57" w:name="_Toc22207"/>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本文采用特征拼接方法将图像特征向量与位置特征向量按通道维度进行拼接，构建包含双模态信息的融合特征向量，</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28EF247C">
      <w:pPr>
        <w:bidi w:val="0"/>
        <w:rPr>
          <w:rFonts w:hint="eastAsia"/>
        </w:rPr>
      </w:pPr>
      <w:r>
        <w:rPr>
          <w:rFonts w:hint="eastAsia"/>
        </w:rPr>
        <w:t>为论证融合策略的选择，本文在iNaturalist 2018验证集上对比四种融合方案</w:t>
      </w:r>
      <w:r>
        <w:rPr>
          <w:rFonts w:hint="eastAsia"/>
          <w:lang w:eastAsia="zh-CN"/>
        </w:rPr>
        <w:t>，</w:t>
      </w:r>
      <w:r>
        <w:rPr>
          <w:rFonts w:hint="eastAsia"/>
        </w:rPr>
        <w:t>四种融合方案的详细对比实验结果见3.4.</w:t>
      </w:r>
      <w:r>
        <w:rPr>
          <w:rFonts w:hint="eastAsia"/>
          <w:lang w:val="en-US" w:eastAsia="zh-CN"/>
        </w:rPr>
        <w:t>2</w:t>
      </w:r>
      <w:r>
        <w:rPr>
          <w:rFonts w:hint="eastAsia"/>
        </w:rPr>
        <w:t>节表3.</w:t>
      </w:r>
      <w:r>
        <w:rPr>
          <w:rFonts w:hint="eastAsia"/>
          <w:lang w:val="en-US" w:eastAsia="zh-CN"/>
        </w:rPr>
        <w:t>6</w:t>
      </w:r>
      <w:r>
        <w:rPr>
          <w:rFonts w:hint="eastAsia"/>
          <w:lang w:eastAsia="zh-CN"/>
        </w:rPr>
        <w:t>：（</w:t>
      </w:r>
      <w:r>
        <w:rPr>
          <w:rFonts w:hint="eastAsia"/>
          <w:lang w:val="en-US" w:eastAsia="zh-CN"/>
        </w:rPr>
        <w:t>1</w:t>
      </w:r>
      <w:r>
        <w:rPr>
          <w:rFonts w:hint="eastAsia"/>
          <w:lang w:eastAsia="zh-CN"/>
        </w:rPr>
        <w:t>）</w:t>
      </w:r>
      <w:r>
        <w:rPr>
          <w:rFonts w:hint="eastAsia"/>
        </w:rPr>
        <w:t>特征拼接（</w:t>
      </w:r>
      <w:r>
        <w:rPr>
          <w:rFonts w:hint="eastAsia"/>
          <w:lang w:val="en-US" w:eastAsia="zh-CN"/>
        </w:rPr>
        <w:t>c</w:t>
      </w:r>
      <w:r>
        <w:rPr>
          <w:rFonts w:hint="eastAsia"/>
        </w:rPr>
        <w:t>oncat）：将512维图像特征与256维位置特征拼接为768维</w:t>
      </w:r>
      <w:r>
        <w:rPr>
          <w:rFonts w:hint="eastAsia"/>
          <w:lang w:eastAsia="zh-CN"/>
        </w:rPr>
        <w:t>；（</w:t>
      </w:r>
      <w:r>
        <w:rPr>
          <w:rFonts w:hint="eastAsia"/>
          <w:lang w:val="en-US" w:eastAsia="zh-CN"/>
        </w:rPr>
        <w:t>2</w:t>
      </w:r>
      <w:r>
        <w:rPr>
          <w:rFonts w:hint="eastAsia"/>
          <w:lang w:eastAsia="zh-CN"/>
        </w:rPr>
        <w:t>）</w:t>
      </w:r>
      <w:r>
        <w:rPr>
          <w:rFonts w:hint="eastAsia"/>
        </w:rPr>
        <w:t>逐元素相加（</w:t>
      </w:r>
      <w:r>
        <w:rPr>
          <w:rFonts w:hint="eastAsia"/>
          <w:lang w:val="en-US" w:eastAsia="zh-CN"/>
        </w:rPr>
        <w:t>a</w:t>
      </w:r>
      <w:r>
        <w:rPr>
          <w:rFonts w:hint="eastAsia"/>
        </w:rPr>
        <w:t>dd）：将位置特征升维至512维后与图像特征逐元素相加</w:t>
      </w:r>
      <w:r>
        <w:rPr>
          <w:rFonts w:hint="eastAsia"/>
          <w:lang w:eastAsia="zh-CN"/>
        </w:rPr>
        <w:t>。（</w:t>
      </w:r>
      <w:r>
        <w:rPr>
          <w:rFonts w:hint="eastAsia"/>
          <w:lang w:val="en-US" w:eastAsia="zh-CN"/>
        </w:rPr>
        <w:t>3</w:t>
      </w:r>
      <w:r>
        <w:rPr>
          <w:rFonts w:hint="eastAsia"/>
          <w:lang w:eastAsia="zh-CN"/>
        </w:rPr>
        <w:t>）</w:t>
      </w:r>
      <w:r>
        <w:rPr>
          <w:rFonts w:hint="eastAsia"/>
        </w:rPr>
        <w:t>逐元素相乘（</w:t>
      </w:r>
      <w:r>
        <w:rPr>
          <w:rFonts w:hint="eastAsia"/>
          <w:lang w:val="en-US" w:eastAsia="zh-CN"/>
        </w:rPr>
        <w:t>m</w:t>
      </w:r>
      <w:r>
        <w:rPr>
          <w:rFonts w:hint="eastAsia"/>
        </w:rPr>
        <w:t>ultiply）：位置特征升维后逐元素相乘</w:t>
      </w:r>
      <w:r>
        <w:rPr>
          <w:rFonts w:hint="eastAsia"/>
          <w:lang w:eastAsia="zh-CN"/>
        </w:rPr>
        <w:t>。（</w:t>
      </w:r>
      <w:r>
        <w:rPr>
          <w:rFonts w:hint="eastAsia"/>
          <w:lang w:val="en-US" w:eastAsia="zh-CN"/>
        </w:rPr>
        <w:t>4</w:t>
      </w:r>
      <w:r>
        <w:rPr>
          <w:rFonts w:hint="eastAsia"/>
          <w:lang w:eastAsia="zh-CN"/>
        </w:rPr>
        <w:t>）</w:t>
      </w:r>
      <w:r>
        <w:rPr>
          <w:rFonts w:hint="eastAsia"/>
        </w:rPr>
        <w:t>门控融合（</w:t>
      </w:r>
      <w:r>
        <w:rPr>
          <w:rFonts w:hint="eastAsia"/>
          <w:lang w:val="en-US" w:eastAsia="zh-CN"/>
        </w:rPr>
        <w:t>g</w:t>
      </w:r>
      <w:r>
        <w:rPr>
          <w:rFonts w:hint="eastAsia"/>
        </w:rPr>
        <w:t>ate）：用图像特征生成标量门控g∈(0,1)，加权融合</w:t>
      </w:r>
      <w:r>
        <w:rPr>
          <w:rFonts w:hint="default" w:ascii="Times New Roman" w:hAnsi="Times New Roman" w:cs="Times New Roman"/>
          <w:i/>
          <w:iCs/>
        </w:rPr>
        <w:t>f</w:t>
      </w:r>
      <w:r>
        <w:rPr>
          <w:rFonts w:hint="default" w:ascii="Times New Roman" w:hAnsi="Times New Roman" w:cs="Times New Roman"/>
          <w:i/>
          <w:iCs/>
          <w:vertAlign w:val="subscript"/>
        </w:rPr>
        <w:t>fused</w:t>
      </w:r>
      <w:r>
        <w:rPr>
          <w:rFonts w:hint="default" w:ascii="Times New Roman" w:hAnsi="Times New Roman" w:cs="Times New Roman"/>
          <w:i/>
          <w:iCs/>
        </w:rPr>
        <w:t xml:space="preserve"> </w:t>
      </w:r>
      <w:r>
        <w:rPr>
          <w:rFonts w:hint="default" w:ascii="Times New Roman" w:hAnsi="Times New Roman" w:cs="Times New Roman"/>
        </w:rPr>
        <w:t>= (1-</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u w:val="single"/>
        </w:rPr>
        <w:t>f</w:t>
      </w:r>
      <w:r>
        <w:rPr>
          <w:rFonts w:hint="default" w:ascii="Times New Roman" w:hAnsi="Times New Roman" w:cs="Times New Roman"/>
          <w:i/>
          <w:iCs/>
          <w:u w:val="single"/>
          <w:vertAlign w:val="subscript"/>
        </w:rPr>
        <w:t>i</w:t>
      </w:r>
      <w:r>
        <w:rPr>
          <w:rFonts w:hint="default" w:ascii="Times New Roman" w:hAnsi="Times New Roman" w:cs="Times New Roman"/>
          <w:vertAlign w:val="subscript"/>
        </w:rPr>
        <w:t xml:space="preserve"> </w:t>
      </w:r>
      <w:r>
        <w:rPr>
          <w:rFonts w:hint="default" w:ascii="Times New Roman" w:hAnsi="Times New Roman" w:cs="Times New Roman"/>
        </w:rPr>
        <w:t>+ g</w:t>
      </w:r>
      <w:r>
        <w:rPr>
          <w:rFonts w:hint="default" w:ascii="Times New Roman" w:hAnsi="Times New Roman" w:cs="Times New Roman"/>
          <w:i/>
          <w:iCs/>
        </w:rPr>
        <w:t>f</w:t>
      </w:r>
      <w:r>
        <w:rPr>
          <w:rFonts w:hint="default" w:ascii="Times New Roman" w:hAnsi="Times New Roman" w:cs="Times New Roman"/>
          <w:i/>
          <w:iCs/>
          <w:vertAlign w:val="subscript"/>
        </w:rPr>
        <w:t>l</w:t>
      </w:r>
      <w:r>
        <w:rPr>
          <w:rFonts w:hint="eastAsia"/>
        </w:rPr>
        <w:t>。</w:t>
      </w:r>
    </w:p>
    <w:p w14:paraId="46FFF886">
      <w:pPr>
        <w:bidi w:val="0"/>
        <w:rPr>
          <w:rFonts w:hint="eastAsia"/>
        </w:rPr>
      </w:pPr>
      <w:r>
        <w:rPr>
          <w:rFonts w:hint="eastAsia"/>
        </w:rPr>
        <w:t>特征拼接通过保留各模态完整信息，将模态间关系学习交由后续哈希层自动建模，避免了在语义未对齐时过早交互带来的信息损失；门控融合虽具动态调整能力，但门控网络引入的额外参数在小规模数据集上收益有限；逐元素相加/相乘在模态语义未充分对齐时易造成信息抵消或放大失真。第二章介绍的双线性融合（公式2-12）和交叉注意力融合（公式2-13至2-16）虽然理论上具有更强的交互建模能力，但双线性融合产生d1×d2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r>
        <w:rPr>
          <w:rFonts w:hint="default"/>
          <w:lang w:val="en-US" w:eastAsia="zh-CN"/>
        </w:rPr>
        <w:t>。</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5"/>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5"/>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5"/>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6"/>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6"/>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6"/>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6"/>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6"/>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7"/>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7"/>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7"/>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8"/>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8"/>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8"/>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8"/>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9"/>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9"/>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9"/>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搜索半径＜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9"/>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0"/>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0"/>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0"/>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1"/>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1"/>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2"/>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2"/>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2"/>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55FBA59B">
      <w:pPr>
        <w:ind w:left="0" w:leftChars="0" w:firstLine="420" w:firstLineChars="0"/>
        <w:jc w:val="left"/>
        <w:rPr>
          <w:rFonts w:hint="eastAsia"/>
          <w:lang w:eastAsia="zh-CN"/>
        </w:rPr>
      </w:pPr>
      <w:r>
        <w:rPr>
          <w:rFonts w:hint="eastAsia"/>
          <w:lang w:val="en-US" w:eastAsia="zh-CN"/>
        </w:rPr>
        <w:t>见下</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00D091DF">
      <w:pPr>
        <w:ind w:left="0" w:leftChars="0" w:firstLine="420" w:firstLineChars="0"/>
        <w:jc w:val="left"/>
        <w:rPr>
          <w:rFonts w:hint="eastAsia"/>
          <w:lang w:eastAsia="zh-CN"/>
        </w:rPr>
      </w:pPr>
    </w:p>
    <w:p w14:paraId="7C97F858">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5C9DBB8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65E4FA94">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3F8C87B9">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6EB622B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2FAE02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6343D97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14C92012">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00FCFF44">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7A2E761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09ABBCDB">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37E1984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766BB3BE">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621879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3FB045A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6137F3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1B8E6FE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71C466C">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06C9EBF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A19BE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A48BF2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77A435EC">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85BFBA4">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6EE4D1">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03A21B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B3A92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1B36CE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552C632F">
      <w:pPr>
        <w:bidi w:val="0"/>
        <w:ind w:left="0" w:leftChars="0" w:firstLine="0" w:firstLineChars="0"/>
      </w:pP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3"/>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3"/>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3"/>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3"/>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下</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1AE24776">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FA48FC0">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023400B2">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02BE7EC8">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7BE8E985">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1025738F">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F3953A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33BA724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24875F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4C201815">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8688311">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3EE9C2C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5A1F2A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1F528B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06DC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E02B3C9">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461769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0F91E8E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5F060BF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3B3892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2CFFC23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10D8AB7E">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7DAC328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0EB0C62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6C487A">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1968986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1505D5B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1447AC9F">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3D37760">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5D66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3D8519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8E5C72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20E3F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2683F2E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rPr>
      </w:pP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454"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454"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454"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1E15E89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bookmarkStart w:id="133" w:name="_Toc18827"/>
      <w:bookmarkStart w:id="134" w:name="_Toc19354"/>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地理位置元数据多模态的古树名木</w:t>
      </w:r>
      <w:r>
        <w:rPr>
          <w:rFonts w:hint="eastAsia"/>
          <w:lang w:val="en-US" w:eastAsia="zh-CN"/>
        </w:rPr>
        <w:t>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管理为一体的系统平台。本系统采用Browser/Server（B/S）架构设计古树名木</w:t>
      </w:r>
      <w:r>
        <w:rPr>
          <w:rFonts w:hint="eastAsia"/>
          <w:lang w:val="en-US" w:eastAsia="zh-CN"/>
        </w:rPr>
        <w:t>展示与</w:t>
      </w:r>
      <w:r>
        <w:rPr>
          <w:rFonts w:hint="eastAsia"/>
        </w:rPr>
        <w:t>检索功能以及系统管理员的资源管理等功能。</w:t>
      </w:r>
    </w:p>
    <w:p w14:paraId="6437602D">
      <w:pPr>
        <w:pStyle w:val="3"/>
        <w:spacing w:before="193"/>
      </w:pPr>
      <w:bookmarkStart w:id="137" w:name="_Toc10250"/>
      <w:bookmarkStart w:id="138" w:name="_Toc13933"/>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w:t>
      </w:r>
      <w:r>
        <w:rPr>
          <w:rFonts w:hint="eastAsia"/>
          <w:lang w:val="en-US" w:eastAsia="zh-CN"/>
        </w:rPr>
        <w:t>展示与</w:t>
      </w:r>
      <w:r>
        <w:rPr>
          <w:rFonts w:hint="eastAsia"/>
        </w:rPr>
        <w:t>检索系统，以实现古树名木管理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5656"/>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rPr>
        <w:t>系统整体用例图如图4.1所示。</w:t>
      </w:r>
    </w:p>
    <w:p w14:paraId="28D41D82">
      <w:pPr>
        <w:rPr>
          <w:rFonts w:hint="eastAsia"/>
        </w:rPr>
      </w:pPr>
    </w:p>
    <w:p w14:paraId="63B56142">
      <w:pPr>
        <w:pStyle w:val="46"/>
        <w:spacing w:line="300" w:lineRule="auto"/>
        <w:ind w:left="0" w:leftChars="0" w:firstLine="0" w:firstLineChars="0"/>
        <w:jc w:val="center"/>
      </w:pPr>
      <w:r>
        <w:drawing>
          <wp:inline distT="0" distB="0" distL="114300" distR="114300">
            <wp:extent cx="3252470" cy="4944110"/>
            <wp:effectExtent l="0" t="0" r="11430" b="8890"/>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pic:cNvPicPr>
                      <a:picLocks noChangeAspect="1"/>
                    </pic:cNvPicPr>
                  </pic:nvPicPr>
                  <pic:blipFill>
                    <a:blip r:embed="rId60"/>
                    <a:stretch>
                      <a:fillRect/>
                    </a:stretch>
                  </pic:blipFill>
                  <pic:spPr>
                    <a:xfrm>
                      <a:off x="0" y="0"/>
                      <a:ext cx="3252470" cy="494411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17366"/>
      <w:bookmarkStart w:id="145" w:name="_Toc3858"/>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w:t>
      </w:r>
      <w:r>
        <w:rPr>
          <w:rFonts w:hint="eastAsia"/>
          <w:lang w:val="en-US" w:eastAsia="zh-CN"/>
        </w:rPr>
        <w:t>展示与</w:t>
      </w:r>
      <w:r>
        <w:rPr>
          <w:rFonts w:hint="eastAsia"/>
        </w:rPr>
        <w:t>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121025" cy="2987040"/>
            <wp:effectExtent l="0" t="0" r="3175" b="10160"/>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3"/>
                    <a:stretch>
                      <a:fillRect/>
                    </a:stretch>
                  </pic:blipFill>
                  <pic:spPr>
                    <a:xfrm>
                      <a:off x="0" y="0"/>
                      <a:ext cx="3121025" cy="298704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4"/>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4"/>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4"/>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4"/>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4"/>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bookmarkStart w:id="234" w:name="_GoBack"/>
      <w:bookmarkEnd w:id="234"/>
    </w:p>
    <w:p w14:paraId="3E6E3587">
      <w:pPr>
        <w:pStyle w:val="4"/>
        <w:spacing w:before="193"/>
      </w:pPr>
      <w:r>
        <w:rPr>
          <w:rFonts w:hint="eastAsia"/>
        </w:rPr>
        <w:t>4.3.2</w:t>
      </w:r>
      <w:r>
        <w:rPr>
          <w:rFonts w:hint="eastAsia"/>
          <w:lang w:val="en-US" w:eastAsia="zh-CN"/>
        </w:rPr>
        <w:t xml:space="preserve">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7</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5"/>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7 </w:t>
      </w:r>
      <w:r>
        <w:rPr>
          <w:rFonts w:hint="eastAsia"/>
          <w:sz w:val="21"/>
          <w:szCs w:val="21"/>
        </w:rPr>
        <w:t>Upload sequence diagram of ancient and famous trees data</w:t>
      </w: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如下图4.8所示，展示了古树名木数据上传模块的前端界面。页面采用左右分栏布局，左侧为信息录入区域，右侧为图像上传区域。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75935" cy="2355215"/>
            <wp:effectExtent l="9525" t="9525" r="15240"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66"/>
                    <a:stretch>
                      <a:fillRect/>
                    </a:stretch>
                  </pic:blipFill>
                  <pic:spPr>
                    <a:xfrm>
                      <a:off x="0" y="0"/>
                      <a:ext cx="5575935" cy="235521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spacing w:before="193"/>
        <w:rPr>
          <w:rFonts w:hint="eastAsia"/>
          <w:lang w:val="en-US" w:eastAsia="zh-CN"/>
        </w:rPr>
      </w:pPr>
      <w:r>
        <w:rPr>
          <w:rFonts w:hint="eastAsia"/>
        </w:rPr>
        <w:t>4.3.</w:t>
      </w:r>
      <w:r>
        <w:rPr>
          <w:rFonts w:hint="eastAsia"/>
          <w:lang w:val="en-US" w:eastAsia="zh-CN"/>
        </w:rPr>
        <w:t>3 古树名木信息查询详细设计与实现</w:t>
      </w:r>
    </w:p>
    <w:p w14:paraId="53A6732D">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rPr>
        <w:t>如下图4.</w:t>
      </w:r>
      <w:r>
        <w:rPr>
          <w:rFonts w:hint="eastAsia"/>
          <w:lang w:val="en-US" w:eastAsia="zh-CN"/>
        </w:rPr>
        <w:t>9</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4C0B670A">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7"/>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62195053">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3759472B">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513D54F2">
      <w:pPr>
        <w:numPr>
          <w:ilvl w:val="0"/>
          <w:numId w:val="0"/>
        </w:numPr>
        <w:ind w:firstLine="420" w:firstLineChars="0"/>
        <w:rPr>
          <w:rFonts w:hint="eastAsia"/>
          <w:lang w:val="en-US" w:eastAsia="zh-CN"/>
        </w:rPr>
      </w:pPr>
    </w:p>
    <w:p w14:paraId="66DE31F0">
      <w:pPr>
        <w:numPr>
          <w:ilvl w:val="0"/>
          <w:numId w:val="0"/>
        </w:numPr>
        <w:jc w:val="left"/>
        <w:rPr>
          <w:rFonts w:hint="default"/>
          <w:lang w:val="en-US" w:eastAsia="zh-CN"/>
        </w:rPr>
      </w:pPr>
      <w:r>
        <w:drawing>
          <wp:inline distT="0" distB="0" distL="114300" distR="114300">
            <wp:extent cx="5577840" cy="3125470"/>
            <wp:effectExtent l="9525" t="9525" r="13335" b="146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68"/>
                    <a:stretch>
                      <a:fillRect/>
                    </a:stretch>
                  </pic:blipFill>
                  <pic:spPr>
                    <a:xfrm>
                      <a:off x="0" y="0"/>
                      <a:ext cx="5577840" cy="3125470"/>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10</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36A029EE">
      <w:pPr>
        <w:numPr>
          <w:ilvl w:val="0"/>
          <w:numId w:val="0"/>
        </w:numPr>
        <w:ind w:firstLine="420" w:firstLineChars="0"/>
        <w:rPr>
          <w:rFonts w:hint="eastAsia"/>
          <w:lang w:val="en-US" w:eastAsia="zh-CN"/>
        </w:rPr>
      </w:pPr>
    </w:p>
    <w:p w14:paraId="39779371">
      <w:pPr>
        <w:numPr>
          <w:ilvl w:val="0"/>
          <w:numId w:val="0"/>
        </w:numPr>
        <w:ind w:firstLine="420" w:firstLineChars="0"/>
        <w:rPr>
          <w:rFonts w:hint="eastAsia"/>
          <w:sz w:val="21"/>
          <w:szCs w:val="21"/>
        </w:rPr>
      </w:pPr>
      <w:r>
        <w:rPr>
          <w:rFonts w:hint="eastAsia"/>
          <w:lang w:val="en-US" w:eastAsia="zh-CN"/>
        </w:rPr>
        <w:t>如上图4.10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年）。左侧底部设置“查询古树”按钮，触发 handleTaxonomySearch方法组装参数调用/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63D7DBE0">
      <w:pPr>
        <w:numPr>
          <w:ilvl w:val="0"/>
          <w:numId w:val="0"/>
        </w:numPr>
        <w:ind w:firstLine="420" w:firstLineChars="0"/>
        <w:rPr>
          <w:rFonts w:hint="default"/>
          <w:lang w:val="en-US" w:eastAsia="zh-CN"/>
        </w:rPr>
      </w:pPr>
      <w:r>
        <w:rPr>
          <w:rFonts w:hint="default"/>
          <w:lang w:val="en-US" w:eastAsia="zh-CN"/>
        </w:rPr>
        <w:t>如下图4.</w:t>
      </w:r>
      <w:r>
        <w:rPr>
          <w:rFonts w:hint="eastAsia"/>
          <w:lang w:val="en-US" w:eastAsia="zh-CN"/>
        </w:rPr>
        <w:t>11</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243476EC">
      <w:pPr>
        <w:numPr>
          <w:ilvl w:val="0"/>
          <w:numId w:val="0"/>
        </w:numPr>
        <w:ind w:firstLine="420" w:firstLineChars="0"/>
        <w:rPr>
          <w:rFonts w:hint="default"/>
          <w:lang w:val="en-US" w:eastAsia="zh-CN"/>
        </w:rPr>
      </w:pPr>
    </w:p>
    <w:p w14:paraId="430BE57B">
      <w:pPr>
        <w:ind w:left="0" w:leftChars="0" w:firstLine="0" w:firstLineChars="0"/>
        <w:rPr>
          <w:b/>
          <w:bCs/>
          <w:color w:val="FF0000"/>
        </w:rPr>
      </w:pPr>
      <w:r>
        <w:drawing>
          <wp:inline distT="0" distB="0" distL="114300" distR="114300">
            <wp:extent cx="5565775" cy="2841625"/>
            <wp:effectExtent l="9525" t="9525" r="12700" b="1905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69"/>
                    <a:stretch>
                      <a:fillRect/>
                    </a:stretch>
                  </pic:blipFill>
                  <pic:spPr>
                    <a:xfrm>
                      <a:off x="0" y="0"/>
                      <a:ext cx="5565775" cy="2841625"/>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11</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bidi w:val="0"/>
        <w:rPr>
          <w:rFonts w:hint="eastAsia"/>
        </w:rPr>
      </w:pPr>
    </w:p>
    <w:p w14:paraId="6D779172">
      <w:pPr>
        <w:pStyle w:val="4"/>
        <w:spacing w:before="193"/>
      </w:pPr>
      <w:r>
        <w:rPr>
          <w:rFonts w:hint="eastAsia"/>
        </w:rPr>
        <w:t>4.3.</w:t>
      </w:r>
      <w:r>
        <w:rPr>
          <w:rFonts w:hint="eastAsia"/>
          <w:lang w:val="en-US" w:eastAsia="zh-CN"/>
        </w:rPr>
        <w:t xml:space="preserve">4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0"/>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12</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12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12</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13</w:t>
      </w:r>
      <w:r>
        <w:rPr>
          <w:rFonts w:hint="eastAsia"/>
        </w:rPr>
        <w:t>-4.1</w:t>
      </w:r>
      <w:r>
        <w:rPr>
          <w:rFonts w:hint="eastAsia"/>
          <w:lang w:val="en-US" w:eastAsia="zh-CN"/>
        </w:rPr>
        <w:t>5</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图4.</w:t>
      </w:r>
      <w:r>
        <w:rPr>
          <w:rFonts w:hint="eastAsia"/>
          <w:lang w:val="en-US" w:eastAsia="zh-CN"/>
        </w:rPr>
        <w:t>13</w:t>
      </w:r>
      <w:r>
        <w:rPr>
          <w:rFonts w:hint="eastAsia"/>
        </w:rPr>
        <w:t>中用户上传查询图像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rPr>
        <w:t>图4.</w:t>
      </w:r>
      <w:r>
        <w:rPr>
          <w:rFonts w:hint="eastAsia"/>
          <w:lang w:val="en-US" w:eastAsia="zh-CN"/>
        </w:rPr>
        <w:t>14中用户上传查询图像后，点击定位查询，系统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rPr>
        <w:t>图4.1</w:t>
      </w:r>
      <w:r>
        <w:rPr>
          <w:rFonts w:hint="eastAsia"/>
          <w:lang w:val="en-US" w:eastAsia="zh-CN"/>
        </w:rPr>
        <w:t>5中用户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位置坐标相相应附近的</w:t>
      </w:r>
      <w:r>
        <w:rPr>
          <w:rFonts w:hint="eastAsia"/>
        </w:rPr>
        <w:t>古树</w:t>
      </w:r>
      <w:r>
        <w:rPr>
          <w:rFonts w:hint="eastAsia"/>
          <w:lang w:val="en-US" w:eastAsia="zh-CN"/>
        </w:rPr>
        <w:t>名木列表。</w:t>
      </w:r>
      <w:r>
        <w:rPr>
          <w:rFonts w:hint="eastAsia"/>
        </w:rPr>
        <w:t>三种模式协同实现</w:t>
      </w:r>
      <w:r>
        <w:rPr>
          <w:rFonts w:hint="eastAsia"/>
          <w:lang w:val="en-US" w:eastAsia="zh-CN"/>
        </w:rPr>
        <w:t>图</w:t>
      </w:r>
      <w:r>
        <w:rPr>
          <w:rFonts w:hint="eastAsia"/>
        </w:rPr>
        <w:t>像与地理位置的</w:t>
      </w:r>
      <w:r>
        <w:rPr>
          <w:rFonts w:hint="eastAsia"/>
          <w:lang w:val="en-US" w:eastAsia="zh-CN"/>
        </w:rPr>
        <w:t>多模态检索</w:t>
      </w:r>
      <w:r>
        <w:rPr>
          <w:rFonts w:hint="eastAsia"/>
        </w:rPr>
        <w:t>。</w:t>
      </w:r>
    </w:p>
    <w:p w14:paraId="7C56C5E0">
      <w:pPr>
        <w:ind w:left="0" w:leftChars="0" w:firstLine="0" w:firstLineChars="0"/>
        <w:jc w:val="center"/>
      </w:pPr>
      <w:r>
        <w:drawing>
          <wp:inline distT="0" distB="0" distL="114300" distR="114300">
            <wp:extent cx="5572125" cy="3270885"/>
            <wp:effectExtent l="9525" t="9525" r="19050" b="2159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71"/>
                    <a:stretch>
                      <a:fillRect/>
                    </a:stretch>
                  </pic:blipFill>
                  <pic:spPr>
                    <a:xfrm>
                      <a:off x="0" y="0"/>
                      <a:ext cx="5572125" cy="327088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5575300" cy="2865755"/>
            <wp:effectExtent l="9525" t="9525" r="15875" b="2032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72"/>
                    <a:stretch>
                      <a:fillRect/>
                    </a:stretch>
                  </pic:blipFill>
                  <pic:spPr>
                    <a:xfrm>
                      <a:off x="0" y="0"/>
                      <a:ext cx="5575300" cy="286575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14</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14</w:t>
      </w:r>
      <w:r>
        <w:rPr>
          <w:rFonts w:hint="eastAsia"/>
          <w:sz w:val="21"/>
          <w:szCs w:val="21"/>
        </w:rPr>
        <w:t xml:space="preserve"> Image-to-Location Retrieval Result Interface </w:t>
      </w:r>
    </w:p>
    <w:p w14:paraId="5C5A6A67">
      <w:pPr>
        <w:jc w:val="center"/>
        <w:rPr>
          <w:rFonts w:hint="eastAsia"/>
          <w:sz w:val="21"/>
          <w:szCs w:val="21"/>
        </w:rPr>
      </w:pPr>
    </w:p>
    <w:p w14:paraId="17D89A98">
      <w:pPr>
        <w:ind w:left="0" w:leftChars="0" w:firstLine="0" w:firstLineChars="0"/>
        <w:jc w:val="center"/>
      </w:pPr>
      <w:r>
        <w:drawing>
          <wp:inline distT="0" distB="0" distL="114300" distR="114300">
            <wp:extent cx="5565775" cy="2926715"/>
            <wp:effectExtent l="9525" t="9525" r="12700" b="1016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73"/>
                    <a:stretch>
                      <a:fillRect/>
                    </a:stretch>
                  </pic:blipFill>
                  <pic:spPr>
                    <a:xfrm>
                      <a:off x="0" y="0"/>
                      <a:ext cx="5565775" cy="292671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15</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15</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15930"/>
      <w:bookmarkStart w:id="169" w:name="_Toc7376"/>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949"/>
      <w:bookmarkStart w:id="171" w:name="_Toc25481"/>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28146"/>
      <w:bookmarkStart w:id="174" w:name="_Toc13268"/>
      <w:bookmarkStart w:id="175" w:name="_Toc16137"/>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26958"/>
      <w:bookmarkStart w:id="177" w:name="_Toc21248"/>
      <w:bookmarkStart w:id="178" w:name="_Toc7441"/>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rPr>
          <w:rFonts w:hint="eastAsia" w:eastAsia="宋体"/>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4921"/>
      <w:bookmarkStart w:id="181" w:name="_Toc17533"/>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5"/>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5"/>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5"/>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5"/>
        </w:numPr>
        <w:ind w:firstLine="420"/>
        <w:jc w:val="left"/>
      </w:pPr>
      <w:r>
        <w:rPr>
          <w:rFonts w:hint="eastAsia"/>
        </w:rPr>
        <w:t>系统层面，当前古树名木展示与检索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
      <w:bookmarkStart w:id="183" w:name="_Toc2584"/>
      <w:r>
        <w:rPr>
          <w:rFonts w:hint="eastAsia"/>
        </w:rPr>
        <w:t>参考文献</w:t>
      </w:r>
      <w:bookmarkEnd w:id="182"/>
      <w:bookmarkEnd w:id="183"/>
    </w:p>
    <w:p w14:paraId="62A03112">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abstractNum w:abstractNumId="15">
    <w:nsid w:val="7EF3084F"/>
    <w:multiLevelType w:val="singleLevel"/>
    <w:tmpl w:val="7EF3084F"/>
    <w:lvl w:ilvl="0" w:tentative="0">
      <w:start w:val="1"/>
      <w:numFmt w:val="decimal"/>
      <w:suff w:val="nothing"/>
      <w:lvlText w:val="（%1）"/>
      <w:lvlJc w:val="left"/>
    </w:lvl>
  </w:abstractNum>
  <w:num w:numId="1">
    <w:abstractNumId w:val="11"/>
  </w:num>
  <w:num w:numId="2">
    <w:abstractNumId w:val="12"/>
  </w:num>
  <w:num w:numId="3">
    <w:abstractNumId w:val="14"/>
  </w:num>
  <w:num w:numId="4">
    <w:abstractNumId w:val="3"/>
  </w:num>
  <w:num w:numId="5">
    <w:abstractNumId w:val="15"/>
  </w:num>
  <w:num w:numId="6">
    <w:abstractNumId w:val="5"/>
  </w:num>
  <w:num w:numId="7">
    <w:abstractNumId w:val="4"/>
  </w:num>
  <w:num w:numId="8">
    <w:abstractNumId w:val="8"/>
  </w:num>
  <w:num w:numId="9">
    <w:abstractNumId w:val="9"/>
  </w:num>
  <w:num w:numId="10">
    <w:abstractNumId w:val="2"/>
  </w:num>
  <w:num w:numId="11">
    <w:abstractNumId w:val="10"/>
  </w:num>
  <w:num w:numId="12">
    <w:abstractNumId w:val="0"/>
  </w:num>
  <w:num w:numId="13">
    <w:abstractNumId w:val="7"/>
  </w:num>
  <w:num w:numId="14">
    <w:abstractNumId w:val="13"/>
  </w:num>
  <w:num w:numId="15">
    <w:abstractNumId w:val="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105DD0"/>
    <w:rsid w:val="0216715F"/>
    <w:rsid w:val="021C29C7"/>
    <w:rsid w:val="021D04ED"/>
    <w:rsid w:val="021F7DC1"/>
    <w:rsid w:val="0224362A"/>
    <w:rsid w:val="022573A2"/>
    <w:rsid w:val="02313F99"/>
    <w:rsid w:val="02502671"/>
    <w:rsid w:val="025331D6"/>
    <w:rsid w:val="02571C51"/>
    <w:rsid w:val="02603BB4"/>
    <w:rsid w:val="026161C7"/>
    <w:rsid w:val="02753E85"/>
    <w:rsid w:val="02785D09"/>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502F56"/>
    <w:rsid w:val="095073FA"/>
    <w:rsid w:val="09507869"/>
    <w:rsid w:val="095427DA"/>
    <w:rsid w:val="0954785F"/>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77282"/>
    <w:rsid w:val="114A0BD3"/>
    <w:rsid w:val="11585FBF"/>
    <w:rsid w:val="115D0906"/>
    <w:rsid w:val="11687925"/>
    <w:rsid w:val="11731ED8"/>
    <w:rsid w:val="11762382"/>
    <w:rsid w:val="117874EE"/>
    <w:rsid w:val="11825E91"/>
    <w:rsid w:val="118440E5"/>
    <w:rsid w:val="119027DB"/>
    <w:rsid w:val="119A3908"/>
    <w:rsid w:val="119B1D62"/>
    <w:rsid w:val="11B10C8D"/>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936E6A"/>
    <w:rsid w:val="18A4216F"/>
    <w:rsid w:val="18A474FD"/>
    <w:rsid w:val="18B6485F"/>
    <w:rsid w:val="18C272A1"/>
    <w:rsid w:val="18C33745"/>
    <w:rsid w:val="18C63B73"/>
    <w:rsid w:val="18E84F59"/>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EC7C28"/>
    <w:rsid w:val="19F20775"/>
    <w:rsid w:val="19F25277"/>
    <w:rsid w:val="19F450C8"/>
    <w:rsid w:val="19FA6567"/>
    <w:rsid w:val="1A041C53"/>
    <w:rsid w:val="1A080271"/>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F35FC0"/>
    <w:rsid w:val="1AF40A84"/>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BE0AAF"/>
    <w:rsid w:val="34CA3E47"/>
    <w:rsid w:val="34D728C5"/>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23E3D"/>
    <w:rsid w:val="3A6C4ACA"/>
    <w:rsid w:val="3A6D1ABE"/>
    <w:rsid w:val="3A713CCC"/>
    <w:rsid w:val="3A7F1959"/>
    <w:rsid w:val="3A7F65B4"/>
    <w:rsid w:val="3A8013C4"/>
    <w:rsid w:val="3A822988"/>
    <w:rsid w:val="3A871D46"/>
    <w:rsid w:val="3A9E1B37"/>
    <w:rsid w:val="3A9F85AD"/>
    <w:rsid w:val="3AA430AB"/>
    <w:rsid w:val="3AA54601"/>
    <w:rsid w:val="3AA97077"/>
    <w:rsid w:val="3AAB65A3"/>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A2178"/>
    <w:rsid w:val="46FE52B2"/>
    <w:rsid w:val="47043DC3"/>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B62AA"/>
    <w:rsid w:val="48B858F4"/>
    <w:rsid w:val="48B904EC"/>
    <w:rsid w:val="48B93D4C"/>
    <w:rsid w:val="48BB2692"/>
    <w:rsid w:val="48BC6F7A"/>
    <w:rsid w:val="48BE0C93"/>
    <w:rsid w:val="48C90054"/>
    <w:rsid w:val="48D16F09"/>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344C4"/>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F08DB"/>
    <w:rsid w:val="6B9145AA"/>
    <w:rsid w:val="6B9B2D32"/>
    <w:rsid w:val="6BA16F19"/>
    <w:rsid w:val="6BA79EDB"/>
    <w:rsid w:val="6BAE29BD"/>
    <w:rsid w:val="6BB13EA5"/>
    <w:rsid w:val="6BB1CE4A"/>
    <w:rsid w:val="6BB31F44"/>
    <w:rsid w:val="6BB649E3"/>
    <w:rsid w:val="6BBBE2B3"/>
    <w:rsid w:val="6BBF3E0E"/>
    <w:rsid w:val="6BBFBE9C"/>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D7050"/>
    <w:rsid w:val="73243F55"/>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FA636"/>
    <w:rsid w:val="74B46920"/>
    <w:rsid w:val="74B819D9"/>
    <w:rsid w:val="74B86703"/>
    <w:rsid w:val="74BE69A6"/>
    <w:rsid w:val="74C13CF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sv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10888</Words>
  <Characters>15137</Characters>
  <Lines>1628</Lines>
  <Paragraphs>1460</Paragraphs>
  <TotalTime>1</TotalTime>
  <ScaleCrop>false</ScaleCrop>
  <LinksUpToDate>false</LinksUpToDate>
  <CharactersWithSpaces>15949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2026-05-20T23:49:39Z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