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Contrastive Loss and Quantization Loss is adopted together with hard negative mining to handle imbalanced categories. An FC-Tanh-Sign hash layer maps continuous features into compact 128-bit binary codes, reducing</w:t>
      </w:r>
      <w:r>
        <w:rPr>
          <w:rFonts w:hint="eastAsia"/>
          <w:sz w:val="21"/>
          <w:szCs w:val="21"/>
          <w:lang w:val="en-US" w:eastAsia="zh-CN"/>
        </w:rPr>
        <w:t xml:space="preserve"> </w:t>
      </w:r>
      <w:r>
        <w:rPr>
          <w:rFonts w:hint="eastAsia"/>
          <w:sz w:val="21"/>
          <w:szCs w:val="21"/>
        </w:rPr>
        <w:t>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The full DHLAM model achieves an mAP of 0.741 (on iNaturalist 2018)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w:t>
      </w:r>
      <w:r>
        <w:rPr>
          <w:rFonts w:hint="eastAsia"/>
          <w:sz w:val="21"/>
          <w:szCs w:val="21"/>
          <w:lang w:val="en-US" w:eastAsia="zh-CN"/>
        </w:rPr>
        <w:t>-</w:t>
      </w:r>
      <w:r>
        <w:rPr>
          <w:rFonts w:hint="eastAsia"/>
          <w:sz w:val="21"/>
          <w:szCs w:val="21"/>
        </w:rPr>
        <w:t>location retrieval. Development and testing have been completed and the system runs stably.</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w:t>
      </w:r>
      <w:bookmarkStart w:id="235" w:name="_GoBack"/>
      <w:bookmarkEnd w:id="235"/>
      <w:r>
        <w:rPr>
          <w:rFonts w:hint="eastAsia"/>
          <w:bCs/>
        </w:rPr>
        <w:t>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式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特征的跨</w:t>
      </w:r>
      <w:r>
        <w:rPr>
          <w:rFonts w:hint="eastAsia"/>
          <w:lang w:val="en-US" w:eastAsia="zh-CN"/>
        </w:rPr>
        <w:t>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10BB8"/>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11CE3"/>
    <w:rsid w:val="652561BA"/>
    <w:rsid w:val="652D7DDC"/>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44998</Words>
  <Characters>63567</Characters>
  <Lines>1628</Lines>
  <Paragraphs>1460</Paragraphs>
  <TotalTime>234</TotalTime>
  <ScaleCrop>false</ScaleCrop>
  <LinksUpToDate>false</LinksUpToDate>
  <CharactersWithSpaces>66655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2026-05-15T10:59:32Z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