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22211"/>
      <w:bookmarkStart w:id="6" w:name="_Toc12473"/>
      <w:bookmarkStart w:id="7" w:name="_Toc7456"/>
      <w:bookmarkStart w:id="8" w:name="_Toc25711"/>
      <w:bookmarkStart w:id="9" w:name="_Toc1040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2267"/>
      <w:bookmarkStart w:id="16" w:name="_Toc870"/>
      <w:bookmarkStart w:id="17" w:name="_Toc6356"/>
      <w:bookmarkStart w:id="18" w:name="_Toc27917"/>
      <w:bookmarkStart w:id="19" w:name="_Toc24376"/>
      <w:bookmarkStart w:id="20" w:name="_Toc211470756"/>
      <w:bookmarkStart w:id="21" w:name="_Toc25211"/>
      <w:bookmarkStart w:id="22" w:name="_Toc23928"/>
      <w:bookmarkStart w:id="23" w:name="_Toc31812"/>
      <w:bookmarkStart w:id="24" w:name="_Toc26449"/>
      <w:bookmarkStart w:id="25" w:name="_Toc9147"/>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领域有着密切联系，二者都依赖于有效的视觉特征表示。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。这些方法虽取得一定成果，但较难处理复杂细节差异，泛化性较弱，且主要解决分类问题而非本文关注的检索问题。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）提供精确的空间定位信息，与图像视觉特征形成互补</w:t>
      </w:r>
      <w:r>
        <w:t>。</w:t>
      </w:r>
      <w:r>
        <w:rPr>
          <w:rFonts w:hint="eastAsia"/>
        </w:rPr>
        <w:t>早期研究主要关注基于地理位置的图像检索（Geo-localization），通过匹配图像视觉特征与地理数据库实现定位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与视觉特征对齐，开创了将</w:t>
      </w:r>
      <w:r>
        <w:rPr>
          <w:rFonts w:hint="eastAsia"/>
          <w:lang w:eastAsia="zh-CN"/>
        </w:rPr>
        <w:t>“</w:t>
      </w:r>
      <w:r>
        <w:rPr>
          <w:rFonts w:hint="eastAsia"/>
        </w:rPr>
        <w:t>位置</w:t>
      </w:r>
      <w:r>
        <w:rPr>
          <w:rFonts w:hint="eastAsia"/>
          <w:lang w:eastAsia="zh-CN"/>
        </w:rPr>
        <w:t>”</w:t>
      </w:r>
      <w:r>
        <w:rPr>
          <w:rFonts w:hint="eastAsia"/>
        </w:rPr>
        <w:t>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255C9070">
      <w:pPr>
        <w:ind w:firstLine="480" w:firstLineChars="200"/>
        <w:rPr>
          <w:rFonts w:hint="eastAsia" w:eastAsia="宋体"/>
          <w:lang w:eastAsia="zh-CN"/>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rPr>
          <w:rFonts w:hint="eastAsia"/>
        </w:rPr>
        <w:t>本文技术路线如图1.1所示：</w:t>
      </w: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2714D5C6">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0A8719DB">
      <w:pPr>
        <w:widowControl/>
        <w:jc w:val="center"/>
        <w:rPr>
          <w:color w:val="000000"/>
          <w:kern w:val="0"/>
          <w:sz w:val="21"/>
          <w:szCs w:val="21"/>
          <w:lang w:bidi="ar"/>
        </w:rPr>
      </w:pPr>
    </w:p>
    <w:p w14:paraId="6559C580">
      <w:pPr>
        <w:keepNext w:val="0"/>
        <w:keepLines w:val="0"/>
        <w:pageBreakBefore w:val="0"/>
        <w:widowControl w:val="0"/>
        <w:kinsoku/>
        <w:wordWrap/>
        <w:overflowPunct/>
        <w:topLinePunct w:val="0"/>
        <w:autoSpaceDE/>
        <w:autoSpaceDN/>
        <w:bidi w:val="0"/>
        <w:adjustRightInd/>
        <w:snapToGrid/>
        <w:ind w:firstLine="480" w:firstLineChars="200"/>
        <w:textAlignment w:val="auto"/>
        <w:rPr>
          <w:color w:val="000000"/>
          <w:kern w:val="0"/>
          <w:sz w:val="21"/>
          <w:szCs w:val="21"/>
          <w:lang w:bidi="ar"/>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提供了可行</w:t>
      </w:r>
      <w:r>
        <w:rPr>
          <w:rFonts w:hint="eastAsia"/>
        </w:rPr>
        <w:t>方案</w:t>
      </w:r>
      <w:r>
        <w:t>与技术</w:t>
      </w:r>
      <w:r>
        <w:rPr>
          <w:rFonts w:hint="eastAsia"/>
        </w:rPr>
        <w:t>保障。</w:t>
      </w: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eastAsia="zh-CN"/>
        </w:rPr>
        <w:t>、</w:t>
      </w:r>
      <w:r>
        <w:rPr>
          <w:rFonts w:hint="eastAsia" w:ascii="宋体" w:hAnsi="宋体" w:cs="宋体"/>
        </w:rPr>
        <w:t>视觉信息等泛化表述。</w:t>
      </w:r>
      <w:bookmarkStart w:id="235" w:name="_GoBack"/>
      <w:bookmarkEnd w:id="235"/>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1D7083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682E4784">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5F797EC1">
      <w:pPr>
        <w:ind w:firstLine="420"/>
        <w:jc w:val="center"/>
        <w:rPr>
          <w:rFonts w:hint="eastAsia"/>
          <w:sz w:val="21"/>
          <w:szCs w:val="21"/>
        </w:rPr>
      </w:pPr>
    </w:p>
    <w:p w14:paraId="6BAB4209">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7A4CD55F">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如上图2.4所示，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77E5C8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1AF69614">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如上</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01C7B95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因此，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种技术，如图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w:t>
      </w:r>
    </w:p>
    <w:p w14:paraId="661E23D5">
      <w:pPr>
        <w:ind w:firstLine="480"/>
        <w:rPr>
          <w:rFonts w:hint="eastAsia" w:ascii="黑体" w:hAnsi="黑体" w:cs="黑体"/>
        </w:rPr>
      </w:pPr>
    </w:p>
    <w:p w14:paraId="2D518B6F">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2C5EDEC4">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4E94DCF2">
      <w:pPr>
        <w:ind w:firstLine="420"/>
        <w:jc w:val="center"/>
        <w:rPr>
          <w:rFonts w:hint="eastAsia"/>
          <w:sz w:val="21"/>
          <w:szCs w:val="21"/>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ind w:firstLine="420"/>
        <w:jc w:val="center"/>
        <w:rPr>
          <w:rFonts w:hint="eastAsia"/>
          <w:sz w:val="21"/>
          <w:szCs w:val="21"/>
        </w:rPr>
      </w:pP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730625" cy="1478915"/>
            <wp:effectExtent l="0" t="0" r="3175" b="19685"/>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730625" cy="1478915"/>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ind w:firstLine="420"/>
      </w:pPr>
      <w:r>
        <w:t>（2）决策层融合</w:t>
      </w:r>
    </w:p>
    <w:p w14:paraId="30DFEC4B">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firstLine="480" w:firstLineChars="200"/>
        <w:textAlignment w:val="auto"/>
        <w:rPr>
          <w:kern w:val="2"/>
        </w:rPr>
      </w:pPr>
      <w:r>
        <w:rPr>
          <w:rFonts w:hint="eastAsia"/>
          <w:kern w:val="2"/>
        </w:rPr>
        <w:t>决策层融合是一种常见的多模态融合策略，如</w:t>
      </w:r>
      <w:r>
        <w:rPr>
          <w:rFonts w:hint="eastAsia"/>
          <w:kern w:val="2"/>
          <w:lang w:val="en-US" w:eastAsia="zh-CN"/>
        </w:rPr>
        <w:t>下</w:t>
      </w:r>
      <w:r>
        <w:rPr>
          <w:rFonts w:hint="eastAsia"/>
          <w:kern w:val="2"/>
        </w:rPr>
        <w:t>图2.</w:t>
      </w:r>
      <w:r>
        <w:rPr>
          <w:rFonts w:hint="eastAsia"/>
          <w:kern w:val="2"/>
          <w:lang w:val="en-US" w:eastAsia="zh-CN"/>
        </w:rPr>
        <w:t>11</w:t>
      </w:r>
      <w:r>
        <w:rPr>
          <w:rFonts w:hint="eastAsia"/>
          <w:kern w:val="2"/>
        </w:rPr>
        <w:t>所示。决策层的融合是通过对每一种模态的学习与决策，然后对每一种模态的决策结果进行集成。此算法先针对各模态分别选取适当的模型，分别对其进行单独的学习，得出相应的预测结果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4AA2EC09">
      <w:pPr>
        <w:ind w:firstLine="420"/>
      </w:pPr>
    </w:p>
    <w:p w14:paraId="6745F361">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0196AF7A">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CD689A1">
      <w:pPr>
        <w:pStyle w:val="21"/>
        <w:widowControl/>
        <w:shd w:val="clear" w:color="auto" w:fill="FFFFFF"/>
        <w:spacing w:beforeAutospacing="0" w:afterAutospacing="0"/>
        <w:ind w:firstLine="420"/>
        <w:jc w:val="center"/>
        <w:rPr>
          <w:sz w:val="21"/>
          <w:szCs w:val="21"/>
        </w:rP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widowControl/>
        <w:shd w:val="clear" w:color="auto" w:fill="FFFFFF"/>
        <w:spacing w:beforeAutospacing="0" w:afterAutospacing="0"/>
        <w:ind w:firstLine="420"/>
        <w:jc w:val="center"/>
        <w:rPr>
          <w:sz w:val="21"/>
          <w:szCs w:val="21"/>
        </w:rPr>
      </w:pP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rPr>
          <w:rFonts w:hint="eastAsia"/>
          <w:lang w:val="en-US" w:eastAsia="zh-CN"/>
        </w:rPr>
        <w:t>下</w:t>
      </w:r>
      <w:r>
        <w:rPr>
          <w:rFonts w:hint="eastAsia"/>
        </w:rPr>
        <w:t>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如图2.1</w:t>
      </w:r>
      <w:r>
        <w:rPr>
          <w:rFonts w:hint="eastAsia"/>
          <w:lang w:val="en-US" w:eastAsia="zh-CN"/>
        </w:rPr>
        <w:t>4</w:t>
      </w:r>
      <w:r>
        <w:rPr>
          <w:rFonts w:hint="eastAsia"/>
        </w:rPr>
        <w:t>所示，首先更新查询表示为对齐表示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CBIR）技术通过提取图像视觉特征进行相似度匹配，为解决这一问题提供了有效途径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视觉特征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Network）。该模型设计轻量化的位置编码器将地理位置元数据融入视觉特征，通过多损失联合优化策略同步提升特征判别性与哈希码质量，并采用多级检索策略兼顾检索效率与精度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DHLAM模型首先采用双分支特征提取网络分别对图像和地理位置进行特征表示，以保证视觉特征与空间特征具有互补性，同时将多模态数据处理为可以建模和计算的向量化形式。在特征提取过程中，图像</w:t>
      </w:r>
      <w:r>
        <w:rPr>
          <w:rFonts w:hint="eastAsia"/>
          <w:lang w:val="en-US" w:eastAsia="zh-CN"/>
        </w:rPr>
        <w:t>信息</w:t>
      </w:r>
      <w:r>
        <w:rPr>
          <w:rFonts w:hint="eastAsia"/>
        </w:rPr>
        <w:t>借助ResNet-50</w:t>
      </w:r>
      <w:r>
        <w:rPr>
          <w:rFonts w:hint="eastAsia"/>
          <w:lang w:val="en-US" w:eastAsia="zh-CN"/>
        </w:rPr>
        <w:t>等</w:t>
      </w:r>
      <w:r>
        <w:rPr>
          <w:rFonts w:hint="eastAsia"/>
        </w:rPr>
        <w:t>主流卷积神经网络提取高层语义特征，地理位置</w:t>
      </w:r>
      <w:r>
        <w:rPr>
          <w:rFonts w:hint="eastAsia"/>
          <w:lang w:val="en-US" w:eastAsia="zh-CN"/>
        </w:rPr>
        <w:t>信息</w:t>
      </w:r>
      <w:r>
        <w:rPr>
          <w:rFonts w:hint="eastAsia"/>
        </w:rPr>
        <w:t>则采用轻量化的多层感知器将</w:t>
      </w:r>
      <w:r>
        <w:rPr>
          <w:rFonts w:hint="eastAsia"/>
          <w:lang w:eastAsia="zh-CN"/>
        </w:rPr>
        <w:t>位置坐标</w:t>
      </w:r>
      <w:r>
        <w:rPr>
          <w:rFonts w:hint="eastAsia"/>
        </w:rPr>
        <w:t>编码为固定维度的位置特征向量。在多模态融合阶段，通过特征拼接或注意力加权机制将图像特征与位置特征融合，生成包含视觉信息和空间分布信息的融合特征。此外，通过哈希层将融合特征映射为紧凑的二进制哈希码，并结合多损失联合优化策略约束哈希码质量，以提升检索模型的判别</w:t>
      </w:r>
      <w:r>
        <w:rPr>
          <w:rFonts w:hint="eastAsia"/>
          <w:lang w:val="en-US" w:eastAsia="zh-CN"/>
        </w:rPr>
        <w:t>准确率</w:t>
      </w:r>
      <w:r>
        <w:rPr>
          <w:rFonts w:hint="eastAsia"/>
          <w:lang w:eastAsia="zh-CN"/>
        </w:rPr>
        <w:t>。</w:t>
      </w:r>
    </w:p>
    <w:p w14:paraId="647E3828">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C5F7FFF">
      <w:pPr>
        <w:keepNext w:val="0"/>
        <w:keepLines w:val="0"/>
        <w:widowControl/>
        <w:suppressLineNumbers w:val="0"/>
        <w:ind w:left="0" w:leftChars="0" w:firstLine="0" w:firstLineChars="0"/>
        <w:jc w:val="both"/>
        <w:rPr>
          <w:sz w:val="21"/>
          <w:szCs w:val="21"/>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3"/>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视觉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视觉特征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古树名木图像检索任务中，除图像信息外，地理位置元数据（</w:t>
      </w:r>
      <w:r>
        <w:rPr>
          <w:rFonts w:hint="eastAsia"/>
          <w:lang w:eastAsia="zh-CN"/>
        </w:rPr>
        <w:t>位置</w:t>
      </w:r>
      <w:r>
        <w:rPr>
          <w:rFonts w:hint="eastAsia"/>
        </w:rPr>
        <w:t>坐标）也是重要的辅助特征。同种古树往往分布在相似的地理区域内，地理位置元数据能够有效补充视觉特征的不足，特别是在图像质量较差或视觉相似树种的判别场景中。本节介绍多模态特征融合策略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4"/>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4"/>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4"/>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4"/>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4"/>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5"/>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5"/>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5"/>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样本用于实验。iNaturalist 2018中的位置坐标由拍摄者设备自动记录，为消费级定位精度，满足本研究城市/景区级位置检索的需求。本研究使用该数据集中的植物图像及其对应的位置坐标构建训练样本。需要说明的是，iNaturalist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6"/>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像素。缩放过程采用双线性插值算法，在降低分辨率的同时保留古树枝干形态、纹理、冠形等关键视觉特征，保证图像结构完整性与语义一致性。注：本研究默认使用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6"/>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6"/>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6"/>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7"/>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7"/>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7"/>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检索图像数据库。距离查询位置&lt;1km的图像视为相关样本，计算mAP-L2I、Recall@K-L2I、Precision@K-L2I。</w:t>
      </w:r>
    </w:p>
    <w:p w14:paraId="19D0FB43">
      <w:pPr>
        <w:numPr>
          <w:ilvl w:val="0"/>
          <w:numId w:val="7"/>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8"/>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8"/>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8"/>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9"/>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9"/>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40051D2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0"/>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0"/>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0"/>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方面创新：多模态融合策略将地理位置元数据编码为256维位置特征向量，与视觉特征拼接后形成互补性更强的融合表示，有效缓解了单一视觉特征在形态相似树种判别中的局限性；多损失联合优化通过Triplet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与（1）节结果一致，验证了模型在视觉特征判别上的有效性。I2L任务mAP为0.698，低于I2I任务（差距4.3个百分点）。这一性能差距源于三方面因素：首先，I2L属于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模态检索（图像→位置），需要建立视觉特征与空间特征的跨空间映射，本身难度高于同模态的I2I检索；其次，I2L是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1"/>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1"/>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1"/>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1"/>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21C02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C9F4F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560914C0">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3BAEB39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5F34BCD1">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2FEC52DB">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5CF5B48C">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D65024B">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F99E1B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26413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613302F">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E2CAA0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2BEC270">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23DDC2AE">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381D091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4ADB63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93DC8E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9D9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DA785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8BD89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6CD836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6F9C6773">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529906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EA409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24CEF6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08F77CC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4D62D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8F7BF8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28EF1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51C2E21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EE4E43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CC47E6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D161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0CE7D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35B0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AB1AE6">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7475CE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1E01D6F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80E027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B96FC8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5188C2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6849CD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A8A61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45F1FE2">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8387F5">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71A4D88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01947A11">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79BB9C1">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910E9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68FC7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77C6B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537167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0176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63AF0F23">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D37727D">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17EE5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A7DF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7A8C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FBC5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540128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CB80925">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图像信息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注册、用户信息管理、古树名木信息图像上传和古树名木检索等功能。系统整体用例图如图4.1所示。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用户上传古树名木图像，系统提取视觉特征并生成128位哈希码，在海量图像库中快速检索相似图像，返回Top-K相似图像及相似度排名；图像到位置检索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default"/>
          <w:lang w:val="en-US" w:eastAsia="zh-CN"/>
        </w:rPr>
      </w:pPr>
      <w:r>
        <w:t>根据ER图中所呈现出的实体属性和实体关系，</w:t>
      </w:r>
      <w:r>
        <w:rPr>
          <w:rFonts w:hint="eastAsia"/>
        </w:rPr>
        <w:t>本系统使用关系型数据库MySQL对数据进行存储和管理</w:t>
      </w:r>
      <w:r>
        <w:rPr>
          <w:rFonts w:hint="eastAsia"/>
          <w:lang w:eastAsia="zh-CN"/>
        </w:rPr>
        <w:t>，</w:t>
      </w:r>
      <w:r>
        <w:t>以下以数据库表的形式，说明</w:t>
      </w:r>
      <w:r>
        <w:rPr>
          <w:rFonts w:hint="eastAsia"/>
        </w:rPr>
        <w:t>古树名木</w:t>
      </w:r>
      <w:r>
        <w:rPr>
          <w:rFonts w:hint="eastAsia"/>
          <w:lang w:eastAsia="zh-CN"/>
        </w:rPr>
        <w:t>检索系统</w:t>
      </w:r>
      <w:r>
        <w:t>数据库中数据组织方式和关系，本系统主要涉及</w:t>
      </w:r>
      <w:r>
        <w:rPr>
          <w:rFonts w:hint="eastAsia"/>
        </w:rPr>
        <w:t>4</w:t>
      </w:r>
      <w:r>
        <w:t>张</w:t>
      </w:r>
      <w:r>
        <w:rPr>
          <w:rFonts w:hint="eastAsia"/>
          <w:lang w:val="en-US" w:eastAsia="zh-CN"/>
        </w:rPr>
        <w:t>核心</w:t>
      </w:r>
      <w:r>
        <w:t>数据库表</w:t>
      </w:r>
      <w:r>
        <w:rPr>
          <w:rFonts w:hint="eastAsia"/>
          <w:lang w:eastAsia="zh-CN"/>
        </w:rPr>
        <w:t>，</w:t>
      </w:r>
      <w:r>
        <w:rPr>
          <w:rFonts w:hint="eastAsia"/>
          <w:lang w:val="en-US" w:eastAsia="zh-CN"/>
        </w:rPr>
        <w:t>即用户信息表、图像表、树木表和权限角色表。其中，用户信息表用于存储系统用户的基本信息，通过用户ID作为主键唯一标识每个用户；图像表则用于管理用户上传的古树名木图像数据，图像ID为主键，确保每幅图像的唯一性；树木表是核心数据表之一，记录古树名木的属性，树木ID作为主键，同时可能包含与图像表的关联字段，以便实现图像与树木信息的对应；权限角色表主要用于系统的权限管理，角色ID为主键，并通过用户ID与用户信息表建立关联，从而为不同用户分配相应的操作权限，保障系统数据的安全与规范访问。</w:t>
      </w:r>
    </w:p>
    <w:p w14:paraId="719E3D86">
      <w:pPr>
        <w:widowControl/>
        <w:jc w:val="center"/>
      </w:pPr>
      <w:r>
        <w:drawing>
          <wp:inline distT="0" distB="0" distL="114300" distR="114300">
            <wp:extent cx="2918460" cy="3865880"/>
            <wp:effectExtent l="0" t="0" r="2540" b="7620"/>
            <wp:docPr id="2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1"/>
                    <pic:cNvPicPr>
                      <a:picLocks noChangeAspect="1"/>
                    </pic:cNvPicPr>
                  </pic:nvPicPr>
                  <pic:blipFill>
                    <a:blip r:embed="rId64"/>
                    <a:stretch>
                      <a:fillRect/>
                    </a:stretch>
                  </pic:blipFill>
                  <pic:spPr>
                    <a:xfrm>
                      <a:off x="0" y="0"/>
                      <a:ext cx="2918460" cy="3865880"/>
                    </a:xfrm>
                    <a:prstGeom prst="rect">
                      <a:avLst/>
                    </a:prstGeom>
                    <a:noFill/>
                    <a:ln>
                      <a:noFill/>
                    </a:ln>
                  </pic:spPr>
                </pic:pic>
              </a:graphicData>
            </a:graphic>
          </wp:inline>
        </w:drawing>
      </w:r>
    </w:p>
    <w:p w14:paraId="07CE2C2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424CE7E0">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0AE65C3">
      <w:pPr>
        <w:ind w:firstLine="420"/>
        <w:rPr>
          <w:rFonts w:hint="eastAsia"/>
        </w:rPr>
      </w:pPr>
    </w:p>
    <w:p w14:paraId="36CE277D">
      <w:pPr>
        <w:widowControl/>
        <w:numPr>
          <w:ilvl w:val="0"/>
          <w:numId w:val="12"/>
        </w:numPr>
        <w:ind w:firstLine="420"/>
        <w:jc w:val="left"/>
      </w:pPr>
      <w:r>
        <w:t>用户</w:t>
      </w:r>
      <w:r>
        <w:rPr>
          <w:rFonts w:hint="eastAsia"/>
        </w:rPr>
        <w:t>信息</w:t>
      </w:r>
      <w:r>
        <w:t>表</w:t>
      </w:r>
    </w:p>
    <w:p w14:paraId="1AE3493B">
      <w:pPr>
        <w:widowControl/>
        <w:numPr>
          <w:ilvl w:val="0"/>
          <w:numId w:val="0"/>
        </w:numPr>
        <w:ind w:firstLine="420" w:firstLineChars="0"/>
        <w:jc w:val="left"/>
      </w:pPr>
      <w:r>
        <w:rPr>
          <w:rFonts w:hint="eastAsia"/>
          <w:lang w:eastAsia="zh-CN"/>
        </w:rPr>
        <w:t>见表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107FA3F9">
      <w:pPr>
        <w:widowControl/>
        <w:numPr>
          <w:ilvl w:val="0"/>
          <w:numId w:val="0"/>
        </w:numPr>
        <w:jc w:val="left"/>
      </w:pPr>
    </w:p>
    <w:p w14:paraId="73BC9DF4">
      <w:pPr>
        <w:pStyle w:val="41"/>
        <w:ind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05038A">
      <w:pPr>
        <w:numPr>
          <w:ilvl w:val="0"/>
          <w:numId w:val="12"/>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2"/>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62836464">
      <w:pPr>
        <w:bidi w:val="0"/>
        <w:ind w:left="0" w:leftChars="0" w:firstLine="0" w:firstLineChars="0"/>
      </w:pPr>
    </w:p>
    <w:p w14:paraId="19B369A1">
      <w:pPr>
        <w:widowControl/>
        <w:numPr>
          <w:ilvl w:val="0"/>
          <w:numId w:val="12"/>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信息、树木信息和权限角色表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图4.5所示的是用户信息管理模块的时序图。用户登录后访问用户信息页面，前端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如下图4.6所示，用户管理模块基于RBAC权限模型，以表格形式展示用户登录名、角色及上次登录时间等信息，支持编辑、删除、密码重置及检索操作。</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如上图4.7所示的是古树名木检索模块的时序图。用户登录后进入检索界面，上传查询图像或输入地理位置坐标，前端POST调用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 xml:space="preserve">Name of Tree Species </w:t>
      </w:r>
      <w:r>
        <w:rPr>
          <w:rFonts w:hint="eastAsia"/>
          <w:sz w:val="21"/>
          <w:szCs w:val="21"/>
        </w:rPr>
        <w:t xml:space="preserve">Retrieval Result Interface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系统测试分为功能性测试（基于测试用例）与非功能性（如性能和兼容性等方面）两部分。这一部分会对测试结果进行详细的说明，并对系统的品质和稳定性进行评价。</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402BFC9A">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输入“银杏”</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5</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6</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48116F22">
      <w:pPr>
        <w:ind w:firstLine="420"/>
        <w:rPr>
          <w:rFonts w:hint="eastAsia"/>
        </w:rPr>
      </w:pPr>
    </w:p>
    <w:p w14:paraId="51FE4496">
      <w:pPr>
        <w:bidi w:val="0"/>
        <w:rPr>
          <w:rFonts w:hint="eastAsia"/>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针对古树名木检索存在的样本类别不平衡、哈希码判别性不足等问题，本文提出了DHLAM模型。该模型设计轻量化的位置编码器将地理位置元数据融入视觉特征，采用Triplet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3"/>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利用大规模无标注图像数据学习更鲁棒的视觉表征，进一步提升模型对弱标注数据或新物种的泛化能力。</w:t>
      </w:r>
    </w:p>
    <w:p w14:paraId="16B9F5B5">
      <w:pPr>
        <w:numPr>
          <w:ilvl w:val="0"/>
          <w:numId w:val="13"/>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3"/>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3"/>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w:t>
      </w:r>
      <w:r>
        <w:rPr>
          <w:rFonts w:hint="eastAsia"/>
          <w:lang w:eastAsia="zh-CN"/>
        </w:rPr>
        <w:t>“</w:t>
      </w:r>
      <w:r>
        <w:rPr>
          <w:rFonts w:hint="eastAsia"/>
        </w:rPr>
        <w:t>随拍随检索</w:t>
      </w:r>
      <w:r>
        <w:rPr>
          <w:rFonts w:hint="eastAsia"/>
          <w:lang w:eastAsia="zh-CN"/>
        </w:rPr>
        <w:t>”</w:t>
      </w:r>
      <w:r>
        <w:rPr>
          <w:rFonts w:hint="eastAsia"/>
        </w:rPr>
        <w:t>的现场应用需求。</w:t>
      </w:r>
    </w:p>
    <w:p w14:paraId="52CF69EB">
      <w:pPr>
        <w:numPr>
          <w:ilvl w:val="0"/>
          <w:numId w:val="13"/>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num w:numId="1">
    <w:abstractNumId w:val="11"/>
  </w:num>
  <w:num w:numId="2">
    <w:abstractNumId w:val="12"/>
  </w:num>
  <w:num w:numId="3">
    <w:abstractNumId w:val="3"/>
  </w:num>
  <w:num w:numId="4">
    <w:abstractNumId w:val="5"/>
  </w:num>
  <w:num w:numId="5">
    <w:abstractNumId w:val="4"/>
  </w:num>
  <w:num w:numId="6">
    <w:abstractNumId w:val="8"/>
  </w:num>
  <w:num w:numId="7">
    <w:abstractNumId w:val="9"/>
  </w:num>
  <w:num w:numId="8">
    <w:abstractNumId w:val="2"/>
  </w:num>
  <w:num w:numId="9">
    <w:abstractNumId w:val="10"/>
  </w:num>
  <w:num w:numId="10">
    <w:abstractNumId w:val="0"/>
  </w:num>
  <w:num w:numId="11">
    <w:abstractNumId w:val="7"/>
  </w:num>
  <w:num w:numId="12">
    <w:abstractNumId w:val="13"/>
  </w:num>
  <w:num w:numId="13">
    <w:abstractNumId w:val="1"/>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97E41"/>
    <w:rsid w:val="018A79CF"/>
    <w:rsid w:val="018E7169"/>
    <w:rsid w:val="01981D96"/>
    <w:rsid w:val="01992300"/>
    <w:rsid w:val="019A6605"/>
    <w:rsid w:val="01AC2E0D"/>
    <w:rsid w:val="01B110AA"/>
    <w:rsid w:val="01B3097E"/>
    <w:rsid w:val="01BB2E56"/>
    <w:rsid w:val="01C761D7"/>
    <w:rsid w:val="01C81F50"/>
    <w:rsid w:val="01E62509"/>
    <w:rsid w:val="01EB11E6"/>
    <w:rsid w:val="01F86CD9"/>
    <w:rsid w:val="02105DD0"/>
    <w:rsid w:val="0216715F"/>
    <w:rsid w:val="021C29C7"/>
    <w:rsid w:val="021D04ED"/>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54D5"/>
    <w:rsid w:val="03DF418D"/>
    <w:rsid w:val="03EF1DEA"/>
    <w:rsid w:val="03EF5703"/>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7124E4"/>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705359"/>
    <w:rsid w:val="0F8D0B11"/>
    <w:rsid w:val="0F8D6756"/>
    <w:rsid w:val="0F915C8D"/>
    <w:rsid w:val="0F917F09"/>
    <w:rsid w:val="0F9815A7"/>
    <w:rsid w:val="0F9F6E61"/>
    <w:rsid w:val="0F9FEC04"/>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B8306"/>
    <w:rsid w:val="1D631052"/>
    <w:rsid w:val="1D7702A0"/>
    <w:rsid w:val="1D7D9222"/>
    <w:rsid w:val="1D816BAA"/>
    <w:rsid w:val="1D83660F"/>
    <w:rsid w:val="1D9A4E1B"/>
    <w:rsid w:val="1DA5DDDE"/>
    <w:rsid w:val="1DB05516"/>
    <w:rsid w:val="1DB16262"/>
    <w:rsid w:val="1DB261F1"/>
    <w:rsid w:val="1DB878B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575CBD"/>
    <w:rsid w:val="23671545"/>
    <w:rsid w:val="236721C2"/>
    <w:rsid w:val="23713D9D"/>
    <w:rsid w:val="237B1B7A"/>
    <w:rsid w:val="23855009"/>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331DAD"/>
    <w:rsid w:val="2A4254F9"/>
    <w:rsid w:val="2A450AA9"/>
    <w:rsid w:val="2A600439"/>
    <w:rsid w:val="2A70221C"/>
    <w:rsid w:val="2A77613D"/>
    <w:rsid w:val="2A7E77AA"/>
    <w:rsid w:val="2A7F16E5"/>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DBCD8"/>
    <w:rsid w:val="35DF9F6B"/>
    <w:rsid w:val="35E30B2B"/>
    <w:rsid w:val="35E50E0A"/>
    <w:rsid w:val="35EA0E10"/>
    <w:rsid w:val="35F04FF6"/>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23E3D"/>
    <w:rsid w:val="3A6C4ACA"/>
    <w:rsid w:val="3A6D1ABE"/>
    <w:rsid w:val="3A713CCC"/>
    <w:rsid w:val="3A7F1959"/>
    <w:rsid w:val="3A7F65B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20442F"/>
    <w:rsid w:val="4C2A0B13"/>
    <w:rsid w:val="4C2FF311"/>
    <w:rsid w:val="4C304467"/>
    <w:rsid w:val="4C3A1686"/>
    <w:rsid w:val="4C3FA161"/>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B00B7"/>
    <w:rsid w:val="5F3B879D"/>
    <w:rsid w:val="5F3D3904"/>
    <w:rsid w:val="5F447FDD"/>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59CDB"/>
    <w:rsid w:val="63B6D1AA"/>
    <w:rsid w:val="63BCE1DB"/>
    <w:rsid w:val="63C02548"/>
    <w:rsid w:val="63C139AA"/>
    <w:rsid w:val="63C2364D"/>
    <w:rsid w:val="63C45C6D"/>
    <w:rsid w:val="63CA2C86"/>
    <w:rsid w:val="63CA2F0F"/>
    <w:rsid w:val="63CC6F84"/>
    <w:rsid w:val="63DF2BD6"/>
    <w:rsid w:val="63DF51BF"/>
    <w:rsid w:val="63E1229E"/>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9606</Words>
  <Characters>13374</Characters>
  <Lines>1628</Lines>
  <Paragraphs>1460</Paragraphs>
  <TotalTime>0</TotalTime>
  <ScaleCrop>false</ScaleCrop>
  <LinksUpToDate>false</LinksUpToDate>
  <CharactersWithSpaces>13979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2026-05-15T00:46:56Z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