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21715"/>
      <w:bookmarkStart w:id="1" w:name="_Toc25711"/>
      <w:bookmarkStart w:id="2" w:name="_Toc8598"/>
      <w:bookmarkStart w:id="3" w:name="_Toc12951"/>
      <w:bookmarkStart w:id="4" w:name="_Toc22211"/>
      <w:bookmarkStart w:id="5" w:name="_Toc211470751"/>
      <w:bookmarkStart w:id="6" w:name="_Toc11806"/>
      <w:bookmarkStart w:id="7" w:name="_Toc6575"/>
      <w:bookmarkStart w:id="8" w:name="_Toc10403"/>
      <w:bookmarkStart w:id="9" w:name="_Toc12473"/>
      <w:bookmarkStart w:id="10" w:name="_Toc745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Style w:val="58"/>
          <w:rFonts w:hint="eastAsia" w:ascii="Times New Roman" w:hAnsi="Times New Roman" w:eastAsia="宋体" w:cs="Times New Roman"/>
          <w:kern w:val="2"/>
          <w:lang w:val="en-US" w:eastAsia="zh-CN" w:bidi="ar-SA"/>
        </w:rPr>
        <w:t>设计双分支哈希投影机制，将图像特征与位置特征分别映射至128维哈希语义空间后加权融合，生成128位二进制哈希码；此外，通过多路策略验证确定特征拼接为最优融合方案，联合图像和地理位置元数据构建统一语义空间。</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已完成开发和测试，可为古树名木检索相关管理提供有力支持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7917"/>
      <w:bookmarkStart w:id="15" w:name="_Toc26449"/>
      <w:bookmarkStart w:id="16" w:name="_Toc23928"/>
      <w:bookmarkStart w:id="17" w:name="_Toc211470756"/>
      <w:bookmarkStart w:id="18" w:name="_Toc6356"/>
      <w:bookmarkStart w:id="19" w:name="_Toc25211"/>
      <w:bookmarkStart w:id="20" w:name="_Toc9147"/>
      <w:bookmarkStart w:id="21" w:name="_Toc24376"/>
      <w:bookmarkStart w:id="22" w:name="_Toc22267"/>
      <w:bookmarkStart w:id="23" w:name="_Toc31812"/>
      <w:bookmarkStart w:id="24" w:name="_Toc26034"/>
      <w:bookmarkStart w:id="25" w:name="_Toc870"/>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52" name="图片 52" descr="第一章-1.1 技术路线图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第一章-1.1 技术路线图111"/>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11772"/>
      <w:bookmarkStart w:id="54" w:name="_Toc27995"/>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38202898"/>
      <w:bookmarkStart w:id="86" w:name="_Toc42616464"/>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此外，双分支投影未引入额外的非线性层或注意力模块，参数量与单路FC投影相比增量可忽略。</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ind w:firstLine="420"/>
        <w:jc w:val="center"/>
        <w:rPr>
          <w:rFonts w:hint="eastAsia"/>
          <w:sz w:val="21"/>
          <w:szCs w:val="21"/>
          <w:lang w:eastAsia="zh-CN"/>
        </w:rPr>
      </w:pP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30944C58">
      <w:pPr>
        <w:bidi w:val="0"/>
      </w:pPr>
      <w:bookmarkStart w:id="121" w:name="_Toc8211"/>
    </w:p>
    <w:p w14:paraId="6E81C1BF">
      <w:pPr>
        <w:pStyle w:val="4"/>
      </w:pPr>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w:t>
      </w:r>
      <w:r>
        <w:rPr>
          <w:rFonts w:hint="eastAsia"/>
          <w:lang w:val="en-US" w:eastAsia="zh-CN"/>
        </w:rPr>
        <w:t>相似</w:t>
      </w:r>
      <w:r>
        <w:rPr>
          <w:rFonts w:hint="default"/>
          <w:lang w:val="en-US" w:eastAsia="zh-CN"/>
        </w:rPr>
        <w:t>，但输入维度为768（融合特征），大于单模态基线的512维图像特征输入；二者均属于</w:t>
      </w:r>
      <w:r>
        <w:rPr>
          <w:rFonts w:hint="eastAsia"/>
          <w:lang w:val="en-US" w:eastAsia="zh-CN"/>
        </w:rPr>
        <w:t>“</w:t>
      </w:r>
      <w:r>
        <w:rPr>
          <w:rFonts w:hint="default"/>
          <w:lang w:val="en-US" w:eastAsia="zh-CN"/>
        </w:rPr>
        <w:t>单投影矩阵降维</w:t>
      </w:r>
      <w:r>
        <w:rPr>
          <w:rFonts w:hint="eastAsia"/>
          <w:lang w:val="en-US" w:eastAsia="zh-CN"/>
        </w:rPr>
        <w:t>”</w:t>
      </w:r>
      <w:r>
        <w:rPr>
          <w:rFonts w:hint="default"/>
          <w:lang w:val="en-US" w:eastAsia="zh-CN"/>
        </w:rPr>
        <w:t>的同类结构，w/o DBHP与FULL的对比是在控制其余模块完全一致的条件下，对单投影与双投影策略的对照验证，旨在量化双分支独立投影的设计价值。</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bookmarkStart w:id="236" w:name="_GoBack"/>
      <w:bookmarkEnd w:id="236"/>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834"/>
        <w:gridCol w:w="2956"/>
        <w:gridCol w:w="1206"/>
        <w:gridCol w:w="1206"/>
        <w:gridCol w:w="1261"/>
        <w:gridCol w:w="1194"/>
      </w:tblGrid>
      <w:tr w14:paraId="19329F7A">
        <w:tblPrEx>
          <w:tblCellMar>
            <w:top w:w="0" w:type="dxa"/>
            <w:left w:w="108" w:type="dxa"/>
            <w:bottom w:w="0" w:type="dxa"/>
            <w:right w:w="108" w:type="dxa"/>
          </w:tblCellMar>
        </w:tblPrEx>
        <w:trPr>
          <w:trHeight w:val="454" w:hRule="atLeast"/>
          <w:tblHeader/>
          <w:jc w:val="center"/>
        </w:trPr>
        <w:tc>
          <w:tcPr>
            <w:tcW w:w="834" w:type="dxa"/>
            <w:tcBorders>
              <w:top w:val="single" w:color="000000" w:sz="12" w:space="0"/>
              <w:left w:val="nil"/>
              <w:bottom w:val="nil"/>
              <w:right w:val="nil"/>
            </w:tcBorders>
            <w:noWrap w:val="0"/>
            <w:tcMar>
              <w:top w:w="-1" w:type="dxa"/>
              <w:left w:w="-1" w:type="dxa"/>
              <w:bottom w:w="-1" w:type="dxa"/>
              <w:right w:w="-1" w:type="dxa"/>
            </w:tcMar>
            <w:vAlign w:val="center"/>
          </w:tcPr>
          <w:p w14:paraId="6493D8E3">
            <w:pPr>
              <w:snapToGrid w:val="0"/>
              <w:spacing w:line="240" w:lineRule="auto"/>
              <w:ind w:left="0" w:leftChars="0" w:right="0" w:rightChars="0" w:firstLine="0" w:firstLineChars="0"/>
              <w:jc w:val="center"/>
              <w:rPr>
                <w:rFonts w:hint="default" w:ascii="Cambria Math" w:hAnsi="宋体" w:eastAsia="宋体" w:cs="宋体"/>
                <w:b/>
                <w:bCs w:val="0"/>
                <w:color w:val="000000"/>
                <w:sz w:val="21"/>
                <w:szCs w:val="21"/>
                <w:lang w:val="en-US" w:eastAsia="zh-CN"/>
              </w:rPr>
            </w:pPr>
            <w:r>
              <w:rPr>
                <w:rFonts w:hint="eastAsia" w:ascii="Cambria Math" w:hAnsi="宋体" w:eastAsia="宋体" w:cs="宋体"/>
                <w:b/>
                <w:bCs w:val="0"/>
                <w:color w:val="000000"/>
                <w:sz w:val="21"/>
                <w:szCs w:val="21"/>
                <w:lang w:val="en-US" w:eastAsia="zh-CN"/>
              </w:rPr>
              <w:t>序号</w:t>
            </w:r>
          </w:p>
        </w:tc>
        <w:tc>
          <w:tcPr>
            <w:tcW w:w="2956"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20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20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261"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194"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mAp</w:t>
            </w:r>
          </w:p>
        </w:tc>
      </w:tr>
      <w:tr w14:paraId="48C13345">
        <w:tblPrEx>
          <w:tblCellMar>
            <w:top w:w="0" w:type="dxa"/>
            <w:left w:w="108" w:type="dxa"/>
            <w:bottom w:w="0" w:type="dxa"/>
            <w:right w:w="108" w:type="dxa"/>
          </w:tblCellMar>
        </w:tblPrEx>
        <w:trPr>
          <w:trHeight w:val="454" w:hRule="atLeast"/>
          <w:jc w:val="center"/>
        </w:trPr>
        <w:tc>
          <w:tcPr>
            <w:tcW w:w="834"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w:t>
            </w:r>
          </w:p>
        </w:tc>
        <w:tc>
          <w:tcPr>
            <w:tcW w:w="2956"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20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20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261"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194"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834"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2</w:t>
            </w:r>
          </w:p>
        </w:tc>
        <w:tc>
          <w:tcPr>
            <w:tcW w:w="2956" w:type="dxa"/>
            <w:tcBorders>
              <w:top w:val="nil"/>
              <w:left w:val="nil"/>
              <w:bottom w:val="nil"/>
              <w:right w:val="nil"/>
            </w:tcBorders>
            <w:shd w:val="clear"/>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20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20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261"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194"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834"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3</w:t>
            </w:r>
          </w:p>
        </w:tc>
        <w:tc>
          <w:tcPr>
            <w:tcW w:w="2956"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20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20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261"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194"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834"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eastAsia" w:ascii="Times New Roman" w:eastAsia="宋体" w:cs="Times New Roman"/>
                <w:b w:val="0"/>
                <w:bCs w:val="0"/>
                <w:color w:val="000000"/>
                <w:sz w:val="21"/>
                <w:szCs w:val="21"/>
                <w:lang w:val="en-US" w:eastAsia="zh-CN"/>
              </w:rPr>
              <w:t>4</w:t>
            </w:r>
          </w:p>
        </w:tc>
        <w:tc>
          <w:tcPr>
            <w:tcW w:w="2956"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20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20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261"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194"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83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w:t>
            </w:r>
          </w:p>
        </w:tc>
        <w:tc>
          <w:tcPr>
            <w:tcW w:w="29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20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20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2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19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5656"/>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逻辑关系。系统为每株古树名木提供独立详情展示页面，通过右侧抽屉展示完整档案信息，包括高清图像、地理位置坐标、科属种三级分类信息、树龄、树高、保护级别及描述等。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2296"/>
      <w:bookmarkStart w:id="145" w:name="_Toc3858"/>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5387"/>
      <w:bookmarkStart w:id="152" w:name="_Toc10756"/>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信息。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所示，展示了树种名称查询页面的前端界面。左侧查询条件区配置树种名称输入框（带搜索图标）和树龄范围双滑块，底部设置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r>
        <w:rPr>
          <w:rFonts w:hint="eastAsia"/>
          <w:lang w:eastAsia="zh-CN"/>
        </w:rPr>
        <w:t>。</w:t>
      </w:r>
    </w:p>
    <w:p w14:paraId="7FEDA218">
      <w:pPr>
        <w:pStyle w:val="2"/>
        <w:spacing w:before="193" w:after="193"/>
      </w:pPr>
      <w:bookmarkStart w:id="175" w:name="_Toc16137"/>
      <w:bookmarkStart w:id="176" w:name="_Toc28146"/>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w:t>
      </w:r>
      <w:r>
        <w:rPr>
          <w:rFonts w:hint="eastAsia"/>
        </w:rPr>
        <w:t>、</w:t>
      </w:r>
      <w:r>
        <w:rPr>
          <w:rFonts w:hint="eastAsia"/>
          <w:lang w:val="en-US" w:eastAsia="zh-CN"/>
        </w:rPr>
        <w:t>树种名称查询</w:t>
      </w:r>
      <w:r>
        <w:rPr>
          <w:rFonts w:hint="eastAsia"/>
        </w:rPr>
        <w:t>）、古树名木</w:t>
      </w:r>
      <w:r>
        <w:rPr>
          <w:rFonts w:hint="eastAsia"/>
          <w:lang w:val="en-US" w:eastAsia="zh-CN"/>
        </w:rPr>
        <w:t>多模态</w:t>
      </w:r>
      <w:r>
        <w:rPr>
          <w:rFonts w:hint="eastAsia"/>
        </w:rPr>
        <w:t>检索（以图搜图、以图搜位置、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w:t>
      </w:r>
      <w:r>
        <w:rPr>
          <w:rFonts w:hint="eastAsia"/>
          <w:lang w:val="en-US" w:eastAsia="zh-CN"/>
        </w:rPr>
        <w:t>进行</w:t>
      </w:r>
      <w:r>
        <w:rPr>
          <w:rFonts w:hint="eastAsia"/>
        </w:rPr>
        <w:t>对比</w:t>
      </w:r>
      <w:r>
        <w:rPr>
          <w:rFonts w:hint="eastAsia"/>
          <w:lang w:val="en-US" w:eastAsia="zh-CN"/>
        </w:rPr>
        <w:t>实验</w:t>
      </w:r>
      <w:r>
        <w:rPr>
          <w:rFonts w:hint="eastAsia"/>
        </w:rPr>
        <w:t>。</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910D5"/>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F3B43"/>
    <w:rsid w:val="0E6772DC"/>
    <w:rsid w:val="0E7862A5"/>
    <w:rsid w:val="0E7C5BBA"/>
    <w:rsid w:val="0E8518F4"/>
    <w:rsid w:val="0EB2602B"/>
    <w:rsid w:val="0EB2767E"/>
    <w:rsid w:val="0EB74AE1"/>
    <w:rsid w:val="0EB7AA10"/>
    <w:rsid w:val="0EB863CE"/>
    <w:rsid w:val="0EBA15E6"/>
    <w:rsid w:val="0EBB3568"/>
    <w:rsid w:val="0EC77F34"/>
    <w:rsid w:val="0ECD582E"/>
    <w:rsid w:val="0ECE0AF3"/>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76A65"/>
    <w:rsid w:val="16DA0094"/>
    <w:rsid w:val="16DB2158"/>
    <w:rsid w:val="16E318AE"/>
    <w:rsid w:val="16F1492D"/>
    <w:rsid w:val="16F6CE41"/>
    <w:rsid w:val="17036CB8"/>
    <w:rsid w:val="17070757"/>
    <w:rsid w:val="170C1AE4"/>
    <w:rsid w:val="170D11CC"/>
    <w:rsid w:val="170E4685"/>
    <w:rsid w:val="17147CB9"/>
    <w:rsid w:val="171750B3"/>
    <w:rsid w:val="171F2696"/>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206F43"/>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7A162F"/>
    <w:rsid w:val="257F09F3"/>
    <w:rsid w:val="257F5D61"/>
    <w:rsid w:val="2582407F"/>
    <w:rsid w:val="25836BCB"/>
    <w:rsid w:val="258555C1"/>
    <w:rsid w:val="259326F1"/>
    <w:rsid w:val="259721E1"/>
    <w:rsid w:val="259A3E52"/>
    <w:rsid w:val="25AF7B21"/>
    <w:rsid w:val="25B25001"/>
    <w:rsid w:val="25BA1A2C"/>
    <w:rsid w:val="25BE01AD"/>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3D62"/>
    <w:rsid w:val="384F06F9"/>
    <w:rsid w:val="384F6F52"/>
    <w:rsid w:val="38601B63"/>
    <w:rsid w:val="386046B4"/>
    <w:rsid w:val="386677F1"/>
    <w:rsid w:val="38693011"/>
    <w:rsid w:val="386D6DD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546164"/>
    <w:rsid w:val="41623755"/>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EF6468"/>
    <w:rsid w:val="46F15764"/>
    <w:rsid w:val="46FE52B2"/>
    <w:rsid w:val="470B038B"/>
    <w:rsid w:val="471F1BDF"/>
    <w:rsid w:val="472B75FD"/>
    <w:rsid w:val="4745001B"/>
    <w:rsid w:val="476A2E5A"/>
    <w:rsid w:val="476E6AE6"/>
    <w:rsid w:val="477A6033"/>
    <w:rsid w:val="477DCE1E"/>
    <w:rsid w:val="477E3728"/>
    <w:rsid w:val="477F1591"/>
    <w:rsid w:val="479E0D55"/>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3A52"/>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818EC"/>
    <w:rsid w:val="4F7838D9"/>
    <w:rsid w:val="4F7930E1"/>
    <w:rsid w:val="4F7C2757"/>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13833"/>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B1DC9"/>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7075F2"/>
    <w:rsid w:val="63711163"/>
    <w:rsid w:val="63767CBC"/>
    <w:rsid w:val="637A4A54"/>
    <w:rsid w:val="637A4F2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421BA"/>
    <w:rsid w:val="64953F08"/>
    <w:rsid w:val="649844A9"/>
    <w:rsid w:val="64AD49B4"/>
    <w:rsid w:val="64AF66E6"/>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A1939"/>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3514E"/>
    <w:rsid w:val="69B47B0D"/>
    <w:rsid w:val="69B933FE"/>
    <w:rsid w:val="69B95123"/>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2399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93D5E"/>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9671F"/>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13454</Words>
  <Characters>18021</Characters>
  <Lines>1628</Lines>
  <Paragraphs>1460</Paragraphs>
  <TotalTime>19</TotalTime>
  <ScaleCrop>false</ScaleCrop>
  <LinksUpToDate>false</LinksUpToDate>
  <CharactersWithSpaces>18875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2026-05-19T12:02:14Z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