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14532D"/>
          <w:sz w:val="32"/>
        </w:rPr>
        <w:t>HỢP ĐỒNG LAO ĐỘNG</w:t>
      </w:r>
    </w:p>
    <w:p>
      <w:r>
        <w:rPr>
          <w:rFonts w:ascii="Inter" w:hAnsi="Inter"/>
          <w:b/>
          <w:color w:val="14532D"/>
          <w:sz w:val="24"/>
        </w:rPr>
        <w:t>Điều 1: Các bên tham gia</w:t>
      </w:r>
    </w:p>
    <w:p>
      <w:r>
        <w:rPr>
          <w:rFonts w:ascii="Inter" w:hAnsi="Inter"/>
          <w:i w:val="0"/>
          <w:color w:val="16A34A"/>
          <w:sz w:val="20"/>
        </w:rPr>
        <w:t>Bên A (Người sử dụng lao động): Công ty TNHH XYZ</w:t>
      </w:r>
    </w:p>
    <w:p>
      <w:r>
        <w:rPr>
          <w:rFonts w:ascii="Inter" w:hAnsi="Inter"/>
          <w:i w:val="0"/>
          <w:color w:val="16A34A"/>
          <w:sz w:val="20"/>
        </w:rPr>
        <w:t>Bên B (Người lao động): Nguyễn Văn A</w:t>
      </w:r>
    </w:p>
    <w:p>
      <w:r>
        <w:rPr>
          <w:rFonts w:ascii="Inter" w:hAnsi="Inter"/>
          <w:b/>
          <w:color w:val="14532D"/>
          <w:sz w:val="24"/>
        </w:rPr>
        <w:t>Điều 2: Thời hạn &amp; Công việc</w:t>
      </w:r>
    </w:p>
    <w:p>
      <w:r>
        <w:rPr>
          <w:rFonts w:ascii="Inter" w:hAnsi="Inter"/>
          <w:i w:val="0"/>
          <w:color w:val="16A34A"/>
          <w:sz w:val="20"/>
        </w:rPr>
        <w:t>• Thời hạn: 12 tháng (từ 01/06/2025 đến 31/05/2026)</w:t>
      </w:r>
    </w:p>
    <w:p>
      <w:r>
        <w:rPr>
          <w:rFonts w:ascii="Inter" w:hAnsi="Inter"/>
          <w:i w:val="0"/>
          <w:color w:val="16A34A"/>
          <w:sz w:val="20"/>
        </w:rPr>
        <w:t>• Chức danh: Nhân viên Kinh doanh</w:t>
      </w:r>
    </w:p>
    <w:p>
      <w:r>
        <w:rPr>
          <w:rFonts w:ascii="Inter" w:hAnsi="Inter"/>
          <w:i w:val="0"/>
          <w:color w:val="16A34A"/>
          <w:sz w:val="20"/>
        </w:rPr>
        <w:t>• Địa điểm làm việc: 123 Nguyễn Huệ, Q.1, TP.HCM</w:t>
      </w:r>
    </w:p>
    <w:p>
      <w:r>
        <w:rPr>
          <w:rFonts w:ascii="Inter" w:hAnsi="Inter"/>
          <w:b/>
          <w:color w:val="14532D"/>
          <w:sz w:val="24"/>
        </w:rPr>
        <w:t>Điều 3: Lương &amp; Phúc lợi</w:t>
      </w:r>
    </w:p>
    <w:p>
      <w:r>
        <w:rPr>
          <w:rFonts w:ascii="Inter" w:hAnsi="Inter"/>
          <w:i w:val="0"/>
          <w:color w:val="16A34A"/>
          <w:sz w:val="20"/>
        </w:rPr>
        <w:t>• Lương cơ bản: 15,000,000 VNĐ/tháng</w:t>
      </w:r>
    </w:p>
    <w:p>
      <w:r>
        <w:rPr>
          <w:rFonts w:ascii="Inter" w:hAnsi="Inter"/>
          <w:i w:val="0"/>
          <w:color w:val="16A34A"/>
          <w:sz w:val="20"/>
        </w:rPr>
        <w:t>• Phụ cấp ăn trưa: 500,000 VNĐ/tháng</w:t>
      </w:r>
    </w:p>
    <w:p>
      <w:r>
        <w:rPr>
          <w:rFonts w:ascii="Inter" w:hAnsi="Inter"/>
          <w:i w:val="0"/>
          <w:color w:val="16A34A"/>
          <w:sz w:val="20"/>
        </w:rPr>
        <w:t>• BHXH, BHYT, BHTN: Theo quy định pháp luật</w:t>
      </w:r>
    </w:p>
    <w:p>
      <w:r>
        <w:rPr>
          <w:rFonts w:ascii="Inter" w:hAnsi="Inter"/>
          <w:b/>
          <w:color w:val="14532D"/>
          <w:sz w:val="24"/>
        </w:rPr>
        <w:t>Điều 4: Điều khoản chung</w:t>
      </w:r>
    </w:p>
    <w:p>
      <w:r>
        <w:rPr>
          <w:rFonts w:ascii="Inter" w:hAnsi="Inter"/>
          <w:i w:val="0"/>
          <w:color w:val="16A34A"/>
          <w:sz w:val="20"/>
        </w:rPr>
        <w:t>• Hai bên cam kết thực hiện đúng các điều khoản trên.</w:t>
      </w:r>
    </w:p>
    <w:p>
      <w:r>
        <w:rPr>
          <w:rFonts w:ascii="Inter" w:hAnsi="Inter"/>
          <w:i w:val="0"/>
          <w:color w:val="16A34A"/>
          <w:sz w:val="20"/>
        </w:rPr>
        <w:t>• Hợp đồng có hiệu lực kể từ ngày ký.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