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75B6"/>
          <w:sz w:val="52"/>
          <w:szCs w:val="52"/>
        </w:rPr>
        <w:t xml:space="preserve">Nextbrowser Harness</w:t>
      </w:r>
    </w:p>
    <w:p>
      <w:pPr>
        <w:spacing w:after="200"/>
        <w:jc w:val="center"/>
      </w:pPr>
      <w:r>
        <w:rPr>
          <w:b/>
          <w:bCs/>
          <w:sz w:val="36"/>
          <w:szCs w:val="36"/>
        </w:rPr>
        <w:t xml:space="preserve">MVP Scope &amp; Marketing Plan</w:t>
      </w:r>
    </w:p>
    <w:p>
      <w:pPr>
        <w:spacing w:after="600"/>
        <w:jc w:val="center"/>
      </w:pPr>
      <w:r>
        <w:rPr>
          <w:i/>
          <w:iCs/>
          <w:color w:val="595959"/>
          <w:sz w:val="22"/>
          <w:szCs w:val="22"/>
        </w:rPr>
        <w:t xml:space="preserve">A multimodular browser automation harness for AI agents. Supports two use cases: account automation and web scraping.</w:t>
      </w:r>
    </w:p>
    <w:p>
      <w:pPr>
        <w:jc w:val="center"/>
      </w:pPr>
      <w:r>
        <w:rPr>
          <w:color w:val="7F7F7F"/>
          <w:sz w:val="20"/>
          <w:szCs w:val="20"/>
        </w:rPr>
        <w:t xml:space="preserve">v1.2  ·  May 2026</w:t>
      </w:r>
    </w:p>
    <w:p>
      <w:r>
        <w:br w:type="page"/>
      </w:r>
    </w:p>
    <w:p>
      <w:pPr>
        <w:pStyle w:val="Heading1"/>
        <w:spacing w:after="180" w:before="360"/>
      </w:pPr>
      <w:r>
        <w:t xml:space="preserve">What We Are Building</w:t>
      </w:r>
    </w:p>
    <w:p>
      <w:pPr>
        <w:spacing w:after="120" w:line="300"/>
      </w:pPr>
      <w:r>
        <w:t xml:space="preserve">Nextbrowser Harness is a multimodular open-source browser automation harness that lets an AI agent perform account automation and web scraping workflows almost instantly after installation. The agent installs the harness, walks through a short onboarding, and gets a configured, working stack: browser + proxy + automation framework + (optional) CAPTCHA solver.</w:t>
      </w:r>
    </w:p>
    <w:p>
      <w:pPr>
        <w:spacing w:after="120" w:line="300"/>
      </w:pPr>
      <w:r>
        <w:t xml:space="preserve">The harness is modular. Every layer of the stack has multiple integrations. NodeMaven is the recommended default for proxies. Everything else is the user's choice.</w:t>
      </w:r>
    </w:p>
    <w:p>
      <w:pPr>
        <w:pStyle w:val="Heading3"/>
        <w:spacing w:after="100" w:before="220"/>
      </w:pPr>
      <w:r>
        <w:t xml:space="preserve">The 30-second pitch</w:t>
      </w:r>
    </w:p>
    <w:p>
      <w:pPr>
        <w:spacing w:after="120" w:line="300"/>
        <w:rPr>
          <w:i/>
          <w:iCs/>
        </w:rPr>
      </w:pPr>
      <w:r>
        <w:rPr>
          <w:i/>
          <w:iCs/>
        </w:rPr>
        <w:t xml:space="preserve">Install the harness into your Claude / OpenClaude / agent environment. Answer two questions — scrape or manage accounts. Pick your browser (native or one of three anti-detect tools). Pick your proxy (NodeMaven default, or your own). Within minutes, data is being consistently gathered if you chose scraping, or accounts are being stably automated if you chose account management.</w:t>
      </w:r>
    </w:p>
    <w:p>
      <w:pPr>
        <w:pBdr>
          <w:bottom w:val="single" w:color="2E75B6" w:sz="6" w:space="1"/>
        </w:pBdr>
        <w:spacing w:after="200" w:before="200"/>
      </w:pPr>
      <w:r>
        <w:t xml:space="preserve"/>
      </w:r>
    </w:p>
    <w:p>
      <w:pPr>
        <w:pStyle w:val="Heading1"/>
        <w:spacing w:after="180" w:before="360"/>
      </w:pPr>
      <w:r>
        <w:t xml:space="preserve">MVP Scope</w:t>
      </w:r>
    </w:p>
    <w:p>
      <w:pPr>
        <w:spacing w:after="120" w:line="300"/>
      </w:pPr>
      <w:r>
        <w:t xml:space="preserve">The MVP is the smallest possible version that delivers the core promise: an agent can go from zero to a working automation in under five minutes.</w:t>
      </w:r>
    </w:p>
    <w:p>
      <w:pPr>
        <w:pStyle w:val="Heading2"/>
        <w:spacing w:after="140" w:before="280"/>
      </w:pPr>
      <w:r>
        <w:t xml:space="preserve">The four-layer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Layer</w:t>
            </w:r>
          </w:p>
        </w:tc>
        <w:tc>
          <w:tcPr>
            <w:tcW w:type="dxa" w:w="3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MVP integrations</w:t>
            </w:r>
          </w:p>
        </w:tc>
        <w:tc>
          <w:tcPr>
            <w:tcW w:type="dxa" w:w="39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Default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Browser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1. Native bundled browser (headful + headless)
2. Multilogin
3. GoLogin
4. Octo Browser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Native bundled browser. Anti-detect tuned. Works out of the box.</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Proxy</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1. NodeMaven residential (default)
2. Bring-your-own proxies (any provider, configured by the user)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NodeMaven residential. One-click setup, optional swap to user's own proxies.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Automation framework</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1. Browser Use (default)
2. Bring-your-own (Playwright / custom)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Browser Use. Lowest friction for agent integration.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LLM model</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Inherits the model already configured in the agent runtime. User or agent can override later.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Whatever model the host agent is using. No separate API key required at install.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CAPTCHA solver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Optional. User pastes their own token (2Captcha, CapMonster, or similar).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Off by default. Enabled with one config flag.</w:t>
            </w:r>
          </w:p>
        </w:tc>
      </w:tr>
    </w:tbl>
    <w:p>
      <w:pPr>
        <w:pStyle w:val="Heading2"/>
        <w:spacing w:after="140" w:before="280"/>
      </w:pPr>
      <w:r>
        <w:t xml:space="preserve">Onboarding flow</w:t>
      </w:r>
    </w:p>
    <w:p>
      <w:pPr>
        <w:spacing w:after="120" w:line="300"/>
      </w:pPr>
      <w:r>
        <w:t xml:space="preserve">The harness asks the agent two questions at install. Everything else has a sensible default.</w:t>
      </w:r>
    </w:p>
    <w:p>
      <w:pPr>
        <w:pStyle w:val="ListParagraph"/>
        <w:numPr>
          <w:ilvl w:val="0"/>
          <w:numId w:val="2"/>
        </w:numPr>
        <w:spacing w:after="80" w:line="300"/>
      </w:pPr>
      <w:r>
        <w:t xml:space="preserve">What do you want to do — scrape data or manage accounts? (Determines which preset config and example workflows load.)</w:t>
      </w:r>
    </w:p>
    <w:p>
      <w:pPr>
        <w:pStyle w:val="ListParagraph"/>
        <w:numPr>
          <w:ilvl w:val="0"/>
          <w:numId w:val="2"/>
        </w:numPr>
        <w:spacing w:after="80" w:line="300"/>
      </w:pPr>
      <w:r>
        <w:t xml:space="preserve">Choose your browser. (Default: bundled native browser. Other options: Multilogin / GoLogin / Octo, with a one-line install guide if not already on the machine.)</w:t>
      </w:r>
    </w:p>
    <w:p>
      <w:pPr>
        <w:pStyle w:val="ListParagraph"/>
        <w:numPr>
          <w:ilvl w:val="0"/>
          <w:numId w:val="2"/>
        </w:numPr>
        <w:spacing w:after="80" w:line="300"/>
      </w:pPr>
      <w:r>
        <w:t xml:space="preserve">Choose your proxy. (Default: NodeMaven residential, works immediately. Alternative: configure your own proxies.)</w:t>
      </w:r>
    </w:p>
    <w:p>
      <w:pPr>
        <w:spacing w:after="120" w:line="300"/>
      </w:pPr>
      <w:r>
        <w:t xml:space="preserve">No API key step. The harness inherits the LLM model already configured by the host agent — Claude, OpenClaude, or whatever the user is running. The agent's existing model powers the harness's browser automation. The user or the agent can override this later if they want a different model for the harness.</w:t>
      </w:r>
    </w:p>
    <w:p>
      <w:pPr>
        <w:spacing w:after="120" w:line="300"/>
      </w:pPr>
      <w:r>
        <w:t xml:space="preserve">After these three questions, the harness confirms the configuration and the agent is ready. Target: under five minutes for a developer, under sixty seconds for an agent operating headlessly.</w:t>
      </w:r>
    </w:p>
    <w:p>
      <w:pPr>
        <w:pStyle w:val="Heading2"/>
        <w:spacing w:after="140" w:before="280"/>
      </w:pPr>
      <w:r>
        <w:t xml:space="preserve">Use case 1: Account automation</w:t>
      </w:r>
    </w:p>
    <w:p>
      <w:pPr>
        <w:spacing w:after="120" w:line="300"/>
      </w:pPr>
      <w:r>
        <w:t xml:space="preserve">The agent operates a portfolio of multiple accounts persistently — no logouts, no profile mixing, stable long-running automation. Each account has its own anti-detect browser profile, its own sticky IP, and its own consistent fingerprint.</w:t>
      </w:r>
    </w:p>
    <w:p>
      <w:pPr>
        <w:spacing w:after="120" w:line="300"/>
      </w:pPr>
      <w:r>
        <w:t xml:space="preserve">What this looks like in practice:</w:t>
      </w:r>
    </w:p>
    <w:p>
      <w:pPr>
        <w:pStyle w:val="ListParagraph"/>
        <w:numPr>
          <w:ilvl w:val="0"/>
          <w:numId w:val="3"/>
        </w:numPr>
        <w:spacing w:after="80" w:line="300"/>
      </w:pPr>
      <w:r>
        <w:t xml:space="preserve">Posting on a portfolio of social accounts with realistic cadences.</w:t>
      </w:r>
    </w:p>
    <w:p>
      <w:pPr>
        <w:pStyle w:val="ListParagraph"/>
        <w:numPr>
          <w:ilvl w:val="0"/>
          <w:numId w:val="3"/>
        </w:numPr>
        <w:spacing w:after="80" w:line="300"/>
      </w:pPr>
      <w:r>
        <w:t xml:space="preserve">Replying to messages or monitoring inboxes across multiple accounts in parallel.</w:t>
      </w:r>
    </w:p>
    <w:p>
      <w:pPr>
        <w:pStyle w:val="ListParagraph"/>
        <w:numPr>
          <w:ilvl w:val="0"/>
          <w:numId w:val="3"/>
        </w:numPr>
        <w:spacing w:after="80" w:line="300"/>
      </w:pPr>
      <w:r>
        <w:t xml:space="preserve">Multi-account orchestration with profile isolation — each account looks like a different real person from a different residential connection, with persistent identity across sessions.</w:t>
      </w:r>
    </w:p>
    <w:p>
      <w:pPr>
        <w:pStyle w:val="ListParagraph"/>
        <w:numPr>
          <w:ilvl w:val="0"/>
          <w:numId w:val="3"/>
        </w:numPr>
        <w:spacing w:after="80" w:line="300"/>
      </w:pPr>
      <w:r>
        <w:t xml:space="preserve">No re-logins on every run. Sessions persist. Profiles persist. The agent picks up where it left off.</w:t>
      </w:r>
    </w:p>
    <w:p>
      <w:pPr>
        <w:pStyle w:val="Heading2"/>
        <w:spacing w:after="140" w:before="280"/>
      </w:pPr>
      <w:r>
        <w:t xml:space="preserve">Use case 2: Web scraping with gradated difficulty</w:t>
      </w:r>
    </w:p>
    <w:p>
      <w:pPr>
        <w:spacing w:after="120" w:line="300"/>
      </w:pPr>
      <w:r>
        <w:t xml:space="preserve">Scraping is fundamentally a cost-efficiency problem. Different parts of the web require different levels of compute and proxy quality. Sending plain HTTP requests is cheap. Running a full headful browser with sophisticated fingerprint manipulation is expensive. The harness has to pick the right tool for each target, automatically, so the user gets correct results at the lowest reasonable cost.</w:t>
      </w:r>
    </w:p>
    <w:p>
      <w:pPr>
        <w:pStyle w:val="Heading3"/>
        <w:spacing w:after="100" w:before="220"/>
      </w:pPr>
      <w:r>
        <w:t xml:space="preserve">The three-tier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rPr>
          <w:tblHeader/>
        </w:trPr>
        <w:tc>
          <w:tcPr>
            <w:tcW w:type="dxa" w:w="1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Tier</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Approach</w:t>
            </w:r>
          </w:p>
        </w:tc>
        <w:tc>
          <w:tcPr>
            <w:tcW w:type="dxa" w:w="24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When to use</w:t>
            </w:r>
          </w:p>
        </w:tc>
        <w:tc>
          <w:tcPr>
            <w:tcW w:type="dxa" w:w="248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Cost</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Tier 1
Direct requests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HTTP requests against the domain. No browser rendering. Standard proxies.</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Sites with weak or no bot protection. APIs and structured endpoints. Static HTML pages.</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Lowest. Fastest. Most efficient.</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Tier 2
Headless browser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Headless browser with JS rendering. Standard fingerprinting. Mid-quality proxies.</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Sites that need JS to render content but do not have heavy detection. Most of the modern web.</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Moderate. Slower than tier 1 but covers most real-world cases.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Tier 3
Headful + full anti-detect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Headful browser. Full fingerprint manipulation. High-quality residential proxies. CAPTCHA solver if needed.</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Sites with sophisticated bot detection — Reddit-class, well-protected social platforms, modern e-commerce with active anti-bot layers.</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Highest. Reserved for sites that genuinely need it.</w:t>
            </w:r>
          </w:p>
        </w:tc>
      </w:tr>
    </w:tbl>
    <w:p>
      <w:pPr>
        <w:pStyle w:val="Heading3"/>
        <w:spacing w:after="100" w:before="220"/>
      </w:pPr>
      <w:r>
        <w:t xml:space="preserve">How the harness decides which tier to use</w:t>
      </w:r>
    </w:p>
    <w:p>
      <w:pPr>
        <w:spacing w:after="120" w:line="300"/>
      </w:pPr>
      <w:r>
        <w:t xml:space="preserve">The harness ships with a curated tier database — a mapping of known domains and patterns to their recommended tier. When the user (or agent) points the harness at a target URL, the harness looks up the domain and starts at the recommended tier. The user gets cost-efficient scraping by default, without having to know which sites are hard.</w:t>
      </w:r>
    </w:p>
    <w:p>
      <w:pPr>
        <w:spacing w:after="120" w:line="300"/>
      </w:pPr>
      <w:r>
        <w:t xml:space="preserve">Three components make this work:</w:t>
      </w:r>
    </w:p>
    <w:p>
      <w:pPr>
        <w:pStyle w:val="ListParagraph"/>
        <w:numPr>
          <w:ilvl w:val="0"/>
          <w:numId w:val="3"/>
        </w:numPr>
        <w:spacing w:after="80" w:line="300"/>
      </w:pPr>
      <w:r>
        <w:rPr>
          <w:b/>
          <w:bCs/>
        </w:rPr>
        <w:t xml:space="preserve">The curated tier database. </w:t>
      </w:r>
      <w:r>
        <w:t xml:space="preserve">Ships with the harness. Built from our 10+ years of experience with proxies and anti-bot systems, plus community contributions over time. Versioned and updated like a package.</w:t>
      </w:r>
    </w:p>
    <w:p>
      <w:pPr>
        <w:pStyle w:val="ListParagraph"/>
        <w:numPr>
          <w:ilvl w:val="0"/>
          <w:numId w:val="3"/>
        </w:numPr>
        <w:spacing w:after="80" w:line="300"/>
      </w:pPr>
      <w:r>
        <w:rPr>
          <w:b/>
          <w:bCs/>
        </w:rPr>
        <w:t xml:space="preserve">Automatic escalation. </w:t>
      </w:r>
      <w:r>
        <w:t xml:space="preserve">If a target isn't in the database, the harness starts at tier 1 and escalates if it gets blocked. Tier 1 fails → try tier 2 → try tier 3. The first successful tier becomes the default for that domain in the user's local cache.</w:t>
      </w:r>
    </w:p>
    <w:p>
      <w:pPr>
        <w:pStyle w:val="ListParagraph"/>
        <w:numPr>
          <w:ilvl w:val="0"/>
          <w:numId w:val="3"/>
        </w:numPr>
        <w:spacing w:after="80" w:line="300"/>
      </w:pPr>
      <w:r>
        <w:rPr>
          <w:b/>
          <w:bCs/>
        </w:rPr>
        <w:t xml:space="preserve">User override. </w:t>
      </w:r>
      <w:r>
        <w:t xml:space="preserve">Users and agents can force a specific tier for any target. Useful for known cases the database doesn't cover yet.</w:t>
      </w:r>
    </w:p>
    <w:p>
      <w:pPr>
        <w:spacing w:after="120" w:line="300"/>
      </w:pPr>
      <w:r>
        <w:t xml:space="preserve">Over time, anonymized usage data from the community (with consent) can feed back into the tier database, making it more accurate. This is one of the long-term moats of the project — the database gets better the more the harness is used.</w:t>
      </w:r>
    </w:p>
    <w:p>
      <w:pPr>
        <w:pBdr>
          <w:bottom w:val="single" w:color="2E75B6" w:sz="6" w:space="1"/>
        </w:pBdr>
        <w:spacing w:after="200" w:before="200"/>
      </w:pPr>
      <w:r>
        <w:t xml:space="preserve"/>
      </w:r>
    </w:p>
    <w:p>
      <w:pPr>
        <w:pStyle w:val="Heading1"/>
        <w:spacing w:after="180" w:before="360"/>
      </w:pPr>
      <w:r>
        <w:t xml:space="preserve">Project Shape</w:t>
      </w:r>
    </w:p>
    <w:p>
      <w:pPr>
        <w:pStyle w:val="Heading2"/>
        <w:spacing w:after="140" w:before="280"/>
      </w:pPr>
      <w:r>
        <w:t xml:space="preserve">Open source from day one</w:t>
      </w:r>
    </w:p>
    <w:p>
      <w:pPr>
        <w:spacing w:after="120" w:line="300"/>
      </w:pPr>
      <w:r>
        <w:t xml:space="preserve">The harness ships as an open-source project. This is non-negotiable. Open source is both the product model and the marketing engine.</w:t>
      </w:r>
    </w:p>
    <w:p>
      <w:pPr>
        <w:spacing w:after="120" w:line="300"/>
      </w:pPr>
      <w:r>
        <w:t xml:space="preserve">Why open source:</w:t>
      </w:r>
    </w:p>
    <w:p>
      <w:pPr>
        <w:pStyle w:val="ListParagraph"/>
        <w:numPr>
          <w:ilvl w:val="0"/>
          <w:numId w:val="3"/>
        </w:numPr>
        <w:spacing w:after="80" w:line="300"/>
      </w:pPr>
      <w:r>
        <w:t xml:space="preserve">Trust. Technical operators audit code before installing automation tools. Open source is table stakes for the audience.</w:t>
      </w:r>
    </w:p>
    <w:p>
      <w:pPr>
        <w:pStyle w:val="ListParagraph"/>
        <w:numPr>
          <w:ilvl w:val="0"/>
          <w:numId w:val="3"/>
        </w:numPr>
        <w:spacing w:after="80" w:line="300"/>
      </w:pPr>
      <w:r>
        <w:t xml:space="preserve">Distribution. GitHub is the discovery surface for developer tools.</w:t>
      </w:r>
    </w:p>
    <w:p>
      <w:pPr>
        <w:pStyle w:val="ListParagraph"/>
        <w:numPr>
          <w:ilvl w:val="0"/>
          <w:numId w:val="3"/>
        </w:numPr>
        <w:spacing w:after="80" w:line="300"/>
      </w:pPr>
      <w:r>
        <w:t xml:space="preserve">Contribution. Every integration we don't have to build ourselves is one a community member can contribute.</w:t>
      </w:r>
    </w:p>
    <w:p>
      <w:pPr>
        <w:pStyle w:val="ListParagraph"/>
        <w:numPr>
          <w:ilvl w:val="0"/>
          <w:numId w:val="3"/>
        </w:numPr>
        <w:spacing w:after="80" w:line="300"/>
      </w:pPr>
      <w:r>
        <w:t xml:space="preserve">Defensibility. Open-source projects are harder for platforms to take down or stigmatize than commercial products operating in the same space.</w:t>
      </w:r>
    </w:p>
    <w:p>
      <w:pPr>
        <w:spacing w:after="120" w:line="300"/>
      </w:pPr>
      <w:r>
        <w:t xml:space="preserve">Community-building is a deliberate marketing workstream, not a passive outcome. We invest in it the same way we invest in product engineering.</w:t>
      </w:r>
    </w:p>
    <w:p>
      <w:pPr>
        <w:pStyle w:val="Heading2"/>
        <w:spacing w:after="140" w:before="280"/>
      </w:pPr>
      <w:r>
        <w:t xml:space="preserve">Leveraging the existing asset base</w:t>
      </w:r>
    </w:p>
    <w:p>
      <w:pPr>
        <w:spacing w:after="120" w:line="300"/>
      </w:pPr>
      <w:r>
        <w:t xml:space="preserve">We do not start from zero. We start with assets we already own.</w:t>
      </w:r>
    </w:p>
    <w:p>
      <w:pPr>
        <w:pStyle w:val="ListParagraph"/>
        <w:numPr>
          <w:ilvl w:val="0"/>
          <w:numId w:val="3"/>
        </w:numPr>
        <w:spacing w:after="80" w:line="300"/>
      </w:pPr>
      <w:r>
        <w:rPr>
          <w:b/>
          <w:bCs/>
        </w:rPr>
        <w:t xml:space="preserve">Pivot Nextbrowser into the harness. </w:t>
      </w:r>
      <w:r>
        <w:t xml:space="preserve">Use the existing domain authority, backlinks, and SEO surface. The harness becomes the primary product on the Nextbrowser property.</w:t>
      </w:r>
    </w:p>
    <w:p>
      <w:pPr>
        <w:pStyle w:val="ListParagraph"/>
        <w:numPr>
          <w:ilvl w:val="0"/>
          <w:numId w:val="3"/>
        </w:numPr>
        <w:spacing w:after="80" w:line="300"/>
      </w:pPr>
      <w:r>
        <w:rPr>
          <w:b/>
          <w:bCs/>
        </w:rPr>
        <w:t xml:space="preserve">Activate NodeMaven and Multilogin as community assets. </w:t>
      </w:r>
      <w:r>
        <w:t xml:space="preserve">Both have established audiences in the digital-operator and browser-automation space. We use both communities to seed the harness, distribute content, and recruit early contributors. Both audiences benefit from the harness; we make that benefit visible.</w:t>
      </w:r>
    </w:p>
    <w:p>
      <w:pPr>
        <w:pStyle w:val="ListParagraph"/>
        <w:numPr>
          <w:ilvl w:val="0"/>
          <w:numId w:val="3"/>
        </w:numPr>
        <w:spacing w:after="80" w:line="300"/>
      </w:pPr>
      <w:r>
        <w:rPr>
          <w:b/>
          <w:bCs/>
        </w:rPr>
        <w:t xml:space="preserve">Activate the LinkedIn audience. </w:t>
      </w:r>
      <w:r>
        <w:t xml:space="preserve">Developers have publicly commented on the NodeMaven CEO's posts asking for an open-source version of this exact thing. Direct outreach to those people with a beta link. Small but very high-intent audience.</w:t>
      </w:r>
    </w:p>
    <w:p>
      <w:pPr>
        <w:pBdr>
          <w:bottom w:val="single" w:color="2E75B6" w:sz="6" w:space="1"/>
        </w:pBdr>
        <w:spacing w:after="200" w:before="200"/>
      </w:pPr>
      <w:r>
        <w:t xml:space="preserve"/>
      </w:r>
    </w:p>
    <w:p>
      <w:pPr>
        <w:pStyle w:val="Heading1"/>
        <w:spacing w:after="180" w:before="360"/>
      </w:pPr>
      <w:r>
        <w:t xml:space="preserve">Marketing</w:t>
      </w:r>
    </w:p>
    <w:p>
      <w:pPr>
        <w:spacing w:after="120" w:line="300"/>
      </w:pPr>
      <w:r>
        <w:t xml:space="preserve">Three workstreams. All three run in parallel from launch.</w:t>
      </w:r>
    </w:p>
    <w:p>
      <w:pPr>
        <w:pStyle w:val="Heading2"/>
        <w:spacing w:after="140" w:before="280"/>
      </w:pPr>
      <w:r>
        <w:t xml:space="preserve">Workstream 1: Launch content and tutorials</w:t>
      </w:r>
    </w:p>
    <w:p>
      <w:pPr>
        <w:spacing w:after="120" w:line="300"/>
      </w:pPr>
      <w:r>
        <w:t xml:space="preserve">We produce a content library that shows the harness solving real problems. Each piece is a tutorial or a case study.</w:t>
      </w:r>
    </w:p>
    <w:p>
      <w:pPr>
        <w:spacing w:after="120" w:line="300"/>
      </w:pPr>
      <w:r>
        <w:t xml:space="preserve">Sample tutorial topics:</w:t>
      </w:r>
    </w:p>
    <w:p>
      <w:pPr>
        <w:pStyle w:val="ListParagraph"/>
        <w:numPr>
          <w:ilvl w:val="0"/>
          <w:numId w:val="3"/>
        </w:numPr>
        <w:spacing w:after="80" w:line="300"/>
      </w:pPr>
      <w:r>
        <w:t xml:space="preserve">How to automate accounts inside the digital-operator workflow, using the harness with NodeMaven proxies and Multilogin profiles.</w:t>
      </w:r>
    </w:p>
    <w:p>
      <w:pPr>
        <w:pStyle w:val="ListParagraph"/>
        <w:numPr>
          <w:ilvl w:val="0"/>
          <w:numId w:val="3"/>
        </w:numPr>
        <w:spacing w:after="80" w:line="300"/>
      </w:pPr>
      <w:r>
        <w:t xml:space="preserve">How to install the harness on top of OpenClaude or Claude and get an instant automator running.</w:t>
      </w:r>
    </w:p>
    <w:p>
      <w:pPr>
        <w:pStyle w:val="ListParagraph"/>
        <w:numPr>
          <w:ilvl w:val="0"/>
          <w:numId w:val="3"/>
        </w:numPr>
        <w:spacing w:after="80" w:line="300"/>
      </w:pPr>
      <w:r>
        <w:t xml:space="preserve">Scraping at scale without getting blocked — the technical deep-dive that shows the tier system in action.</w:t>
      </w:r>
    </w:p>
    <w:p>
      <w:pPr>
        <w:pStyle w:val="ListParagraph"/>
        <w:numPr>
          <w:ilvl w:val="0"/>
          <w:numId w:val="3"/>
        </w:numPr>
        <w:spacing w:after="80" w:line="300"/>
      </w:pPr>
      <w:r>
        <w:t xml:space="preserve">One tutorial per major agent vendor integration we ship.</w:t>
      </w:r>
    </w:p>
    <w:p>
      <w:pPr>
        <w:pStyle w:val="Heading3"/>
        <w:spacing w:after="100" w:before="220"/>
      </w:pPr>
      <w:r>
        <w:t xml:space="preserve">Distribution channels for the content</w:t>
      </w:r>
    </w:p>
    <w:p>
      <w:pPr>
        <w:spacing w:after="120" w:line="300"/>
      </w:pPr>
      <w:r>
        <w:t xml:space="preserve">Each piece is published and pushed across:</w:t>
      </w:r>
    </w:p>
    <w:p>
      <w:pPr>
        <w:pStyle w:val="ListParagraph"/>
        <w:numPr>
          <w:ilvl w:val="0"/>
          <w:numId w:val="3"/>
        </w:numPr>
        <w:spacing w:after="80" w:line="300"/>
      </w:pPr>
      <w:r>
        <w:t xml:space="preserve">NodeMaven and Multilogin social media (LinkedIn, X, YouTube).</w:t>
      </w:r>
    </w:p>
    <w:p>
      <w:pPr>
        <w:pStyle w:val="ListParagraph"/>
        <w:numPr>
          <w:ilvl w:val="0"/>
          <w:numId w:val="3"/>
        </w:numPr>
        <w:spacing w:after="80" w:line="300"/>
      </w:pPr>
      <w:r>
        <w:rPr>
          <w:b/>
          <w:bCs/>
        </w:rPr>
        <w:t xml:space="preserve">Reddit communities — primary discussion channel. </w:t>
      </w:r>
      <w:r>
        <w:t xml:space="preserve">We post how-to threads and case studies in the subreddits where technical operators and AI-agent developers already gather. We talk about real automation patterns, share ideas, and demonstrate what the harness enables. The goal is genuine community discussion, not promotion.</w:t>
      </w:r>
    </w:p>
    <w:p>
      <w:pPr>
        <w:pStyle w:val="ListParagraph"/>
        <w:numPr>
          <w:ilvl w:val="0"/>
          <w:numId w:val="3"/>
        </w:numPr>
        <w:spacing w:after="80" w:line="300"/>
      </w:pPr>
      <w:r>
        <w:t xml:space="preserve">X / Twitter — share use cases, technical breakdowns, and short demos to the AI-agent and developer community.</w:t>
      </w:r>
    </w:p>
    <w:p>
      <w:pPr>
        <w:pStyle w:val="ListParagraph"/>
        <w:numPr>
          <w:ilvl w:val="0"/>
          <w:numId w:val="3"/>
        </w:numPr>
        <w:spacing w:after="80" w:line="300"/>
      </w:pPr>
      <w:r>
        <w:t xml:space="preserve">Blog posts on the Nextbrowser domain — feeding SEO and the long-tail organic acquisition channel.</w:t>
      </w:r>
    </w:p>
    <w:p>
      <w:pPr>
        <w:pStyle w:val="ListParagraph"/>
        <w:numPr>
          <w:ilvl w:val="0"/>
          <w:numId w:val="3"/>
        </w:numPr>
        <w:spacing w:after="80" w:line="300"/>
      </w:pPr>
      <w:r>
        <w:t xml:space="preserve">LinkedIn — longer-form pieces aimed at the technical operator and AI-startup audience.</w:t>
      </w:r>
    </w:p>
    <w:p>
      <w:pPr>
        <w:pStyle w:val="Heading2"/>
        <w:spacing w:after="140" w:before="280"/>
      </w:pPr>
      <w:r>
        <w:t xml:space="preserve">Workstream 2: Distribution through agent vendor integrations</w:t>
      </w:r>
    </w:p>
    <w:p>
      <w:pPr>
        <w:spacing w:after="120" w:line="300"/>
      </w:pPr>
      <w:r>
        <w:t xml:space="preserve">The fastest path to scale is being integrated into the platforms that already have the agent developer audience. The right distribution partners are agent vendors, not generic frameworks.</w:t>
      </w:r>
    </w:p>
    <w:p>
      <w:pPr>
        <w:spacing w:after="120" w:line="300"/>
      </w:pPr>
      <w:r>
        <w:t xml:space="preserve">Priority integration targets:</w:t>
      </w:r>
    </w:p>
    <w:p>
      <w:pPr>
        <w:pStyle w:val="ListParagraph"/>
        <w:numPr>
          <w:ilvl w:val="0"/>
          <w:numId w:val="3"/>
        </w:numPr>
        <w:spacing w:after="80" w:line="300"/>
      </w:pPr>
      <w:r>
        <w:rPr>
          <w:b/>
          <w:bCs/>
        </w:rPr>
        <w:t xml:space="preserve">OpenClaude — as a skill. </w:t>
      </w:r>
      <w:r>
        <w:t xml:space="preserve">First and highest-priority. OpenClaude users are exactly our target audience and skill installation is the lowest-friction entry point that exists.</w:t>
      </w:r>
    </w:p>
    <w:p>
      <w:pPr>
        <w:pStyle w:val="ListParagraph"/>
        <w:numPr>
          <w:ilvl w:val="0"/>
          <w:numId w:val="3"/>
        </w:numPr>
        <w:spacing w:after="80" w:line="300"/>
      </w:pPr>
      <w:r>
        <w:rPr>
          <w:b/>
          <w:bCs/>
        </w:rPr>
        <w:t xml:space="preserve">Claude — as a skill. </w:t>
      </w:r>
      <w:r>
        <w:t xml:space="preserve">Same model, larger audience. Claude users installing the harness as a skill is the single largest distribution unlock available.</w:t>
      </w:r>
    </w:p>
    <w:p>
      <w:pPr>
        <w:pStyle w:val="ListParagraph"/>
        <w:numPr>
          <w:ilvl w:val="0"/>
          <w:numId w:val="3"/>
        </w:numPr>
        <w:spacing w:after="80" w:line="300"/>
      </w:pPr>
      <w:r>
        <w:rPr>
          <w:b/>
          <w:bCs/>
        </w:rPr>
        <w:t xml:space="preserve">Other agent vendors that offer skill or plugin systems. </w:t>
      </w:r>
      <w:r>
        <w:t xml:space="preserve">We identify which agent platforms have the right combination of (a) developer audience, (b) installable extension surface, and (c) willingness to feature integrations.</w:t>
      </w:r>
    </w:p>
    <w:p>
      <w:pPr>
        <w:spacing w:after="120" w:line="300"/>
      </w:pPr>
      <w:r>
        <w:t xml:space="preserve">Principle: we integrate with agent vendors who can give us distribution. We do not spread our integration effort across frameworks that don't deliver users.</w:t>
      </w:r>
    </w:p>
    <w:p>
      <w:pPr>
        <w:pStyle w:val="Heading2"/>
        <w:spacing w:after="140" w:before="280"/>
      </w:pPr>
      <w:r>
        <w:t xml:space="preserve">Workstream 3: Building organic momentum</w:t>
      </w:r>
    </w:p>
    <w:p>
      <w:pPr>
        <w:spacing w:after="120" w:line="300"/>
      </w:pPr>
      <w:r>
        <w:t xml:space="preserve">Open-source projects grow through legitimate signals — real installs, real stars, real contributors. We use the audience we already own to stimulate that growth.</w:t>
      </w:r>
    </w:p>
    <w:p>
      <w:pPr>
        <w:pStyle w:val="ListParagraph"/>
        <w:numPr>
          <w:ilvl w:val="0"/>
          <w:numId w:val="3"/>
        </w:numPr>
        <w:spacing w:after="80" w:line="300"/>
      </w:pPr>
      <w:r>
        <w:t xml:space="preserve">Mobilize the existing NodeMaven, Multilogin, and Nextbrowser audiences on launch day. Real users trying the project, starring it, and giving feedback.</w:t>
      </w:r>
    </w:p>
    <w:p>
      <w:pPr>
        <w:pStyle w:val="ListParagraph"/>
        <w:numPr>
          <w:ilvl w:val="0"/>
          <w:numId w:val="3"/>
        </w:numPr>
        <w:spacing w:after="80" w:line="300"/>
      </w:pPr>
      <w:r>
        <w:t xml:space="preserve">SEO investment on the Nextbrowser domain. The pivoted domain has authority and backlinks; the harness content compounds on that foundation.</w:t>
      </w:r>
    </w:p>
    <w:p>
      <w:pPr>
        <w:pStyle w:val="ListParagraph"/>
        <w:numPr>
          <w:ilvl w:val="0"/>
          <w:numId w:val="3"/>
        </w:numPr>
        <w:spacing w:after="80" w:line="300"/>
      </w:pPr>
      <w:r>
        <w:t xml:space="preserve">Track GitHub stars and forks as a trajectory metric. We care about the growth rate from real users.</w:t>
      </w:r>
    </w:p>
    <w:p>
      <w:pPr>
        <w:pBdr>
          <w:bottom w:val="single" w:color="2E75B6" w:sz="6" w:space="1"/>
        </w:pBdr>
        <w:spacing w:after="200" w:before="200"/>
      </w:pPr>
      <w:r>
        <w:t xml:space="preserve"/>
      </w:r>
    </w:p>
    <w:p>
      <w:pPr>
        <w:pStyle w:val="Heading1"/>
        <w:spacing w:after="180" w:before="360"/>
      </w:pPr>
      <w:r>
        <w:t xml:space="preserve">Monetization</w:t>
      </w:r>
    </w:p>
    <w:p>
      <w:pPr>
        <w:spacing w:after="120" w:line="300"/>
      </w:pPr>
      <w:r>
        <w:t xml:space="preserve">The harness is free, open source, and built to give back the value of our 10+ years in the proxy and anti-detect space — including, eventually, a high-quality Chromium fork. We want a real community around this project, not a thinly disguised funnel.</w:t>
      </w:r>
    </w:p>
    <w:p>
      <w:pPr>
        <w:spacing w:after="120" w:line="300"/>
      </w:pPr>
      <w:r>
        <w:t xml:space="preserve">The project is sponsored and developed by NodeMaven. The revenue model is unchanged from our core business: we sell high-quality residential proxies. The harness drives proxy usage as a natural consequence of being useful — not because we engineer pressure to convert.</w:t>
      </w:r>
    </w:p>
    <w:p>
      <w:pPr>
        <w:pBdr>
          <w:bottom w:val="single" w:color="2E75B6" w:sz="6" w:space="1"/>
        </w:pBdr>
        <w:spacing w:after="200" w:before="200"/>
      </w:pPr>
      <w:r>
        <w:t xml:space="preserve"/>
      </w:r>
    </w:p>
    <w:p>
      <w:pPr>
        <w:pStyle w:val="Heading1"/>
        <w:spacing w:after="180" w:before="360"/>
      </w:pPr>
      <w:r>
        <w:t xml:space="preserve">How We Know It Is Working</w:t>
      </w:r>
    </w:p>
    <w:p>
      <w:pPr>
        <w:spacing w:after="120" w:line="300"/>
      </w:pPr>
      <w:r>
        <w:t xml:space="preserve">At this stage, success is community traction and real usage — not revenue conversion. We measure three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Metric</w:t>
            </w:r>
          </w:p>
        </w:tc>
        <w:tc>
          <w:tcPr>
            <w:tcW w:type="dxa" w:w="62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What it tells us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Weekly active installs (GitHub)</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Real product usage. The single most important signal. Tracked week-over-week; we care about the trajectory.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NodeMaven proxy usage by harness users</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Whether the harness is driving real traffic into the proxy infrastructure. Indicator that the project is being used for the workloads it was built for.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External contributions (PRs merged, contributors, community activity)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Whether the project is genuinely becoming a community asset.</w:t>
            </w:r>
          </w:p>
        </w:tc>
      </w:tr>
    </w:tbl>
    <w:p>
      <w:pPr>
        <w:spacing w:after="120" w:line="300"/>
      </w:pPr>
      <w:r>
        <w:t xml:space="preserve">We deliberately do not optimize for free-to-paid conversion at this stage. Pushing conversion too early would damage the community before it forms. Conversion becomes a metric once the community and usage base are real.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2026-05-18T07:03:17.397Z</dcterms:created>
  <dcterms:modified xsi:type="dcterms:W3CDTF">2026-05-18T07:03:17.412Z</dcterms:modified>
</cp:coreProperties>
</file>

<file path=docProps/custom.xml><?xml version="1.0" encoding="utf-8"?>
<Properties xmlns="http://schemas.openxmlformats.org/officeDocument/2006/custom-properties" xmlns:vt="http://schemas.openxmlformats.org/officeDocument/2006/docPropsVTypes"/>
</file>