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3"/>
        </w:rPr>
      </w:pPr>
    </w:p>
    <w:p>
      <w:pPr>
        <w:pStyle w:val="Title"/>
      </w:pPr>
      <w:r>
        <w:rPr/>
        <w:t>Monetary</w:t>
      </w:r>
      <w:r>
        <w:rPr>
          <w:spacing w:val="38"/>
        </w:rPr>
        <w:t> </w:t>
      </w:r>
      <w:r>
        <w:rPr/>
        <w:t>Policy</w:t>
      </w:r>
      <w:r>
        <w:rPr>
          <w:spacing w:val="39"/>
        </w:rPr>
        <w:t> </w:t>
      </w:r>
      <w:r>
        <w:rPr/>
        <w:t>Report</w:t>
      </w:r>
    </w:p>
    <w:p>
      <w:pPr>
        <w:spacing w:line="934" w:lineRule="exact" w:before="0"/>
        <w:ind w:left="1468" w:right="0" w:firstLine="0"/>
        <w:jc w:val="left"/>
        <w:rPr>
          <w:sz w:val="50"/>
        </w:rPr>
      </w:pPr>
      <w:r>
        <w:rPr>
          <w:w w:val="150"/>
          <w:sz w:val="64"/>
        </w:rPr>
        <w:t>U</w:t>
      </w:r>
      <w:r>
        <w:rPr>
          <w:w w:val="150"/>
          <w:sz w:val="50"/>
        </w:rPr>
        <w:t>pdate</w:t>
      </w:r>
    </w:p>
    <w:p>
      <w:pPr>
        <w:spacing w:line="443" w:lineRule="exact" w:before="0"/>
        <w:ind w:left="1468" w:right="0" w:firstLine="0"/>
        <w:jc w:val="both"/>
        <w:rPr>
          <w:b/>
          <w:sz w:val="28"/>
        </w:rPr>
      </w:pPr>
      <w:r>
        <w:rPr>
          <w:b/>
          <w:color w:val="004951"/>
          <w:sz w:val="28"/>
        </w:rPr>
        <w:t>January</w:t>
      </w:r>
      <w:r>
        <w:rPr>
          <w:b/>
          <w:color w:val="004951"/>
          <w:spacing w:val="-4"/>
          <w:sz w:val="28"/>
        </w:rPr>
        <w:t> </w:t>
      </w:r>
      <w:r>
        <w:rPr>
          <w:b/>
          <w:color w:val="004951"/>
          <w:sz w:val="28"/>
        </w:rPr>
        <w:t>2008</w:t>
      </w:r>
    </w:p>
    <w:p>
      <w:pPr>
        <w:spacing w:line="182" w:lineRule="auto" w:before="276"/>
        <w:ind w:left="1468" w:right="1193" w:firstLine="0"/>
        <w:jc w:val="both"/>
        <w:rPr>
          <w:i/>
          <w:sz w:val="28"/>
        </w:rPr>
      </w:pPr>
      <w:r>
        <w:rPr>
          <w:i/>
          <w:sz w:val="28"/>
        </w:rPr>
        <w:t>This text is a commentary of the Governing Council of the Bank of Canada.</w:t>
      </w:r>
      <w:r>
        <w:rPr>
          <w:i/>
          <w:spacing w:val="-68"/>
          <w:sz w:val="28"/>
        </w:rPr>
        <w:t> </w:t>
      </w:r>
      <w:r>
        <w:rPr>
          <w:i/>
          <w:sz w:val="28"/>
        </w:rPr>
        <w:t>It presents the Bank’s updated outlook based on information received up to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22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January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2008.</w:t>
      </w:r>
    </w:p>
    <w:p>
      <w:pPr>
        <w:pStyle w:val="BodyText"/>
        <w:spacing w:before="1"/>
        <w:rPr>
          <w:i/>
          <w:sz w:val="25"/>
        </w:rPr>
      </w:pPr>
    </w:p>
    <w:p>
      <w:pPr>
        <w:spacing w:after="0"/>
        <w:rPr>
          <w:sz w:val="25"/>
        </w:rPr>
        <w:sectPr>
          <w:type w:val="continuous"/>
          <w:pgSz w:w="12240" w:h="15840"/>
          <w:pgMar w:top="360" w:bottom="280" w:left="260" w:right="860"/>
        </w:sectPr>
      </w:pPr>
    </w:p>
    <w:p>
      <w:pPr>
        <w:pStyle w:val="Heading1"/>
        <w:spacing w:before="100"/>
        <w:jc w:val="left"/>
      </w:pPr>
      <w:r>
        <w:rPr/>
        <w:pict>
          <v:group style="position:absolute;margin-left:18pt;margin-top:18pt;width:576pt;height:83pt;mso-position-horizontal-relative:page;mso-position-vertical-relative:page;z-index:15729664" id="docshapegroup1" coordorigin="360,360" coordsize="11520,1660">
            <v:rect style="position:absolute;left:360;top:360;width:11520;height:1660" id="docshape2" filled="true" fillcolor="#004951" stroked="false">
              <v:fill type="solid"/>
            </v:rect>
            <v:shape style="position:absolute;left:830;top:813;width:766;height:767" id="docshape3" coordorigin="830,814" coordsize="766,767" path="m1013,1079l969,1079,969,1346,1013,1346,1013,1079xm1087,1079l1044,1079,1044,1346,1087,1346,1087,1079xm1161,1079l1118,1079,1118,1346,1161,1346,1161,1079xm1234,1079l1192,1079,1192,1346,1234,1346,1234,1079xm1308,1079l1265,1079,1265,1346,1308,1346,1308,1079xm1328,952l1213,913,1098,952,1098,966,1328,966,1328,952xm1382,1079l1339,1079,1339,1346,1382,1346,1382,1079xm1457,1079l1413,1079,1413,1346,1457,1346,1457,1079xm1596,1501l1515,1501,1515,1500,1521,1482,1527,1463,1529,1441,1530,1430,1528,1423,1526,1420,1522,1417,1510,1413,1509,1412,1507,1408,1508,1407,1509,1406,1512,1405,1511,1403,1509,1401,1505,1399,1497,1399,1490,1399,1486,1401,1484,1403,1484,1406,1486,1406,1487,1408,1487,1412,1486,1413,1473,1417,1469,1420,1467,1423,1465,1430,1465,1441,1468,1462,1474,1481,1481,1500,1481,1501,1382,1501,1382,1535,1253,1535,1253,1406,1173,1406,1173,1535,1044,1535,1044,1501,945,1501,945,1500,952,1481,958,1462,961,1441,961,1430,959,1423,957,1420,953,1417,940,1413,939,1412,939,1408,940,1406,942,1406,942,1403,940,1401,936,1399,929,1399,921,1399,916,1401,915,1403,914,1405,917,1406,918,1407,919,1408,917,1412,916,1413,904,1417,900,1420,898,1423,896,1430,897,1441,899,1463,905,1482,911,1500,911,1501,830,1501,830,1580,1596,1580,1596,1501xm1596,814l830,814,830,1349,869,1349,892,1326,892,1062,920,1062,920,968,1060,968,1060,929,1186,882,1186,866,1240,866,1240,882,1366,929,1366,968,1506,968,1506,1062,1534,1062,1534,1326,1557,1349,1596,1349,1596,814xe" filled="true" fillcolor="#ffffff" stroked="false">
              <v:path arrowok="t"/>
              <v:fill type="solid"/>
            </v:shape>
            <v:shape style="position:absolute;left:1715;top:1129;width:2487;height:483" type="#_x0000_t75" id="docshape4" stroked="false">
              <v:imagedata r:id="rId5" o:title=""/>
            </v:shape>
            <w10:wrap type="none"/>
          </v:group>
        </w:pict>
      </w:r>
      <w:bookmarkStart w:name="Overview" w:id="1"/>
      <w:bookmarkEnd w:id="1"/>
      <w:r>
        <w:rPr>
          <w:b w:val="0"/>
        </w:rPr>
      </w:r>
      <w:r>
        <w:rPr/>
        <w:t>Overview</w:t>
      </w:r>
    </w:p>
    <w:p>
      <w:pPr>
        <w:pStyle w:val="BodyText"/>
        <w:spacing w:line="187" w:lineRule="auto" w:before="33"/>
        <w:ind w:left="1468" w:right="38"/>
        <w:jc w:val="both"/>
      </w:pPr>
      <w:r>
        <w:rPr/>
        <w:t>The</w:t>
      </w:r>
      <w:r>
        <w:rPr>
          <w:spacing w:val="1"/>
        </w:rPr>
        <w:t> </w:t>
      </w:r>
      <w:r>
        <w:rPr/>
        <w:t>Canadian</w:t>
      </w:r>
      <w:r>
        <w:rPr>
          <w:spacing w:val="1"/>
        </w:rPr>
        <w:t> </w:t>
      </w:r>
      <w:r>
        <w:rPr/>
        <w:t>economy</w:t>
      </w:r>
      <w:r>
        <w:rPr>
          <w:spacing w:val="1"/>
        </w:rPr>
        <w:t> </w:t>
      </w:r>
      <w:r>
        <w:rPr/>
        <w:t>grew</w:t>
      </w:r>
      <w:r>
        <w:rPr>
          <w:spacing w:val="1"/>
        </w:rPr>
        <w:t> </w:t>
      </w:r>
      <w:r>
        <w:rPr/>
        <w:t>broadly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line with the Bank’s expectations in the sec-</w:t>
      </w:r>
      <w:r>
        <w:rPr>
          <w:spacing w:val="-50"/>
        </w:rPr>
        <w:t> </w:t>
      </w:r>
      <w:r>
        <w:rPr/>
        <w:t>ond half of 2007. Despite some slowing in</w:t>
      </w:r>
      <w:r>
        <w:rPr>
          <w:spacing w:val="1"/>
        </w:rPr>
        <w:t> </w:t>
      </w:r>
      <w:r>
        <w:rPr/>
        <w:t>growth in the fourth quarter, the economy</w:t>
      </w:r>
      <w:r>
        <w:rPr>
          <w:spacing w:val="1"/>
        </w:rPr>
        <w:t> </w:t>
      </w:r>
      <w:r>
        <w:rPr/>
        <w:t>continues to operate above its production</w:t>
      </w:r>
      <w:r>
        <w:rPr>
          <w:spacing w:val="1"/>
        </w:rPr>
        <w:t> </w:t>
      </w:r>
      <w:r>
        <w:rPr/>
        <w:t>capacity. Both total and core inflation have</w:t>
      </w:r>
      <w:r>
        <w:rPr>
          <w:spacing w:val="1"/>
        </w:rPr>
        <w:t> </w:t>
      </w:r>
      <w:r>
        <w:rPr>
          <w:spacing w:val="-3"/>
        </w:rPr>
        <w:t>been</w:t>
      </w:r>
      <w:r>
        <w:rPr>
          <w:spacing w:val="-13"/>
        </w:rPr>
        <w:t> </w:t>
      </w:r>
      <w:r>
        <w:rPr>
          <w:spacing w:val="-3"/>
        </w:rPr>
        <w:t>lower</w:t>
      </w:r>
      <w:r>
        <w:rPr>
          <w:spacing w:val="-13"/>
        </w:rPr>
        <w:t> </w:t>
      </w:r>
      <w:r>
        <w:rPr>
          <w:spacing w:val="-3"/>
        </w:rPr>
        <w:t>than</w:t>
      </w:r>
      <w:r>
        <w:rPr>
          <w:spacing w:val="-13"/>
        </w:rPr>
        <w:t> </w:t>
      </w:r>
      <w:r>
        <w:rPr>
          <w:spacing w:val="-3"/>
        </w:rPr>
        <w:t>was</w:t>
      </w:r>
      <w:r>
        <w:rPr>
          <w:spacing w:val="-12"/>
        </w:rPr>
        <w:t> </w:t>
      </w:r>
      <w:r>
        <w:rPr>
          <w:spacing w:val="-3"/>
        </w:rPr>
        <w:t>projected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October</w:t>
      </w:r>
      <w:r>
        <w:rPr>
          <w:spacing w:val="-50"/>
        </w:rPr>
        <w:t> </w:t>
      </w:r>
      <w:r>
        <w:rPr>
          <w:i/>
        </w:rPr>
        <w:t>Monetary Policy Report</w:t>
      </w:r>
      <w:r>
        <w:rPr/>
        <w:t>, largely reflecting a</w:t>
      </w:r>
      <w:r>
        <w:rPr>
          <w:spacing w:val="1"/>
        </w:rPr>
        <w:t> </w:t>
      </w:r>
      <w:r>
        <w:rPr/>
        <w:t>price-level adjustment related to increased</w:t>
      </w:r>
      <w:r>
        <w:rPr>
          <w:spacing w:val="1"/>
        </w:rPr>
        <w:t> </w:t>
      </w:r>
      <w:r>
        <w:rPr/>
        <w:t>competitive</w:t>
      </w:r>
      <w:r>
        <w:rPr>
          <w:spacing w:val="1"/>
        </w:rPr>
        <w:t> </w:t>
      </w:r>
      <w:r>
        <w:rPr/>
        <w:t>pressures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retail</w:t>
      </w:r>
      <w:r>
        <w:rPr>
          <w:spacing w:val="1"/>
        </w:rPr>
        <w:t> </w:t>
      </w:r>
      <w:r>
        <w:rPr/>
        <w:t>sector</w:t>
      </w:r>
      <w:r>
        <w:rPr>
          <w:spacing w:val="-50"/>
        </w:rPr>
        <w:t> </w:t>
      </w:r>
      <w:r>
        <w:rPr/>
        <w:t>stemming from the level of the Canadian</w:t>
      </w:r>
      <w:r>
        <w:rPr>
          <w:spacing w:val="1"/>
        </w:rPr>
        <w:t> </w:t>
      </w:r>
      <w:r>
        <w:rPr/>
        <w:t>dollar.</w:t>
      </w:r>
    </w:p>
    <w:p>
      <w:pPr>
        <w:pStyle w:val="BodyText"/>
        <w:spacing w:line="239" w:lineRule="exact"/>
        <w:ind w:left="1828"/>
        <w:jc w:val="both"/>
      </w:pPr>
      <w:r>
        <w:rPr/>
        <w:t>Financial</w:t>
      </w:r>
      <w:r>
        <w:rPr>
          <w:spacing w:val="40"/>
        </w:rPr>
        <w:t> </w:t>
      </w:r>
      <w:r>
        <w:rPr/>
        <w:t>conditions</w:t>
      </w:r>
      <w:r>
        <w:rPr>
          <w:spacing w:val="40"/>
        </w:rPr>
        <w:t> </w:t>
      </w:r>
      <w:r>
        <w:rPr/>
        <w:t>have</w:t>
      </w:r>
      <w:r>
        <w:rPr>
          <w:spacing w:val="39"/>
        </w:rPr>
        <w:t> </w:t>
      </w:r>
      <w:r>
        <w:rPr/>
        <w:t>deteriorated</w:t>
      </w:r>
    </w:p>
    <w:p>
      <w:pPr>
        <w:pStyle w:val="BodyText"/>
        <w:spacing w:line="187" w:lineRule="auto" w:before="15"/>
        <w:ind w:left="1468" w:right="38"/>
        <w:jc w:val="both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238150</wp:posOffset>
            </wp:positionH>
            <wp:positionV relativeFrom="paragraph">
              <wp:posOffset>1493299</wp:posOffset>
            </wp:positionV>
            <wp:extent cx="129416" cy="1657083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416" cy="1657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since</w:t>
      </w:r>
      <w:r>
        <w:rPr>
          <w:spacing w:val="1"/>
        </w:rPr>
        <w:t> </w:t>
      </w:r>
      <w:r>
        <w:rPr/>
        <w:t>October,</w:t>
      </w:r>
      <w:r>
        <w:rPr>
          <w:spacing w:val="1"/>
        </w:rPr>
        <w:t> </w:t>
      </w:r>
      <w:r>
        <w:rPr/>
        <w:t>leading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tightening</w:t>
      </w:r>
      <w:r>
        <w:rPr>
          <w:spacing w:val="1"/>
        </w:rPr>
        <w:t> </w:t>
      </w:r>
      <w:r>
        <w:rPr/>
        <w:t>of</w:t>
      </w:r>
      <w:r>
        <w:rPr>
          <w:spacing w:val="-50"/>
        </w:rPr>
        <w:t> </w:t>
      </w:r>
      <w:r>
        <w:rPr/>
        <w:t>credit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industrialized</w:t>
      </w:r>
      <w:r>
        <w:rPr>
          <w:spacing w:val="1"/>
        </w:rPr>
        <w:t> </w:t>
      </w:r>
      <w:r>
        <w:rPr/>
        <w:t>coun-</w:t>
      </w:r>
      <w:r>
        <w:rPr>
          <w:spacing w:val="1"/>
        </w:rPr>
        <w:t> </w:t>
      </w:r>
      <w:r>
        <w:rPr/>
        <w:t>tries. Given this, and a deeper and more</w:t>
      </w:r>
      <w:r>
        <w:rPr>
          <w:spacing w:val="1"/>
        </w:rPr>
        <w:t> </w:t>
      </w:r>
      <w:r>
        <w:rPr/>
        <w:t>prolonged decline in the U.S. housing sec-</w:t>
      </w:r>
      <w:r>
        <w:rPr>
          <w:spacing w:val="1"/>
        </w:rPr>
        <w:t> </w:t>
      </w:r>
      <w:r>
        <w:rPr/>
        <w:t>tor,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outlook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U.S.</w:t>
      </w:r>
      <w:r>
        <w:rPr>
          <w:spacing w:val="-11"/>
        </w:rPr>
        <w:t> </w:t>
      </w:r>
      <w:r>
        <w:rPr/>
        <w:t>economy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2008</w:t>
      </w:r>
      <w:r>
        <w:rPr>
          <w:spacing w:val="-50"/>
        </w:rPr>
        <w:t> </w:t>
      </w:r>
      <w:r>
        <w:rPr/>
        <w:t>is now significantly weaker than it was in</w:t>
      </w:r>
      <w:r>
        <w:rPr>
          <w:spacing w:val="1"/>
        </w:rPr>
        <w:t> </w:t>
      </w:r>
      <w:r>
        <w:rPr/>
        <w:t>October. Growth is expected to be particu-</w:t>
      </w:r>
      <w:r>
        <w:rPr>
          <w:spacing w:val="1"/>
        </w:rPr>
        <w:t> </w:t>
      </w:r>
      <w:r>
        <w:rPr/>
        <w:t>larly</w:t>
      </w:r>
      <w:r>
        <w:rPr>
          <w:spacing w:val="-4"/>
        </w:rPr>
        <w:t> </w:t>
      </w:r>
      <w:r>
        <w:rPr/>
        <w:t>weak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half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year</w:t>
      </w:r>
      <w:r>
        <w:rPr>
          <w:spacing w:val="-4"/>
        </w:rPr>
        <w:t> </w:t>
      </w:r>
      <w:r>
        <w:rPr/>
        <w:t>before</w:t>
      </w:r>
      <w:r>
        <w:rPr>
          <w:spacing w:val="-50"/>
        </w:rPr>
        <w:t> </w:t>
      </w:r>
      <w:r>
        <w:rPr/>
        <w:t>recovering later in 2008 and 2009.</w:t>
      </w:r>
    </w:p>
    <w:p>
      <w:pPr>
        <w:pStyle w:val="BodyText"/>
        <w:spacing w:line="243" w:lineRule="exact"/>
        <w:ind w:left="1828"/>
        <w:jc w:val="both"/>
      </w:pPr>
      <w:r>
        <w:rPr/>
        <w:t>For</w:t>
      </w:r>
      <w:r>
        <w:rPr>
          <w:spacing w:val="32"/>
        </w:rPr>
        <w:t> </w:t>
      </w:r>
      <w:r>
        <w:rPr/>
        <w:t>Canada,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effects</w:t>
      </w:r>
      <w:r>
        <w:rPr>
          <w:spacing w:val="33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slowing</w:t>
      </w:r>
    </w:p>
    <w:p>
      <w:pPr>
        <w:pStyle w:val="BodyText"/>
        <w:spacing w:line="187" w:lineRule="auto" w:before="15"/>
        <w:ind w:left="1468" w:right="38"/>
        <w:jc w:val="both"/>
      </w:pPr>
      <w:r>
        <w:rPr/>
        <w:t>U.S. economy will lead to additional down-</w:t>
      </w:r>
      <w:r>
        <w:rPr>
          <w:spacing w:val="-50"/>
        </w:rPr>
        <w:t> </w:t>
      </w:r>
      <w:r>
        <w:rPr/>
        <w:t>ward pressure on export growth. However,</w:t>
      </w:r>
      <w:r>
        <w:rPr>
          <w:spacing w:val="-50"/>
        </w:rPr>
        <w:t> </w:t>
      </w:r>
      <w:r>
        <w:rPr/>
        <w:t>despite tighter credit conditions, domestic</w:t>
      </w:r>
      <w:r>
        <w:rPr>
          <w:spacing w:val="1"/>
        </w:rPr>
        <w:t> </w:t>
      </w:r>
      <w:r>
        <w:rPr/>
        <w:t>demand in Canada is expected to remain</w:t>
      </w:r>
      <w:r>
        <w:rPr>
          <w:spacing w:val="1"/>
        </w:rPr>
        <w:t> </w:t>
      </w:r>
      <w:r>
        <w:rPr/>
        <w:t>strong,</w:t>
      </w:r>
      <w:r>
        <w:rPr>
          <w:spacing w:val="1"/>
        </w:rPr>
        <w:t> </w:t>
      </w:r>
      <w:r>
        <w:rPr/>
        <w:t>supported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continued</w:t>
      </w:r>
      <w:r>
        <w:rPr>
          <w:spacing w:val="1"/>
        </w:rPr>
        <w:t> </w:t>
      </w:r>
      <w:r>
        <w:rPr/>
        <w:t>income</w:t>
      </w:r>
      <w:r>
        <w:rPr>
          <w:spacing w:val="1"/>
        </w:rPr>
        <w:t> </w:t>
      </w:r>
      <w:r>
        <w:rPr/>
        <w:t>growth</w:t>
      </w:r>
      <w:r>
        <w:rPr>
          <w:spacing w:val="-5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increase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com-</w:t>
      </w:r>
      <w:r>
        <w:rPr>
          <w:spacing w:val="-50"/>
        </w:rPr>
        <w:t> </w:t>
      </w:r>
      <w:r>
        <w:rPr/>
        <w:t>modity</w:t>
      </w:r>
      <w:r>
        <w:rPr>
          <w:spacing w:val="-10"/>
        </w:rPr>
        <w:t> </w:t>
      </w:r>
      <w:r>
        <w:rPr/>
        <w:t>prices</w:t>
      </w:r>
      <w:r>
        <w:rPr>
          <w:spacing w:val="-10"/>
        </w:rPr>
        <w:t> </w:t>
      </w:r>
      <w:r>
        <w:rPr/>
        <w:t>seen</w:t>
      </w:r>
      <w:r>
        <w:rPr>
          <w:spacing w:val="-10"/>
        </w:rPr>
        <w:t> </w:t>
      </w:r>
      <w:r>
        <w:rPr/>
        <w:t>since</w:t>
      </w:r>
      <w:r>
        <w:rPr>
          <w:spacing w:val="-9"/>
        </w:rPr>
        <w:t> </w:t>
      </w:r>
      <w:r>
        <w:rPr/>
        <w:t>October,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has</w:t>
      </w:r>
      <w:r>
        <w:rPr>
          <w:spacing w:val="-50"/>
        </w:rPr>
        <w:t> </w:t>
      </w:r>
      <w:r>
        <w:rPr/>
        <w:t>led</w:t>
      </w:r>
      <w:r>
        <w:rPr>
          <w:spacing w:val="43"/>
        </w:rPr>
        <w:t> </w:t>
      </w:r>
      <w:r>
        <w:rPr/>
        <w:t>to</w:t>
      </w:r>
      <w:r>
        <w:rPr>
          <w:spacing w:val="43"/>
        </w:rPr>
        <w:t> </w:t>
      </w:r>
      <w:r>
        <w:rPr/>
        <w:t>further</w:t>
      </w:r>
      <w:r>
        <w:rPr>
          <w:spacing w:val="43"/>
        </w:rPr>
        <w:t> </w:t>
      </w:r>
      <w:r>
        <w:rPr/>
        <w:t>gains</w:t>
      </w:r>
      <w:r>
        <w:rPr>
          <w:spacing w:val="43"/>
        </w:rPr>
        <w:t> </w:t>
      </w:r>
      <w:r>
        <w:rPr/>
        <w:t>in</w:t>
      </w:r>
      <w:r>
        <w:rPr>
          <w:spacing w:val="44"/>
        </w:rPr>
        <w:t> </w:t>
      </w:r>
      <w:r>
        <w:rPr/>
        <w:t>Canada’s</w:t>
      </w:r>
      <w:r>
        <w:rPr>
          <w:spacing w:val="43"/>
        </w:rPr>
        <w:t> </w:t>
      </w:r>
      <w:r>
        <w:rPr/>
        <w:t>terms</w:t>
      </w:r>
      <w:r>
        <w:rPr>
          <w:spacing w:val="43"/>
        </w:rPr>
        <w:t> </w:t>
      </w:r>
      <w:r>
        <w:rPr/>
        <w:t>of</w:t>
      </w:r>
    </w:p>
    <w:p>
      <w:pPr>
        <w:pStyle w:val="BodyText"/>
        <w:spacing w:line="187" w:lineRule="auto" w:before="195"/>
        <w:ind w:left="115" w:right="937"/>
        <w:jc w:val="both"/>
      </w:pPr>
      <w:r>
        <w:rPr/>
        <w:br w:type="column"/>
      </w:r>
      <w:r>
        <w:rPr/>
        <w:t>trade.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Bank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projects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economic</w:t>
      </w:r>
      <w:r>
        <w:rPr>
          <w:spacing w:val="-50"/>
        </w:rPr>
        <w:t> </w:t>
      </w:r>
      <w:r>
        <w:rPr/>
        <w:t>growth in 2008 will be weaker than was ex-</w:t>
      </w:r>
      <w:r>
        <w:rPr>
          <w:spacing w:val="-50"/>
        </w:rPr>
        <w:t> </w:t>
      </w:r>
      <w:r>
        <w:rPr/>
        <w:t>pected</w:t>
      </w:r>
      <w:r>
        <w:rPr>
          <w:spacing w:val="44"/>
        </w:rPr>
        <w:t> </w:t>
      </w:r>
      <w:r>
        <w:rPr/>
        <w:t>in</w:t>
      </w:r>
      <w:r>
        <w:rPr>
          <w:spacing w:val="44"/>
        </w:rPr>
        <w:t> </w:t>
      </w:r>
      <w:r>
        <w:rPr/>
        <w:t>October,</w:t>
      </w:r>
      <w:r>
        <w:rPr>
          <w:spacing w:val="45"/>
        </w:rPr>
        <w:t> </w:t>
      </w:r>
      <w:r>
        <w:rPr/>
        <w:t>averaging</w:t>
      </w:r>
      <w:r>
        <w:rPr>
          <w:spacing w:val="44"/>
        </w:rPr>
        <w:t> </w:t>
      </w:r>
      <w:r>
        <w:rPr/>
        <w:t>a</w:t>
      </w:r>
      <w:r>
        <w:rPr>
          <w:spacing w:val="44"/>
        </w:rPr>
        <w:t> </w:t>
      </w:r>
      <w:r>
        <w:rPr/>
        <w:t>little</w:t>
      </w:r>
      <w:r>
        <w:rPr>
          <w:spacing w:val="45"/>
        </w:rPr>
        <w:t> </w:t>
      </w:r>
      <w:r>
        <w:rPr/>
        <w:t>over</w:t>
      </w:r>
      <w:r>
        <w:rPr>
          <w:spacing w:val="-50"/>
        </w:rPr>
        <w:t> </w:t>
      </w:r>
      <w:r>
        <w:rPr/>
        <w:t>1 per cent in the first half of the year and a</w:t>
      </w:r>
      <w:r>
        <w:rPr>
          <w:spacing w:val="1"/>
        </w:rPr>
        <w:t> </w:t>
      </w:r>
      <w:r>
        <w:rPr/>
        <w:t>little over 2 per cent in the second half. On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average</w:t>
      </w:r>
      <w:r>
        <w:rPr>
          <w:spacing w:val="1"/>
        </w:rPr>
        <w:t> </w:t>
      </w:r>
      <w:r>
        <w:rPr/>
        <w:t>annual</w:t>
      </w:r>
      <w:r>
        <w:rPr>
          <w:spacing w:val="1"/>
        </w:rPr>
        <w:t> </w:t>
      </w:r>
      <w:r>
        <w:rPr/>
        <w:t>basis,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economy</w:t>
      </w:r>
      <w:r>
        <w:rPr>
          <w:spacing w:val="1"/>
        </w:rPr>
        <w:t> </w:t>
      </w:r>
      <w:r>
        <w:rPr/>
        <w:t>is</w:t>
      </w:r>
      <w:r>
        <w:rPr>
          <w:spacing w:val="-50"/>
        </w:rPr>
        <w:t> </w:t>
      </w:r>
      <w:r>
        <w:rPr/>
        <w:t>projected to expand by 1.8 per cent in 2008</w:t>
      </w:r>
      <w:r>
        <w:rPr>
          <w:spacing w:val="1"/>
        </w:rPr>
        <w:t> </w:t>
      </w:r>
      <w:r>
        <w:rPr/>
        <w:t>and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2.8</w:t>
      </w:r>
      <w:r>
        <w:rPr>
          <w:spacing w:val="-1"/>
        </w:rPr>
        <w:t> </w:t>
      </w:r>
      <w:r>
        <w:rPr/>
        <w:t>per</w:t>
      </w:r>
      <w:r>
        <w:rPr>
          <w:spacing w:val="-12"/>
        </w:rPr>
        <w:t> </w:t>
      </w:r>
      <w:r>
        <w:rPr/>
        <w:t>cent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2009.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growth</w:t>
      </w:r>
      <w:r>
        <w:rPr>
          <w:spacing w:val="-12"/>
        </w:rPr>
        <w:t> </w:t>
      </w:r>
      <w:r>
        <w:rPr/>
        <w:t>pro-</w:t>
      </w:r>
      <w:r>
        <w:rPr>
          <w:spacing w:val="-50"/>
        </w:rPr>
        <w:t> </w:t>
      </w:r>
      <w:r>
        <w:rPr/>
        <w:t>file</w:t>
      </w:r>
      <w:r>
        <w:rPr>
          <w:spacing w:val="-7"/>
        </w:rPr>
        <w:t> </w:t>
      </w:r>
      <w:r>
        <w:rPr/>
        <w:t>implies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economy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move</w:t>
      </w:r>
      <w:r>
        <w:rPr>
          <w:spacing w:val="-6"/>
        </w:rPr>
        <w:t> </w:t>
      </w:r>
      <w:r>
        <w:rPr/>
        <w:t>into</w:t>
      </w:r>
      <w:r>
        <w:rPr>
          <w:spacing w:val="-50"/>
        </w:rPr>
        <w:t> </w:t>
      </w:r>
      <w:r>
        <w:rPr/>
        <w:t>modest excess supply in the second quarter</w:t>
      </w:r>
      <w:r>
        <w:rPr>
          <w:spacing w:val="-50"/>
        </w:rPr>
        <w:t> </w:t>
      </w:r>
      <w:r>
        <w:rPr/>
        <w:t>of this year, and then return to balance in</w:t>
      </w:r>
      <w:r>
        <w:rPr>
          <w:spacing w:val="1"/>
        </w:rPr>
        <w:t> </w:t>
      </w:r>
      <w:r>
        <w:rPr/>
        <w:t>early 2010.</w:t>
      </w:r>
    </w:p>
    <w:p>
      <w:pPr>
        <w:pStyle w:val="BodyText"/>
        <w:spacing w:before="13"/>
        <w:rPr>
          <w:sz w:val="1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9.179993pt;margin-top:15.9pt;width:244.8pt;height:260.25pt;mso-position-horizontal-relative:page;mso-position-vertical-relative:paragraph;z-index:-15728640;mso-wrap-distance-left:0;mso-wrap-distance-right:0" type="#_x0000_t202" id="docshape5" filled="false" stroked="true" strokeweight="1.56pt" strokecolor="#004951">
            <v:textbox inset="0,0,0,0">
              <w:txbxContent>
                <w:p>
                  <w:pPr>
                    <w:spacing w:before="64"/>
                    <w:ind w:left="1274" w:right="0" w:firstLine="0"/>
                    <w:jc w:val="left"/>
                    <w:rPr>
                      <w:b/>
                      <w:sz w:val="36"/>
                    </w:rPr>
                  </w:pPr>
                  <w:r>
                    <w:rPr>
                      <w:b/>
                      <w:color w:val="004951"/>
                      <w:spacing w:val="18"/>
                      <w:w w:val="120"/>
                      <w:sz w:val="36"/>
                    </w:rPr>
                    <w:t>Highlights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453" w:val="left" w:leader="none"/>
                    </w:tabs>
                    <w:spacing w:line="170" w:lineRule="auto" w:before="135"/>
                    <w:ind w:left="452" w:right="240" w:hanging="288"/>
                    <w:jc w:val="left"/>
                    <w:rPr>
                      <w:sz w:val="23"/>
                    </w:rPr>
                  </w:pPr>
                  <w:r>
                    <w:rPr>
                      <w:color w:val="004951"/>
                      <w:sz w:val="23"/>
                    </w:rPr>
                    <w:t>The Canadian economy continues to</w:t>
                  </w:r>
                  <w:r>
                    <w:rPr>
                      <w:color w:val="004951"/>
                      <w:spacing w:val="1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operate above its production capacity,</w:t>
                  </w:r>
                  <w:r>
                    <w:rPr>
                      <w:color w:val="004951"/>
                      <w:spacing w:val="1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despite</w:t>
                  </w:r>
                  <w:r>
                    <w:rPr>
                      <w:color w:val="004951"/>
                      <w:spacing w:val="-3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a</w:t>
                  </w:r>
                  <w:r>
                    <w:rPr>
                      <w:color w:val="004951"/>
                      <w:spacing w:val="-3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slowing</w:t>
                  </w:r>
                  <w:r>
                    <w:rPr>
                      <w:color w:val="004951"/>
                      <w:spacing w:val="-3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of</w:t>
                  </w:r>
                  <w:r>
                    <w:rPr>
                      <w:color w:val="004951"/>
                      <w:spacing w:val="-3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growth</w:t>
                  </w:r>
                  <w:r>
                    <w:rPr>
                      <w:color w:val="004951"/>
                      <w:spacing w:val="-2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in</w:t>
                  </w:r>
                  <w:r>
                    <w:rPr>
                      <w:color w:val="004951"/>
                      <w:spacing w:val="-3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the</w:t>
                  </w:r>
                  <w:r>
                    <w:rPr>
                      <w:color w:val="004951"/>
                      <w:spacing w:val="-4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fourth</w:t>
                  </w:r>
                  <w:r>
                    <w:rPr>
                      <w:color w:val="004951"/>
                      <w:spacing w:val="-54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quarter</w:t>
                  </w:r>
                  <w:r>
                    <w:rPr>
                      <w:color w:val="004951"/>
                      <w:spacing w:val="-2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of 2007.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453" w:val="left" w:leader="none"/>
                    </w:tabs>
                    <w:spacing w:line="170" w:lineRule="auto" w:before="98"/>
                    <w:ind w:left="452" w:right="386" w:hanging="288"/>
                    <w:jc w:val="left"/>
                    <w:rPr>
                      <w:sz w:val="23"/>
                    </w:rPr>
                  </w:pPr>
                  <w:r>
                    <w:rPr>
                      <w:color w:val="004951"/>
                      <w:sz w:val="23"/>
                    </w:rPr>
                    <w:t>The Bank projects average annual</w:t>
                  </w:r>
                  <w:r>
                    <w:rPr>
                      <w:color w:val="004951"/>
                      <w:spacing w:val="1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economic</w:t>
                  </w:r>
                  <w:r>
                    <w:rPr>
                      <w:color w:val="004951"/>
                      <w:spacing w:val="-3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growth</w:t>
                  </w:r>
                  <w:r>
                    <w:rPr>
                      <w:color w:val="004951"/>
                      <w:spacing w:val="-3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of</w:t>
                  </w:r>
                  <w:r>
                    <w:rPr>
                      <w:color w:val="004951"/>
                      <w:spacing w:val="-3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1.8</w:t>
                  </w:r>
                  <w:r>
                    <w:rPr>
                      <w:color w:val="004951"/>
                      <w:spacing w:val="-2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per</w:t>
                  </w:r>
                  <w:r>
                    <w:rPr>
                      <w:color w:val="004951"/>
                      <w:spacing w:val="-4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cent</w:t>
                  </w:r>
                  <w:r>
                    <w:rPr>
                      <w:color w:val="004951"/>
                      <w:spacing w:val="-3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in</w:t>
                  </w:r>
                  <w:r>
                    <w:rPr>
                      <w:color w:val="004951"/>
                      <w:spacing w:val="-2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2008</w:t>
                  </w:r>
                  <w:r>
                    <w:rPr>
                      <w:color w:val="004951"/>
                      <w:spacing w:val="-55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and</w:t>
                  </w:r>
                  <w:r>
                    <w:rPr>
                      <w:color w:val="004951"/>
                      <w:spacing w:val="-1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2.8 per</w:t>
                  </w:r>
                  <w:r>
                    <w:rPr>
                      <w:color w:val="004951"/>
                      <w:spacing w:val="-1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cent in 2009.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453" w:val="left" w:leader="none"/>
                    </w:tabs>
                    <w:spacing w:line="170" w:lineRule="auto" w:before="99"/>
                    <w:ind w:left="452" w:right="177" w:hanging="288"/>
                    <w:jc w:val="left"/>
                    <w:rPr>
                      <w:sz w:val="23"/>
                    </w:rPr>
                  </w:pPr>
                  <w:r>
                    <w:rPr>
                      <w:color w:val="004951"/>
                      <w:sz w:val="23"/>
                    </w:rPr>
                    <w:t>Both core and total CPI inflation are</w:t>
                  </w:r>
                  <w:r>
                    <w:rPr>
                      <w:color w:val="004951"/>
                      <w:spacing w:val="1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projected to fall below 1.5 per cent by</w:t>
                  </w:r>
                  <w:r>
                    <w:rPr>
                      <w:color w:val="004951"/>
                      <w:spacing w:val="1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mid-2008</w:t>
                  </w:r>
                  <w:r>
                    <w:rPr>
                      <w:color w:val="004951"/>
                      <w:spacing w:val="-10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before</w:t>
                  </w:r>
                  <w:r>
                    <w:rPr>
                      <w:color w:val="004951"/>
                      <w:spacing w:val="-9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returning</w:t>
                  </w:r>
                  <w:r>
                    <w:rPr>
                      <w:color w:val="004951"/>
                      <w:spacing w:val="-10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to</w:t>
                  </w:r>
                  <w:r>
                    <w:rPr>
                      <w:color w:val="004951"/>
                      <w:spacing w:val="-9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2</w:t>
                  </w:r>
                  <w:r>
                    <w:rPr>
                      <w:color w:val="004951"/>
                      <w:spacing w:val="-9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per</w:t>
                  </w:r>
                  <w:r>
                    <w:rPr>
                      <w:color w:val="004951"/>
                      <w:spacing w:val="-10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cent</w:t>
                  </w:r>
                  <w:r>
                    <w:rPr>
                      <w:color w:val="004951"/>
                      <w:spacing w:val="-9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by</w:t>
                  </w:r>
                  <w:r>
                    <w:rPr>
                      <w:color w:val="004951"/>
                      <w:spacing w:val="-54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the</w:t>
                  </w:r>
                  <w:r>
                    <w:rPr>
                      <w:color w:val="004951"/>
                      <w:spacing w:val="-2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end of 2009.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453" w:val="left" w:leader="none"/>
                    </w:tabs>
                    <w:spacing w:line="170" w:lineRule="auto" w:before="98"/>
                    <w:ind w:left="452" w:right="262" w:hanging="288"/>
                    <w:jc w:val="left"/>
                    <w:rPr>
                      <w:sz w:val="23"/>
                    </w:rPr>
                  </w:pPr>
                  <w:r>
                    <w:rPr>
                      <w:color w:val="004951"/>
                      <w:sz w:val="23"/>
                    </w:rPr>
                    <w:t>Further monetary stimulus is likely to be</w:t>
                  </w:r>
                  <w:r>
                    <w:rPr>
                      <w:color w:val="004951"/>
                      <w:spacing w:val="-55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required</w:t>
                  </w:r>
                  <w:r>
                    <w:rPr>
                      <w:color w:val="004951"/>
                      <w:spacing w:val="-1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in</w:t>
                  </w:r>
                  <w:r>
                    <w:rPr>
                      <w:color w:val="004951"/>
                      <w:spacing w:val="-1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the</w:t>
                  </w:r>
                  <w:r>
                    <w:rPr>
                      <w:color w:val="004951"/>
                      <w:spacing w:val="-1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near</w:t>
                  </w:r>
                  <w:r>
                    <w:rPr>
                      <w:color w:val="004951"/>
                      <w:spacing w:val="-1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term.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type w:val="continuous"/>
          <w:pgSz w:w="12240" w:h="15840"/>
          <w:pgMar w:top="360" w:bottom="280" w:left="260" w:right="860"/>
          <w:cols w:num="2" w:equalWidth="0">
            <w:col w:w="5566" w:space="443"/>
            <w:col w:w="511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headerReference w:type="default" r:id="rId7"/>
          <w:footerReference w:type="default" r:id="rId8"/>
          <w:pgSz w:w="12240" w:h="15840"/>
          <w:pgMar w:header="661" w:footer="764" w:top="860" w:bottom="960" w:left="260" w:right="860"/>
          <w:pgNumType w:start="2"/>
        </w:sectPr>
      </w:pPr>
    </w:p>
    <w:p>
      <w:pPr>
        <w:pStyle w:val="BodyText"/>
        <w:spacing w:line="187" w:lineRule="auto" w:before="195"/>
        <w:ind w:left="1467" w:firstLine="360"/>
        <w:jc w:val="both"/>
      </w:pPr>
      <w:r>
        <w:rPr/>
        <w:t>The inflation projection has also been</w:t>
      </w:r>
      <w:r>
        <w:rPr>
          <w:spacing w:val="1"/>
        </w:rPr>
        <w:t> </w:t>
      </w:r>
      <w:r>
        <w:rPr/>
        <w:t>revised down, particularly for 2008, prima-</w:t>
      </w:r>
      <w:r>
        <w:rPr>
          <w:spacing w:val="1"/>
        </w:rPr>
        <w:t> </w:t>
      </w:r>
      <w:r>
        <w:rPr/>
        <w:t>rily</w:t>
      </w:r>
      <w:r>
        <w:rPr>
          <w:spacing w:val="1"/>
        </w:rPr>
        <w:t> </w:t>
      </w:r>
      <w:r>
        <w:rPr/>
        <w:t>reflecting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price-level</w:t>
      </w:r>
      <w:r>
        <w:rPr>
          <w:spacing w:val="1"/>
        </w:rPr>
        <w:t> </w:t>
      </w:r>
      <w:r>
        <w:rPr/>
        <w:t>adjustment</w:t>
      </w:r>
      <w:r>
        <w:rPr>
          <w:spacing w:val="1"/>
        </w:rPr>
        <w:t> </w:t>
      </w:r>
      <w:r>
        <w:rPr/>
        <w:t>noted</w:t>
      </w:r>
      <w:r>
        <w:rPr>
          <w:spacing w:val="-5"/>
        </w:rPr>
        <w:t> </w:t>
      </w:r>
      <w:r>
        <w:rPr/>
        <w:t>above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recent</w:t>
      </w:r>
      <w:r>
        <w:rPr>
          <w:spacing w:val="-5"/>
        </w:rPr>
        <w:t> </w:t>
      </w:r>
      <w:r>
        <w:rPr/>
        <w:t>one-percentage-</w:t>
      </w:r>
      <w:r>
        <w:rPr>
          <w:spacing w:val="-50"/>
        </w:rPr>
        <w:t> </w:t>
      </w:r>
      <w:r>
        <w:rPr/>
        <w:t>point reduction in the GST. Both core and</w:t>
      </w:r>
      <w:r>
        <w:rPr>
          <w:spacing w:val="1"/>
        </w:rPr>
        <w:t> </w:t>
      </w:r>
      <w:r>
        <w:rPr/>
        <w:t>total</w:t>
      </w:r>
      <w:r>
        <w:rPr>
          <w:spacing w:val="-11"/>
        </w:rPr>
        <w:t> </w:t>
      </w:r>
      <w:r>
        <w:rPr/>
        <w:t>CPI</w:t>
      </w:r>
      <w:r>
        <w:rPr>
          <w:spacing w:val="-10"/>
        </w:rPr>
        <w:t> </w:t>
      </w:r>
      <w:r>
        <w:rPr/>
        <w:t>inflation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projected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fall</w:t>
      </w:r>
      <w:r>
        <w:rPr>
          <w:spacing w:val="-10"/>
        </w:rPr>
        <w:t> </w:t>
      </w:r>
      <w:r>
        <w:rPr/>
        <w:t>below</w:t>
      </w:r>
      <w:r>
        <w:rPr>
          <w:spacing w:val="-50"/>
        </w:rPr>
        <w:t> </w:t>
      </w:r>
      <w:r>
        <w:rPr/>
        <w:t>1</w:t>
      </w:r>
      <w:r>
        <w:rPr>
          <w:spacing w:val="-4"/>
        </w:rPr>
        <w:t> </w:t>
      </w:r>
      <w:r>
        <w:rPr/>
        <w:t>1/2</w:t>
      </w:r>
      <w:r>
        <w:rPr>
          <w:spacing w:val="-3"/>
        </w:rPr>
        <w:t> </w:t>
      </w:r>
      <w:r>
        <w:rPr/>
        <w:t>per</w:t>
      </w:r>
      <w:r>
        <w:rPr>
          <w:spacing w:val="-3"/>
        </w:rPr>
        <w:t> </w:t>
      </w:r>
      <w:r>
        <w:rPr/>
        <w:t>cent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middle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year</w:t>
      </w:r>
      <w:r>
        <w:rPr>
          <w:spacing w:val="-3"/>
        </w:rPr>
        <w:t> </w:t>
      </w:r>
      <w:r>
        <w:rPr/>
        <w:t>be-</w:t>
      </w:r>
      <w:r>
        <w:rPr>
          <w:spacing w:val="-50"/>
        </w:rPr>
        <w:t> </w:t>
      </w:r>
      <w:r>
        <w:rPr/>
        <w:t>fore</w:t>
      </w:r>
      <w:r>
        <w:rPr>
          <w:spacing w:val="-3"/>
        </w:rPr>
        <w:t> </w:t>
      </w:r>
      <w:r>
        <w:rPr/>
        <w:t>returning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2</w:t>
      </w:r>
      <w:r>
        <w:rPr>
          <w:spacing w:val="-2"/>
        </w:rPr>
        <w:t> </w:t>
      </w:r>
      <w:r>
        <w:rPr/>
        <w:t>per</w:t>
      </w:r>
      <w:r>
        <w:rPr>
          <w:spacing w:val="-2"/>
        </w:rPr>
        <w:t> </w:t>
      </w:r>
      <w:r>
        <w:rPr/>
        <w:t>cent</w:t>
      </w:r>
      <w:r>
        <w:rPr>
          <w:spacing w:val="-3"/>
        </w:rPr>
        <w:t> </w:t>
      </w:r>
      <w:r>
        <w:rPr/>
        <w:t>target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50"/>
        </w:rPr>
        <w:t> </w:t>
      </w:r>
      <w:r>
        <w:rPr/>
        <w:t>end of 2009. Excluding the impact of the</w:t>
      </w:r>
      <w:r>
        <w:rPr>
          <w:spacing w:val="1"/>
        </w:rPr>
        <w:t> </w:t>
      </w:r>
      <w:r>
        <w:rPr/>
        <w:t>recent GST reduction, total CPI inflation is</w:t>
      </w:r>
      <w:r>
        <w:rPr>
          <w:spacing w:val="1"/>
        </w:rPr>
        <w:t> </w:t>
      </w:r>
      <w:r>
        <w:rPr/>
        <w:t>projected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average</w:t>
      </w:r>
      <w:r>
        <w:rPr>
          <w:spacing w:val="1"/>
        </w:rPr>
        <w:t> </w:t>
      </w:r>
      <w:r>
        <w:rPr/>
        <w:t>close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cent</w:t>
      </w:r>
      <w:r>
        <w:rPr>
          <w:spacing w:val="1"/>
        </w:rPr>
        <w:t> </w:t>
      </w:r>
      <w:r>
        <w:rPr/>
        <w:t>throughout</w:t>
      </w:r>
      <w:r>
        <w:rPr>
          <w:spacing w:val="-2"/>
        </w:rPr>
        <w:t> </w:t>
      </w:r>
      <w:r>
        <w:rPr/>
        <w:t>2008 and 2009.</w:t>
      </w:r>
    </w:p>
    <w:p>
      <w:pPr>
        <w:pStyle w:val="Heading2"/>
        <w:spacing w:before="124"/>
        <w:ind w:left="1468"/>
      </w:pPr>
      <w:bookmarkStart w:name="Risks and Policy Outlook" w:id="2"/>
      <w:bookmarkEnd w:id="2"/>
      <w:r>
        <w:rPr>
          <w:b w:val="0"/>
          <w:i w:val="0"/>
        </w:rPr>
      </w:r>
      <w:r>
        <w:rPr/>
        <w:t>Risks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Policy</w:t>
      </w:r>
      <w:r>
        <w:rPr>
          <w:spacing w:val="-2"/>
        </w:rPr>
        <w:t> </w:t>
      </w:r>
      <w:r>
        <w:rPr/>
        <w:t>Outlook</w:t>
      </w:r>
    </w:p>
    <w:p>
      <w:pPr>
        <w:pStyle w:val="BodyText"/>
        <w:spacing w:line="187" w:lineRule="auto" w:before="14"/>
        <w:ind w:left="1468"/>
        <w:jc w:val="both"/>
      </w:pPr>
      <w:r>
        <w:rPr/>
        <w:t>There are a number of important risks to</w:t>
      </w:r>
      <w:r>
        <w:rPr>
          <w:spacing w:val="1"/>
        </w:rPr>
        <w:t> </w:t>
      </w:r>
      <w:r>
        <w:rPr/>
        <w:t>this</w:t>
      </w:r>
      <w:r>
        <w:rPr>
          <w:spacing w:val="-2"/>
        </w:rPr>
        <w:t> </w:t>
      </w:r>
      <w:r>
        <w:rPr/>
        <w:t>base-case</w:t>
      </w:r>
      <w:r>
        <w:rPr>
          <w:spacing w:val="-1"/>
        </w:rPr>
        <w:t> </w:t>
      </w:r>
      <w:r>
        <w:rPr/>
        <w:t>projection.</w:t>
      </w:r>
    </w:p>
    <w:p>
      <w:pPr>
        <w:pStyle w:val="BodyText"/>
        <w:spacing w:line="187" w:lineRule="auto"/>
        <w:ind w:left="1468" w:firstLine="360"/>
        <w:jc w:val="both"/>
      </w:pPr>
      <w:r>
        <w:rPr>
          <w:spacing w:val="-3"/>
        </w:rPr>
        <w:t>On</w:t>
      </w:r>
      <w:r>
        <w:rPr>
          <w:spacing w:val="-13"/>
        </w:rPr>
        <w:t> </w:t>
      </w:r>
      <w:r>
        <w:rPr>
          <w:spacing w:val="-3"/>
        </w:rPr>
        <w:t>the</w:t>
      </w:r>
      <w:r>
        <w:rPr>
          <w:spacing w:val="-13"/>
        </w:rPr>
        <w:t> </w:t>
      </w:r>
      <w:r>
        <w:rPr>
          <w:spacing w:val="-3"/>
        </w:rPr>
        <w:t>downside,</w:t>
      </w:r>
      <w:r>
        <w:rPr>
          <w:spacing w:val="-12"/>
        </w:rPr>
        <w:t> </w:t>
      </w:r>
      <w:r>
        <w:rPr>
          <w:spacing w:val="-3"/>
        </w:rPr>
        <w:t>the</w:t>
      </w:r>
      <w:r>
        <w:rPr>
          <w:spacing w:val="-13"/>
        </w:rPr>
        <w:t> </w:t>
      </w:r>
      <w:r>
        <w:rPr>
          <w:spacing w:val="-3"/>
        </w:rPr>
        <w:t>tightening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credit</w:t>
      </w:r>
      <w:r>
        <w:rPr>
          <w:spacing w:val="-50"/>
        </w:rPr>
        <w:t> </w:t>
      </w:r>
      <w:r>
        <w:rPr/>
        <w:t>conditions globally and in Canada could be</w:t>
      </w:r>
      <w:r>
        <w:rPr>
          <w:spacing w:val="-50"/>
        </w:rPr>
        <w:t> </w:t>
      </w:r>
      <w:r>
        <w:rPr/>
        <w:t>greater and more protracted than assumed,</w:t>
      </w:r>
      <w:r>
        <w:rPr>
          <w:spacing w:val="-50"/>
        </w:rPr>
        <w:t> </w:t>
      </w:r>
      <w:r>
        <w:rPr/>
        <w:t>and there could be a more prolonged slow-</w:t>
      </w:r>
      <w:r>
        <w:rPr>
          <w:spacing w:val="1"/>
        </w:rPr>
        <w:t> </w:t>
      </w:r>
      <w:r>
        <w:rPr>
          <w:spacing w:val="-3"/>
        </w:rPr>
        <w:t>down</w:t>
      </w:r>
      <w:r>
        <w:rPr>
          <w:spacing w:val="-10"/>
        </w:rPr>
        <w:t> </w:t>
      </w:r>
      <w:r>
        <w:rPr>
          <w:spacing w:val="-3"/>
        </w:rPr>
        <w:t>in</w:t>
      </w:r>
      <w:r>
        <w:rPr>
          <w:spacing w:val="-9"/>
        </w:rPr>
        <w:t> </w:t>
      </w:r>
      <w:r>
        <w:rPr>
          <w:spacing w:val="-3"/>
        </w:rPr>
        <w:t>the</w:t>
      </w:r>
      <w:r>
        <w:rPr>
          <w:spacing w:val="-10"/>
        </w:rPr>
        <w:t> </w:t>
      </w:r>
      <w:r>
        <w:rPr>
          <w:spacing w:val="-3"/>
        </w:rPr>
        <w:t>U.S.</w:t>
      </w:r>
      <w:r>
        <w:rPr>
          <w:spacing w:val="-9"/>
        </w:rPr>
        <w:t> </w:t>
      </w:r>
      <w:r>
        <w:rPr>
          <w:spacing w:val="-3"/>
        </w:rPr>
        <w:t>economy,</w:t>
      </w:r>
      <w:r>
        <w:rPr>
          <w:spacing w:val="-9"/>
        </w:rPr>
        <w:t> </w:t>
      </w:r>
      <w:r>
        <w:rPr>
          <w:spacing w:val="-2"/>
        </w:rPr>
        <w:t>exerting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greater</w:t>
      </w:r>
      <w:r>
        <w:rPr>
          <w:spacing w:val="-50"/>
        </w:rPr>
        <w:t> </w:t>
      </w:r>
      <w:r>
        <w:rPr>
          <w:spacing w:val="-3"/>
        </w:rPr>
        <w:t>drag</w:t>
      </w:r>
      <w:r>
        <w:rPr>
          <w:spacing w:val="-15"/>
        </w:rPr>
        <w:t> </w:t>
      </w:r>
      <w:r>
        <w:rPr>
          <w:spacing w:val="-3"/>
        </w:rPr>
        <w:t>on</w:t>
      </w:r>
      <w:r>
        <w:rPr>
          <w:spacing w:val="-14"/>
        </w:rPr>
        <w:t> </w:t>
      </w:r>
      <w:r>
        <w:rPr>
          <w:spacing w:val="-3"/>
        </w:rPr>
        <w:t>Canadian</w:t>
      </w:r>
      <w:r>
        <w:rPr>
          <w:spacing w:val="-15"/>
        </w:rPr>
        <w:t> </w:t>
      </w:r>
      <w:r>
        <w:rPr>
          <w:spacing w:val="-3"/>
        </w:rPr>
        <w:t>GDP</w:t>
      </w:r>
      <w:r>
        <w:rPr>
          <w:spacing w:val="-15"/>
        </w:rPr>
        <w:t> </w:t>
      </w:r>
      <w:r>
        <w:rPr>
          <w:spacing w:val="-3"/>
        </w:rPr>
        <w:t>growth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inflation.</w:t>
      </w:r>
      <w:r>
        <w:rPr>
          <w:spacing w:val="-50"/>
        </w:rPr>
        <w:t> </w:t>
      </w:r>
      <w:r>
        <w:rPr/>
        <w:t>As well, competitive pressures in Canada’s</w:t>
      </w:r>
      <w:r>
        <w:rPr>
          <w:spacing w:val="1"/>
        </w:rPr>
        <w:t> </w:t>
      </w:r>
      <w:r>
        <w:rPr/>
        <w:t>retail</w:t>
      </w:r>
      <w:r>
        <w:rPr>
          <w:spacing w:val="1"/>
        </w:rPr>
        <w:t> </w:t>
      </w:r>
      <w:r>
        <w:rPr/>
        <w:t>sector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put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downward</w:t>
      </w:r>
      <w:r>
        <w:rPr>
          <w:spacing w:val="1"/>
        </w:rPr>
        <w:t> </w:t>
      </w:r>
      <w:r>
        <w:rPr/>
        <w:t>pressure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prices</w:t>
      </w:r>
      <w:r>
        <w:rPr>
          <w:spacing w:val="-1"/>
        </w:rPr>
        <w:t> </w:t>
      </w:r>
      <w:r>
        <w:rPr/>
        <w:t>than</w:t>
      </w:r>
      <w:r>
        <w:rPr>
          <w:spacing w:val="-2"/>
        </w:rPr>
        <w:t> </w:t>
      </w:r>
      <w:r>
        <w:rPr/>
        <w:t>assumed.</w:t>
      </w:r>
    </w:p>
    <w:p>
      <w:pPr>
        <w:pStyle w:val="BodyText"/>
        <w:spacing w:line="187" w:lineRule="auto"/>
        <w:ind w:left="1468" w:firstLine="360"/>
        <w:jc w:val="both"/>
      </w:pPr>
      <w:r>
        <w:rPr/>
        <w:t>On the upside, there are risks posed by</w:t>
      </w:r>
      <w:r>
        <w:rPr>
          <w:spacing w:val="1"/>
        </w:rPr>
        <w:t> </w:t>
      </w:r>
      <w:r>
        <w:rPr/>
        <w:t>the continued strong momentum in domes-</w:t>
      </w:r>
      <w:r>
        <w:rPr>
          <w:spacing w:val="-50"/>
        </w:rPr>
        <w:t> </w:t>
      </w:r>
      <w:r>
        <w:rPr/>
        <w:t>tic demand growth, underpinned by firm</w:t>
      </w:r>
      <w:r>
        <w:rPr>
          <w:spacing w:val="1"/>
        </w:rPr>
        <w:t> </w:t>
      </w:r>
      <w:r>
        <w:rPr/>
        <w:t>commodity</w:t>
      </w:r>
      <w:r>
        <w:rPr>
          <w:spacing w:val="-12"/>
        </w:rPr>
        <w:t> </w:t>
      </w:r>
      <w:r>
        <w:rPr/>
        <w:t>prices,</w:t>
      </w:r>
      <w:r>
        <w:rPr>
          <w:spacing w:val="-12"/>
        </w:rPr>
        <w:t> </w:t>
      </w:r>
      <w:r>
        <w:rPr/>
        <w:t>improved</w:t>
      </w:r>
      <w:r>
        <w:rPr>
          <w:spacing w:val="-12"/>
        </w:rPr>
        <w:t> </w:t>
      </w:r>
      <w:r>
        <w:rPr/>
        <w:t>terms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trade,</w:t>
      </w:r>
      <w:r>
        <w:rPr>
          <w:spacing w:val="-50"/>
        </w:rPr>
        <w:t> </w:t>
      </w:r>
      <w:r>
        <w:rPr/>
        <w:t>and</w:t>
      </w:r>
      <w:r>
        <w:rPr>
          <w:spacing w:val="1"/>
        </w:rPr>
        <w:t> </w:t>
      </w:r>
      <w:r>
        <w:rPr/>
        <w:t>strong</w:t>
      </w:r>
      <w:r>
        <w:rPr>
          <w:spacing w:val="1"/>
        </w:rPr>
        <w:t> </w:t>
      </w:r>
      <w:r>
        <w:rPr/>
        <w:t>credit</w:t>
      </w:r>
      <w:r>
        <w:rPr>
          <w:spacing w:val="1"/>
        </w:rPr>
        <w:t> </w:t>
      </w:r>
      <w:r>
        <w:rPr/>
        <w:t>growth.</w:t>
      </w:r>
      <w:r>
        <w:rPr>
          <w:spacing w:val="1"/>
        </w:rPr>
        <w:t> </w:t>
      </w:r>
      <w:r>
        <w:rPr/>
        <w:t>Capacity</w:t>
      </w:r>
      <w:r>
        <w:rPr>
          <w:spacing w:val="1"/>
        </w:rPr>
        <w:t> </w:t>
      </w:r>
      <w:r>
        <w:rPr/>
        <w:t>pres-</w:t>
      </w:r>
      <w:r>
        <w:rPr>
          <w:spacing w:val="-50"/>
        </w:rPr>
        <w:t> </w:t>
      </w:r>
      <w:r>
        <w:rPr/>
        <w:t>sures could be stronger than judged, espe-</w:t>
      </w:r>
      <w:r>
        <w:rPr>
          <w:spacing w:val="1"/>
        </w:rPr>
        <w:t> </w:t>
      </w:r>
      <w:r>
        <w:rPr/>
        <w:t>cially if weak productivity growth were to</w:t>
      </w:r>
      <w:r>
        <w:rPr>
          <w:spacing w:val="1"/>
        </w:rPr>
        <w:t> </w:t>
      </w:r>
      <w:r>
        <w:rPr/>
        <w:t>persist, which would put upward pressure</w:t>
      </w:r>
      <w:r>
        <w:rPr>
          <w:spacing w:val="1"/>
        </w:rPr>
        <w:t> </w:t>
      </w:r>
      <w:r>
        <w:rPr/>
        <w:t>on costs and inflation.</w:t>
      </w:r>
    </w:p>
    <w:p>
      <w:pPr>
        <w:pStyle w:val="BodyText"/>
        <w:spacing w:line="187" w:lineRule="auto"/>
        <w:ind w:left="1468" w:firstLine="360"/>
        <w:jc w:val="right"/>
      </w:pPr>
      <w:r>
        <w:rPr/>
        <w:t>The</w:t>
      </w:r>
      <w:r>
        <w:rPr>
          <w:spacing w:val="40"/>
        </w:rPr>
        <w:t> </w:t>
      </w:r>
      <w:r>
        <w:rPr/>
        <w:t>Governing</w:t>
      </w:r>
      <w:r>
        <w:rPr>
          <w:spacing w:val="40"/>
        </w:rPr>
        <w:t> </w:t>
      </w:r>
      <w:r>
        <w:rPr/>
        <w:t>Council</w:t>
      </w:r>
      <w:r>
        <w:rPr>
          <w:spacing w:val="40"/>
        </w:rPr>
        <w:t> </w:t>
      </w:r>
      <w:r>
        <w:rPr/>
        <w:t>judges</w:t>
      </w:r>
      <w:r>
        <w:rPr>
          <w:spacing w:val="40"/>
        </w:rPr>
        <w:t> </w:t>
      </w:r>
      <w:r>
        <w:rPr/>
        <w:t>that,</w:t>
      </w:r>
      <w:r>
        <w:rPr>
          <w:spacing w:val="-50"/>
        </w:rPr>
        <w:t> </w:t>
      </w:r>
      <w:r>
        <w:rPr/>
        <w:t>overall,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risks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base-case</w:t>
      </w:r>
      <w:r>
        <w:rPr>
          <w:spacing w:val="4"/>
        </w:rPr>
        <w:t> </w:t>
      </w:r>
      <w:r>
        <w:rPr/>
        <w:t>projection</w:t>
      </w:r>
      <w:r>
        <w:rPr>
          <w:spacing w:val="-49"/>
        </w:rPr>
        <w:t> </w:t>
      </w:r>
      <w:r>
        <w:rPr>
          <w:spacing w:val="-3"/>
        </w:rPr>
        <w:t>for Canadian inflation are roughly </w:t>
      </w:r>
      <w:r>
        <w:rPr>
          <w:spacing w:val="-2"/>
        </w:rPr>
        <w:t>balanced.</w:t>
      </w:r>
      <w:r>
        <w:rPr>
          <w:spacing w:val="-1"/>
        </w:rPr>
        <w:t> </w:t>
      </w:r>
      <w:r>
        <w:rPr/>
        <w:t>On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December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22</w:t>
      </w:r>
      <w:r>
        <w:rPr>
          <w:spacing w:val="1"/>
        </w:rPr>
        <w:t> </w:t>
      </w:r>
      <w:r>
        <w:rPr/>
        <w:t>January,</w:t>
      </w:r>
      <w:r>
        <w:rPr>
          <w:spacing w:val="52"/>
        </w:rPr>
        <w:t> </w:t>
      </w:r>
      <w:r>
        <w:rPr/>
        <w:t>the</w:t>
      </w:r>
      <w:r>
        <w:rPr>
          <w:spacing w:val="1"/>
        </w:rPr>
        <w:t> </w:t>
      </w:r>
      <w:r>
        <w:rPr/>
        <w:t>Bank</w:t>
      </w:r>
      <w:r>
        <w:rPr>
          <w:spacing w:val="44"/>
        </w:rPr>
        <w:t> </w:t>
      </w:r>
      <w:r>
        <w:rPr/>
        <w:t>lowered</w:t>
      </w:r>
      <w:r>
        <w:rPr>
          <w:spacing w:val="44"/>
        </w:rPr>
        <w:t> </w:t>
      </w:r>
      <w:r>
        <w:rPr/>
        <w:t>its</w:t>
      </w:r>
      <w:r>
        <w:rPr>
          <w:spacing w:val="45"/>
        </w:rPr>
        <w:t> </w:t>
      </w:r>
      <w:r>
        <w:rPr/>
        <w:t>target</w:t>
      </w:r>
      <w:r>
        <w:rPr>
          <w:spacing w:val="44"/>
        </w:rPr>
        <w:t> </w:t>
      </w:r>
      <w:r>
        <w:rPr/>
        <w:t>for</w:t>
      </w:r>
      <w:r>
        <w:rPr>
          <w:spacing w:val="44"/>
        </w:rPr>
        <w:t> </w:t>
      </w:r>
      <w:r>
        <w:rPr/>
        <w:t>the</w:t>
      </w:r>
      <w:r>
        <w:rPr>
          <w:spacing w:val="45"/>
        </w:rPr>
        <w:t> </w:t>
      </w:r>
      <w:r>
        <w:rPr/>
        <w:t>overnight</w:t>
      </w:r>
      <w:r>
        <w:rPr>
          <w:spacing w:val="-50"/>
        </w:rPr>
        <w:t> </w:t>
      </w:r>
      <w:r>
        <w:rPr/>
        <w:t>rate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one-quarter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percentage</w:t>
      </w:r>
      <w:r>
        <w:rPr>
          <w:spacing w:val="-7"/>
        </w:rPr>
        <w:t> </w:t>
      </w:r>
      <w:r>
        <w:rPr/>
        <w:t>point,</w:t>
      </w:r>
      <w:r>
        <w:rPr>
          <w:spacing w:val="-49"/>
        </w:rPr>
        <w:t> </w:t>
      </w:r>
      <w:r>
        <w:rPr/>
        <w:t>bringing</w:t>
      </w:r>
      <w:r>
        <w:rPr>
          <w:spacing w:val="44"/>
        </w:rPr>
        <w:t> </w:t>
      </w:r>
      <w:r>
        <w:rPr/>
        <w:t>it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4 per</w:t>
      </w:r>
      <w:r>
        <w:rPr>
          <w:spacing w:val="44"/>
        </w:rPr>
        <w:t> </w:t>
      </w:r>
      <w:r>
        <w:rPr/>
        <w:t>cent.</w:t>
      </w:r>
      <w:r>
        <w:rPr>
          <w:spacing w:val="44"/>
        </w:rPr>
        <w:t> </w:t>
      </w:r>
      <w:r>
        <w:rPr/>
        <w:t>In</w:t>
      </w:r>
      <w:r>
        <w:rPr>
          <w:spacing w:val="44"/>
        </w:rPr>
        <w:t> </w:t>
      </w:r>
      <w:r>
        <w:rPr/>
        <w:t>line</w:t>
      </w:r>
      <w:r>
        <w:rPr>
          <w:spacing w:val="44"/>
        </w:rPr>
        <w:t> </w:t>
      </w:r>
      <w:r>
        <w:rPr/>
        <w:t>with</w:t>
      </w:r>
      <w:r>
        <w:rPr>
          <w:spacing w:val="45"/>
        </w:rPr>
        <w:t> </w:t>
      </w:r>
      <w:r>
        <w:rPr/>
        <w:t>the</w:t>
      </w:r>
      <w:r>
        <w:rPr>
          <w:spacing w:val="-50"/>
        </w:rPr>
        <w:t> </w:t>
      </w:r>
      <w:r>
        <w:rPr/>
        <w:t>Bank’s</w:t>
      </w:r>
      <w:r>
        <w:rPr>
          <w:spacing w:val="20"/>
        </w:rPr>
        <w:t> </w:t>
      </w:r>
      <w:r>
        <w:rPr/>
        <w:t>outlook,</w:t>
      </w:r>
      <w:r>
        <w:rPr>
          <w:spacing w:val="21"/>
        </w:rPr>
        <w:t> </w:t>
      </w:r>
      <w:r>
        <w:rPr/>
        <w:t>further</w:t>
      </w:r>
      <w:r>
        <w:rPr>
          <w:spacing w:val="20"/>
        </w:rPr>
        <w:t> </w:t>
      </w:r>
      <w:r>
        <w:rPr/>
        <w:t>monetary</w:t>
      </w:r>
      <w:r>
        <w:rPr>
          <w:spacing w:val="21"/>
        </w:rPr>
        <w:t> </w:t>
      </w:r>
      <w:r>
        <w:rPr/>
        <w:t>stimulus</w:t>
      </w:r>
      <w:r>
        <w:rPr>
          <w:spacing w:val="-50"/>
        </w:rPr>
        <w:t> </w:t>
      </w:r>
      <w:r>
        <w:rPr/>
        <w:t>is</w:t>
      </w:r>
      <w:r>
        <w:rPr>
          <w:spacing w:val="22"/>
        </w:rPr>
        <w:t> </w:t>
      </w:r>
      <w:r>
        <w:rPr/>
        <w:t>likely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required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near</w:t>
      </w:r>
      <w:r>
        <w:rPr>
          <w:spacing w:val="22"/>
        </w:rPr>
        <w:t> </w:t>
      </w:r>
      <w:r>
        <w:rPr/>
        <w:t>term</w:t>
      </w:r>
      <w:r>
        <w:rPr>
          <w:spacing w:val="22"/>
        </w:rPr>
        <w:t> </w:t>
      </w:r>
      <w:r>
        <w:rPr/>
        <w:t>to</w:t>
      </w:r>
      <w:r>
        <w:rPr>
          <w:spacing w:val="-50"/>
        </w:rPr>
        <w:t> </w:t>
      </w:r>
      <w:r>
        <w:rPr/>
        <w:t>keep</w:t>
      </w:r>
      <w:r>
        <w:rPr>
          <w:spacing w:val="10"/>
        </w:rPr>
        <w:t> </w:t>
      </w:r>
      <w:r>
        <w:rPr/>
        <w:t>aggregate</w:t>
      </w:r>
      <w:r>
        <w:rPr>
          <w:spacing w:val="9"/>
        </w:rPr>
        <w:t> </w:t>
      </w:r>
      <w:r>
        <w:rPr/>
        <w:t>supply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demand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bal-</w:t>
      </w:r>
      <w:r>
        <w:rPr>
          <w:spacing w:val="-50"/>
        </w:rPr>
        <w:t> </w:t>
      </w:r>
      <w:r>
        <w:rPr/>
        <w:t>ance</w:t>
      </w:r>
      <w:r>
        <w:rPr>
          <w:spacing w:val="29"/>
        </w:rPr>
        <w:t> </w:t>
      </w:r>
      <w:r>
        <w:rPr/>
        <w:t>and</w:t>
      </w:r>
      <w:r>
        <w:rPr>
          <w:spacing w:val="30"/>
        </w:rPr>
        <w:t> </w:t>
      </w:r>
      <w:r>
        <w:rPr/>
        <w:t>to</w:t>
      </w:r>
      <w:r>
        <w:rPr>
          <w:spacing w:val="29"/>
        </w:rPr>
        <w:t> </w:t>
      </w:r>
      <w:r>
        <w:rPr/>
        <w:t>return</w:t>
      </w:r>
      <w:r>
        <w:rPr>
          <w:spacing w:val="30"/>
        </w:rPr>
        <w:t> </w:t>
      </w:r>
      <w:r>
        <w:rPr/>
        <w:t>inflation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r>
        <w:rPr/>
        <w:t>target</w:t>
      </w:r>
      <w:r>
        <w:rPr>
          <w:spacing w:val="29"/>
        </w:rPr>
        <w:t> </w:t>
      </w:r>
      <w:r>
        <w:rPr/>
        <w:t>over</w:t>
      </w:r>
    </w:p>
    <w:p>
      <w:pPr>
        <w:pStyle w:val="BodyText"/>
        <w:spacing w:line="279" w:lineRule="exact"/>
        <w:ind w:left="1468"/>
        <w:jc w:val="both"/>
      </w:pPr>
      <w:r>
        <w:rPr/>
        <w:t>the</w:t>
      </w:r>
      <w:r>
        <w:rPr>
          <w:spacing w:val="-4"/>
        </w:rPr>
        <w:t> </w:t>
      </w:r>
      <w:r>
        <w:rPr/>
        <w:t>medium</w:t>
      </w:r>
      <w:r>
        <w:rPr>
          <w:spacing w:val="-2"/>
        </w:rPr>
        <w:t> </w:t>
      </w:r>
      <w:r>
        <w:rPr/>
        <w:t>term.</w:t>
      </w:r>
    </w:p>
    <w:p>
      <w:pPr>
        <w:pStyle w:val="Heading1"/>
        <w:spacing w:line="156" w:lineRule="auto" w:before="217"/>
        <w:ind w:left="558" w:right="1007"/>
      </w:pPr>
      <w:r>
        <w:rPr>
          <w:b w:val="0"/>
        </w:rPr>
        <w:br w:type="column"/>
      </w:r>
      <w:bookmarkStart w:name="Recent Economic and Financial Developmen" w:id="3"/>
      <w:bookmarkEnd w:id="3"/>
      <w:r>
        <w:rPr>
          <w:b w:val="0"/>
        </w:rPr>
      </w:r>
      <w:r>
        <w:rPr/>
        <w:t>Recent Economic and Financial</w:t>
      </w:r>
      <w:r>
        <w:rPr>
          <w:spacing w:val="-68"/>
        </w:rPr>
        <w:t> </w:t>
      </w:r>
      <w:r>
        <w:rPr/>
        <w:t>Developments</w:t>
      </w:r>
    </w:p>
    <w:p>
      <w:pPr>
        <w:pStyle w:val="Heading2"/>
        <w:spacing w:before="114"/>
      </w:pPr>
      <w:bookmarkStart w:name="Global Developments" w:id="4"/>
      <w:bookmarkEnd w:id="4"/>
      <w:r>
        <w:rPr>
          <w:b w:val="0"/>
          <w:i w:val="0"/>
        </w:rPr>
      </w:r>
      <w:r>
        <w:rPr/>
        <w:t>Global Developments</w:t>
      </w:r>
    </w:p>
    <w:p>
      <w:pPr>
        <w:pStyle w:val="BodyText"/>
        <w:spacing w:line="187" w:lineRule="auto" w:before="14"/>
        <w:ind w:left="558" w:right="940"/>
        <w:jc w:val="both"/>
      </w:pPr>
      <w:r>
        <w:rPr/>
        <w:t>Global economic growth remained strong</w:t>
      </w:r>
      <w:r>
        <w:rPr>
          <w:spacing w:val="1"/>
        </w:rPr>
        <w:t> </w:t>
      </w:r>
      <w:r>
        <w:rPr/>
        <w:t>through the third quarter of 2007. During</w:t>
      </w:r>
      <w:r>
        <w:rPr>
          <w:spacing w:val="1"/>
        </w:rPr>
        <w:t> </w:t>
      </w:r>
      <w:r>
        <w:rPr/>
        <w:t>the fourth quarter, however, there was a</w:t>
      </w:r>
      <w:r>
        <w:rPr>
          <w:spacing w:val="1"/>
        </w:rPr>
        <w:t> </w:t>
      </w:r>
      <w:r>
        <w:rPr/>
        <w:t>slowing in the global economy, most nota-</w:t>
      </w:r>
      <w:r>
        <w:rPr>
          <w:spacing w:val="1"/>
        </w:rPr>
        <w:t> </w:t>
      </w:r>
      <w:r>
        <w:rPr/>
        <w:t>bly in the United States. The ongoing re-</w:t>
      </w:r>
      <w:r>
        <w:rPr>
          <w:spacing w:val="1"/>
        </w:rPr>
        <w:t> </w:t>
      </w:r>
      <w:r>
        <w:rPr/>
        <w:t>pricing of risk and tightening of credit con-</w:t>
      </w:r>
      <w:r>
        <w:rPr>
          <w:spacing w:val="1"/>
        </w:rPr>
        <w:t> </w:t>
      </w:r>
      <w:r>
        <w:rPr/>
        <w:t>ditions in industrialized countries, largely</w:t>
      </w:r>
      <w:r>
        <w:rPr>
          <w:spacing w:val="1"/>
        </w:rPr>
        <w:t> </w:t>
      </w:r>
      <w:r>
        <w:rPr/>
        <w:t>stemming from problems in the U.S. sub-</w:t>
      </w:r>
      <w:r>
        <w:rPr>
          <w:spacing w:val="1"/>
        </w:rPr>
        <w:t> </w:t>
      </w:r>
      <w:r>
        <w:rPr/>
        <w:t>prime-mortgage market, contributed to the</w:t>
      </w:r>
      <w:r>
        <w:rPr>
          <w:spacing w:val="1"/>
        </w:rPr>
        <w:t> </w:t>
      </w:r>
      <w:r>
        <w:rPr/>
        <w:t>slowdown. Upward pressure on global in-</w:t>
      </w:r>
      <w:r>
        <w:rPr>
          <w:spacing w:val="1"/>
        </w:rPr>
        <w:t> </w:t>
      </w:r>
      <w:r>
        <w:rPr/>
        <w:t>flation continued, exacerbated by large in-</w:t>
      </w:r>
      <w:r>
        <w:rPr>
          <w:spacing w:val="1"/>
        </w:rPr>
        <w:t> </w:t>
      </w:r>
      <w:r>
        <w:rPr/>
        <w:t>creases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prices</w:t>
      </w:r>
      <w:r>
        <w:rPr>
          <w:spacing w:val="5"/>
        </w:rPr>
        <w:t> </w:t>
      </w:r>
      <w:r>
        <w:rPr/>
        <w:t>of</w:t>
      </w:r>
      <w:r>
        <w:rPr>
          <w:spacing w:val="7"/>
        </w:rPr>
        <w:t> </w:t>
      </w:r>
      <w:r>
        <w:rPr/>
        <w:t>energy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food.</w:t>
      </w:r>
    </w:p>
    <w:p>
      <w:pPr>
        <w:pStyle w:val="BodyText"/>
        <w:spacing w:line="239" w:lineRule="exact"/>
        <w:ind w:left="918"/>
        <w:jc w:val="both"/>
      </w:pPr>
      <w:r>
        <w:rPr/>
        <w:t>Economic</w:t>
      </w:r>
      <w:r>
        <w:rPr>
          <w:spacing w:val="20"/>
        </w:rPr>
        <w:t> </w:t>
      </w:r>
      <w:r>
        <w:rPr/>
        <w:t>strength</w:t>
      </w:r>
      <w:r>
        <w:rPr>
          <w:spacing w:val="70"/>
        </w:rPr>
        <w:t> </w:t>
      </w:r>
      <w:r>
        <w:rPr/>
        <w:t>through</w:t>
      </w:r>
      <w:r>
        <w:rPr>
          <w:spacing w:val="71"/>
        </w:rPr>
        <w:t> </w:t>
      </w:r>
      <w:r>
        <w:rPr/>
        <w:t>the</w:t>
      </w:r>
      <w:r>
        <w:rPr>
          <w:spacing w:val="70"/>
        </w:rPr>
        <w:t> </w:t>
      </w:r>
      <w:r>
        <w:rPr/>
        <w:t>third</w:t>
      </w:r>
    </w:p>
    <w:p>
      <w:pPr>
        <w:pStyle w:val="BodyText"/>
        <w:spacing w:line="187" w:lineRule="auto" w:before="16"/>
        <w:ind w:left="558" w:right="937"/>
        <w:jc w:val="both"/>
      </w:pPr>
      <w:r>
        <w:rPr/>
        <w:t>quarter was broadly based across all major</w:t>
      </w:r>
      <w:r>
        <w:rPr>
          <w:spacing w:val="1"/>
        </w:rPr>
        <w:t> </w:t>
      </w:r>
      <w:r>
        <w:rPr/>
        <w:t>regions and was generally greater than ex-</w:t>
      </w:r>
      <w:r>
        <w:rPr>
          <w:spacing w:val="1"/>
        </w:rPr>
        <w:t> </w:t>
      </w:r>
      <w:r>
        <w:rPr/>
        <w:t>pected.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United</w:t>
      </w:r>
      <w:r>
        <w:rPr>
          <w:spacing w:val="1"/>
        </w:rPr>
        <w:t> </w:t>
      </w:r>
      <w:r>
        <w:rPr/>
        <w:t>States,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growth in the third quarter was driven by</w:t>
      </w:r>
      <w:r>
        <w:rPr>
          <w:spacing w:val="1"/>
        </w:rPr>
        <w:t> </w:t>
      </w:r>
      <w:r>
        <w:rPr/>
        <w:t>unexpectedly high business spending and</w:t>
      </w:r>
      <w:r>
        <w:rPr>
          <w:spacing w:val="1"/>
        </w:rPr>
        <w:t> </w:t>
      </w:r>
      <w:r>
        <w:rPr/>
        <w:t>inventory accumulation, and by the rapid</w:t>
      </w:r>
      <w:r>
        <w:rPr>
          <w:spacing w:val="1"/>
        </w:rPr>
        <w:t> </w:t>
      </w:r>
      <w:r>
        <w:rPr/>
        <w:t>expansion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net</w:t>
      </w:r>
      <w:r>
        <w:rPr>
          <w:spacing w:val="1"/>
        </w:rPr>
        <w:t> </w:t>
      </w:r>
      <w:r>
        <w:rPr/>
        <w:t>exports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response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strong global demand and the depreciation</w:t>
      </w:r>
      <w:r>
        <w:rPr>
          <w:spacing w:val="-50"/>
        </w:rPr>
        <w:t> </w:t>
      </w:r>
      <w:r>
        <w:rPr/>
        <w:t>of the U.S. dollar. Available information on</w:t>
      </w:r>
      <w:r>
        <w:rPr>
          <w:spacing w:val="-50"/>
        </w:rPr>
        <w:t> </w:t>
      </w:r>
      <w:r>
        <w:rPr/>
        <w:t>the</w:t>
      </w:r>
      <w:r>
        <w:rPr>
          <w:spacing w:val="1"/>
        </w:rPr>
        <w:t> </w:t>
      </w:r>
      <w:r>
        <w:rPr/>
        <w:t>U.S.</w:t>
      </w:r>
      <w:r>
        <w:rPr>
          <w:spacing w:val="1"/>
        </w:rPr>
        <w:t> </w:t>
      </w:r>
      <w:r>
        <w:rPr/>
        <w:t>economy</w:t>
      </w:r>
      <w:r>
        <w:rPr>
          <w:spacing w:val="1"/>
        </w:rPr>
        <w:t> </w:t>
      </w:r>
      <w:r>
        <w:rPr/>
        <w:t>suggests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slowed in the fourth quarter as a result of</w:t>
      </w:r>
      <w:r>
        <w:rPr>
          <w:spacing w:val="1"/>
        </w:rPr>
        <w:t> </w:t>
      </w:r>
      <w:r>
        <w:rPr/>
        <w:t>the continued weakness in the housing sec-</w:t>
      </w:r>
      <w:r>
        <w:rPr>
          <w:spacing w:val="-50"/>
        </w:rPr>
        <w:t> </w:t>
      </w:r>
      <w:r>
        <w:rPr/>
        <w:t>tor, lower production to reduce inventory</w:t>
      </w:r>
      <w:r>
        <w:rPr>
          <w:spacing w:val="1"/>
        </w:rPr>
        <w:t> </w:t>
      </w:r>
      <w:r>
        <w:rPr/>
        <w:t>levels (particularly in the automobile sec-</w:t>
      </w:r>
      <w:r>
        <w:rPr>
          <w:spacing w:val="1"/>
        </w:rPr>
        <w:t> </w:t>
      </w:r>
      <w:r>
        <w:rPr/>
        <w:t>tor),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adverse</w:t>
      </w:r>
      <w:r>
        <w:rPr>
          <w:spacing w:val="-3"/>
        </w:rPr>
        <w:t> </w:t>
      </w:r>
      <w:r>
        <w:rPr/>
        <w:t>effects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tighter</w:t>
      </w:r>
      <w:r>
        <w:rPr>
          <w:spacing w:val="-3"/>
        </w:rPr>
        <w:t> </w:t>
      </w:r>
      <w:r>
        <w:rPr/>
        <w:t>credit</w:t>
      </w:r>
      <w:r>
        <w:rPr>
          <w:spacing w:val="-50"/>
        </w:rPr>
        <w:t> </w:t>
      </w:r>
      <w:r>
        <w:rPr/>
        <w:t>conditions.</w:t>
      </w:r>
    </w:p>
    <w:p>
      <w:pPr>
        <w:pStyle w:val="BodyText"/>
        <w:spacing w:line="234" w:lineRule="exact"/>
        <w:ind w:left="975"/>
        <w:jc w:val="both"/>
      </w:pPr>
      <w:r>
        <w:rPr/>
        <w:t>With</w:t>
      </w:r>
      <w:r>
        <w:rPr>
          <w:spacing w:val="3"/>
        </w:rPr>
        <w:t> </w:t>
      </w:r>
      <w:r>
        <w:rPr/>
        <w:t>continuing</w:t>
      </w:r>
      <w:r>
        <w:rPr>
          <w:spacing w:val="4"/>
        </w:rPr>
        <w:t> </w:t>
      </w:r>
      <w:r>
        <w:rPr/>
        <w:t>strong</w:t>
      </w:r>
      <w:r>
        <w:rPr>
          <w:spacing w:val="3"/>
        </w:rPr>
        <w:t> </w:t>
      </w:r>
      <w:r>
        <w:rPr/>
        <w:t>global</w:t>
      </w:r>
      <w:r>
        <w:rPr>
          <w:spacing w:val="4"/>
        </w:rPr>
        <w:t> </w:t>
      </w:r>
      <w:r>
        <w:rPr/>
        <w:t>demand</w:t>
      </w:r>
    </w:p>
    <w:p>
      <w:pPr>
        <w:pStyle w:val="BodyText"/>
        <w:spacing w:line="187" w:lineRule="auto" w:before="15"/>
        <w:ind w:left="558" w:right="937"/>
        <w:jc w:val="both"/>
      </w:pPr>
      <w:r>
        <w:rPr/>
        <w:t>for oil and little significant supply adjust-</w:t>
      </w:r>
      <w:r>
        <w:rPr>
          <w:spacing w:val="1"/>
        </w:rPr>
        <w:t> </w:t>
      </w:r>
      <w:r>
        <w:rPr/>
        <w:t>ment, crude oil prices have moved higher.</w:t>
      </w:r>
      <w:r>
        <w:rPr>
          <w:spacing w:val="1"/>
        </w:rPr>
        <w:t> </w:t>
      </w:r>
      <w:r>
        <w:rPr/>
        <w:t>Prices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grains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oilseeds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also</w:t>
      </w:r>
      <w:r>
        <w:rPr>
          <w:spacing w:val="-4"/>
        </w:rPr>
        <w:t> </w:t>
      </w:r>
      <w:r>
        <w:rPr/>
        <w:t>con-</w:t>
      </w:r>
      <w:r>
        <w:rPr>
          <w:spacing w:val="-50"/>
        </w:rPr>
        <w:t> </w:t>
      </w:r>
      <w:r>
        <w:rPr/>
        <w:t>tinued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rise,</w:t>
      </w:r>
      <w:r>
        <w:rPr>
          <w:spacing w:val="-4"/>
        </w:rPr>
        <w:t> </w:t>
      </w:r>
      <w:r>
        <w:rPr/>
        <w:t>reflecting</w:t>
      </w:r>
      <w:r>
        <w:rPr>
          <w:spacing w:val="-5"/>
        </w:rPr>
        <w:t> </w:t>
      </w:r>
      <w:r>
        <w:rPr/>
        <w:t>both</w:t>
      </w:r>
      <w:r>
        <w:rPr>
          <w:spacing w:val="-4"/>
        </w:rPr>
        <w:t> </w:t>
      </w:r>
      <w:r>
        <w:rPr/>
        <w:t>strong</w:t>
      </w:r>
      <w:r>
        <w:rPr>
          <w:spacing w:val="-4"/>
        </w:rPr>
        <w:t> </w:t>
      </w:r>
      <w:r>
        <w:rPr/>
        <w:t>growth</w:t>
      </w:r>
      <w:r>
        <w:rPr>
          <w:spacing w:val="-51"/>
        </w:rPr>
        <w:t> </w:t>
      </w:r>
      <w:r>
        <w:rPr/>
        <w:t>in</w:t>
      </w:r>
      <w:r>
        <w:rPr>
          <w:spacing w:val="-7"/>
        </w:rPr>
        <w:t> </w:t>
      </w:r>
      <w:r>
        <w:rPr/>
        <w:t>demand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major</w:t>
      </w:r>
      <w:r>
        <w:rPr>
          <w:spacing w:val="-7"/>
        </w:rPr>
        <w:t> </w:t>
      </w:r>
      <w:r>
        <w:rPr/>
        <w:t>emerging</w:t>
      </w:r>
      <w:r>
        <w:rPr>
          <w:spacing w:val="-6"/>
        </w:rPr>
        <w:t> </w:t>
      </w:r>
      <w:r>
        <w:rPr/>
        <w:t>economies</w:t>
      </w:r>
      <w:r>
        <w:rPr>
          <w:spacing w:val="-50"/>
        </w:rPr>
        <w:t> </w:t>
      </w:r>
      <w:r>
        <w:rPr/>
        <w:t>and</w:t>
      </w:r>
      <w:r>
        <w:rPr>
          <w:spacing w:val="1"/>
        </w:rPr>
        <w:t> </w:t>
      </w:r>
      <w:r>
        <w:rPr/>
        <w:t>unfavourable</w:t>
      </w:r>
      <w:r>
        <w:rPr>
          <w:spacing w:val="1"/>
        </w:rPr>
        <w:t> </w:t>
      </w:r>
      <w:r>
        <w:rPr/>
        <w:t>supply</w:t>
      </w:r>
      <w:r>
        <w:rPr>
          <w:spacing w:val="1"/>
        </w:rPr>
        <w:t> </w:t>
      </w:r>
      <w:r>
        <w:rPr/>
        <w:t>developments.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commodity</w:t>
      </w:r>
      <w:r>
        <w:rPr>
          <w:spacing w:val="1"/>
        </w:rPr>
        <w:t> </w:t>
      </w:r>
      <w:r>
        <w:rPr/>
        <w:t>prices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remained high.</w:t>
      </w:r>
    </w:p>
    <w:p>
      <w:pPr>
        <w:spacing w:after="0" w:line="187" w:lineRule="auto"/>
        <w:jc w:val="both"/>
        <w:sectPr>
          <w:type w:val="continuous"/>
          <w:pgSz w:w="12240" w:h="15840"/>
          <w:pgMar w:header="661" w:footer="764" w:top="360" w:bottom="280" w:left="260" w:right="860"/>
          <w:cols w:num="2" w:equalWidth="0">
            <w:col w:w="5526" w:space="40"/>
            <w:col w:w="555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661" w:footer="764" w:top="860" w:bottom="960" w:left="260" w:right="860"/>
        </w:sectPr>
      </w:pPr>
    </w:p>
    <w:p>
      <w:pPr>
        <w:pStyle w:val="BodyText"/>
        <w:spacing w:before="13" w:after="1"/>
        <w:rPr>
          <w:sz w:val="13"/>
        </w:rPr>
      </w:pPr>
    </w:p>
    <w:p>
      <w:pPr>
        <w:pStyle w:val="BodyText"/>
        <w:ind w:left="802"/>
        <w:rPr>
          <w:sz w:val="20"/>
        </w:rPr>
      </w:pPr>
      <w:r>
        <w:rPr>
          <w:sz w:val="20"/>
        </w:rPr>
        <w:pict>
          <v:group style="width:233.2pt;height:197.35pt;mso-position-horizontal-relative:char;mso-position-vertical-relative:line" id="docshapegroup8" coordorigin="0,0" coordsize="4664,3947">
            <v:rect style="position:absolute;left:13;top:13;width:4637;height:3920" id="docshape9" filled="false" stroked="true" strokeweight="1.32pt" strokecolor="#b29933">
              <v:stroke dashstyle="solid"/>
            </v:rect>
            <v:rect style="position:absolute;left:363;top:991;width:3960;height:2160" id="docshape10" filled="true" fillcolor="#f4f2e5" stroked="false">
              <v:fill type="solid"/>
            </v:rect>
            <v:shape style="position:absolute;left:3329;top:3022;width:665;height:144" id="docshape11" coordorigin="3329,3023" coordsize="665,144" path="m3994,3023l3994,3167m3660,3023l3660,3167m3329,3023l3329,3167e" filled="false" stroked="true" strokeweight="1.08pt" strokecolor="#ffffff">
              <v:path arrowok="t"/>
              <v:stroke dashstyle="solid"/>
            </v:shape>
            <v:line style="position:absolute" from="3003,3138" to="3003,3151" stroked="true" strokeweight=".36pt" strokecolor="#0000ff">
              <v:stroke dashstyle="solid"/>
            </v:line>
            <v:shape style="position:absolute;left:2004;top:3022;width:665;height:144" id="docshape12" coordorigin="2004,3023" coordsize="665,144" path="m2669,3023l2669,3167m2335,3023l2335,3167m2004,3023l2004,3167e" filled="false" stroked="true" strokeweight="1.08pt" strokecolor="#ffffff">
              <v:path arrowok="t"/>
              <v:stroke dashstyle="solid"/>
            </v:shape>
            <v:line style="position:absolute" from="1678,3138" to="1678,3151" stroked="true" strokeweight=".36pt" strokecolor="#0000ff">
              <v:stroke dashstyle="solid"/>
            </v:line>
            <v:shape style="position:absolute;left:353;top:979;width:3986;height:2188" id="docshape13" coordorigin="353,979" coordsize="3986,2188" path="m1344,3023l1344,3167m1010,3023l1010,3167m680,3023l680,3167m1678,979l1678,3151m3003,979l3003,3151m4339,2881l353,2881m4339,1800l353,1800m4339,1530l353,1530m4339,1260l353,1260m4339,2611l353,2611m4339,2341l353,2341e" filled="false" stroked="true" strokeweight="1.08pt" strokecolor="#ffffff">
              <v:path arrowok="t"/>
              <v:stroke dashstyle="solid"/>
            </v:shape>
            <v:line style="position:absolute" from="374,2071" to="353,2071" stroked="true" strokeweight=".36pt" strokecolor="#0000ff">
              <v:stroke dashstyle="solid"/>
            </v:line>
            <v:shape style="position:absolute;left:680;top:972;width:3314;height:144" id="docshape14" coordorigin="680,973" coordsize="3314,144" path="m3994,973l3994,1117m3660,973l3660,1117m3329,973l3329,1117m2669,973l2669,1117m2335,973l2335,1117m2004,973l2004,1117m1344,973l1344,1117m1010,973l1010,1117m680,973l680,1117e" filled="false" stroked="true" strokeweight="1.08pt" strokecolor="#ffffff">
              <v:path arrowok="t"/>
              <v:stroke dashstyle="solid"/>
            </v:shape>
            <v:shape style="position:absolute;left:388;top:1300;width:38;height:772" id="docshape15" coordorigin="388,1301" coordsize="38,772" path="m388,2072l388,1301m394,1301l394,2072m399,2072l399,1301m404,1301l404,2072m410,2072l410,1301m415,1301l415,2072m420,2072l420,1301m426,1301l426,2072e" filled="false" stroked="true" strokeweight=".36pt" strokecolor="#000000">
              <v:path arrowok="t"/>
              <v:stroke dashstyle="solid"/>
            </v:shape>
            <v:rect style="position:absolute;left:383;top:1300;width:44;height:772" id="docshape16" filled="true" fillcolor="#113d38" stroked="false">
              <v:fill type="solid"/>
            </v:rect>
            <v:shape style="position:absolute;left:715;top:1454;width:38;height:619" id="docshape17" coordorigin="716,1454" coordsize="38,619" path="m716,2072l716,1454m721,1454l721,2072m727,2072l727,1454m732,1454l732,2072m737,2072l737,1454m743,1454l743,2072m748,2072l748,1454m753,1454l753,2072e" filled="false" stroked="true" strokeweight=".36pt" strokecolor="#000000">
              <v:path arrowok="t"/>
              <v:stroke dashstyle="solid"/>
            </v:shape>
            <v:rect style="position:absolute;left:710;top:1454;width:44;height:619" id="docshape18" filled="true" fillcolor="#113d38" stroked="false">
              <v:fill type="solid"/>
            </v:rect>
            <v:shape style="position:absolute;left:1047;top:1482;width:38;height:590" id="docshape19" coordorigin="1047,1482" coordsize="38,590" path="m1047,2072l1047,1482m1052,1482l1052,2072m1057,2072l1057,1482m1063,1482l1063,2072m1068,2072l1068,1482m1074,1482l1074,2072m1079,2072l1079,1482m1084,1482l1084,2072e" filled="false" stroked="true" strokeweight=".36pt" strokecolor="#000000">
              <v:path arrowok="t"/>
              <v:stroke dashstyle="solid"/>
            </v:shape>
            <v:rect style="position:absolute;left:1041;top:1482;width:45;height:590" id="docshape20" filled="true" fillcolor="#113d38" stroked="false">
              <v:fill type="solid"/>
            </v:rect>
            <v:shape style="position:absolute;left:1381;top:1411;width:38;height:662" id="docshape21" coordorigin="1382,1411" coordsize="38,662" path="m1382,2072l1382,1411m1387,1411l1387,2072m1392,2072l1392,1411m1397,1411l1397,2072m1403,2072l1403,1411m1408,1411l1408,2072m1414,2072l1414,1411m1419,1411l1419,2072e" filled="false" stroked="true" strokeweight=".36pt" strokecolor="#000000">
              <v:path arrowok="t"/>
              <v:stroke dashstyle="solid"/>
            </v:shape>
            <v:rect style="position:absolute;left:1376;top:1411;width:45;height:662" id="docshape22" filled="true" fillcolor="#113d38" stroked="false">
              <v:fill type="solid"/>
            </v:rect>
            <v:shape style="position:absolute;left:1714;top:1228;width:38;height:844" id="docshape23" coordorigin="1715,1229" coordsize="38,844" path="m1715,2072l1715,1229m1721,1229l1721,2072m1726,2072l1726,1229m1731,1229l1731,2072m1737,2072l1737,1229m1742,1229l1742,2072m1747,2072l1747,1229m1753,1229l1753,2072e" filled="false" stroked="true" strokeweight=".36pt" strokecolor="#000000">
              <v:path arrowok="t"/>
              <v:stroke dashstyle="solid"/>
            </v:shape>
            <v:rect style="position:absolute;left:1709;top:1228;width:44;height:844" id="docshape24" filled="true" fillcolor="#113d38" stroked="false">
              <v:fill type="solid"/>
            </v:rect>
            <v:shape style="position:absolute;left:2042;top:1594;width:38;height:478" id="docshape25" coordorigin="2043,1595" coordsize="38,478" path="m2043,2072l2043,1595m2048,1595l2048,2072m2053,2072l2053,1595m2059,1595l2059,2072m2064,2072l2064,1595m2070,1595l2070,2072m2075,2072l2075,1595m2080,1595l2080,2072e" filled="false" stroked="true" strokeweight=".36pt" strokecolor="#000000">
              <v:path arrowok="t"/>
              <v:stroke dashstyle="solid"/>
            </v:shape>
            <v:rect style="position:absolute;left:2037;top:1594;width:45;height:478" id="docshape26" filled="true" fillcolor="#113d38" stroked="false">
              <v:fill type="solid"/>
            </v:rect>
            <v:shape style="position:absolute;left:2374;top:1533;width:37;height:540" id="docshape27" coordorigin="2374,1533" coordsize="37,540" path="m2374,2072l2374,1533m2379,1533l2379,2072m2384,2072l2384,1533m2390,1533l2390,2072m2395,2072l2395,1533m2400,1533l2400,2072m2406,2072l2406,1533m2411,1533l2411,2072e" filled="false" stroked="true" strokeweight=".36pt" strokecolor="#000000">
              <v:path arrowok="t"/>
              <v:stroke dashstyle="solid"/>
            </v:shape>
            <v:rect style="position:absolute;left:2368;top:1533;width:45;height:540" id="docshape28" filled="true" fillcolor="#113d38" stroked="false">
              <v:fill type="solid"/>
            </v:rect>
            <v:shape style="position:absolute;left:2708;top:1570;width:38;height:503" id="docshape29" coordorigin="2708,1570" coordsize="38,503" path="m2708,2072l2708,1570m2713,1570l2713,2072m2719,2072l2719,1570m2724,1570l2724,2072m2729,2072l2729,1570m2735,1570l2735,2072m2740,2072l2740,1570m2745,1570l2745,2072e" filled="false" stroked="true" strokeweight=".36pt" strokecolor="#000000">
              <v:path arrowok="t"/>
              <v:stroke dashstyle="solid"/>
            </v:shape>
            <v:rect style="position:absolute;left:2702;top:1570;width:45;height:503" id="docshape30" filled="true" fillcolor="#113d38" stroked="false">
              <v:fill type="solid"/>
            </v:rect>
            <v:shape style="position:absolute;left:3041;top:1692;width:38;height:380" id="docshape31" coordorigin="3042,1693" coordsize="38,380" path="m3042,2072l3042,1693m3047,1693l3047,2072m3052,2072l3052,1693m3058,1693l3058,2072m3063,2072l3063,1693m3069,1693l3069,2072m3074,2072l3074,1693m3079,1693l3079,2072e" filled="false" stroked="true" strokeweight=".36pt" strokecolor="#000000">
              <v:path arrowok="t"/>
              <v:stroke dashstyle="solid"/>
            </v:shape>
            <v:rect style="position:absolute;left:3036;top:1692;width:44;height:380" id="docshape32" filled="true" fillcolor="#113d38" stroked="false">
              <v:fill type="solid"/>
            </v:rect>
            <v:shape style="position:absolute;left:3369;top:1400;width:37;height:672" id="docshape33" coordorigin="3369,1401" coordsize="37,672" path="m3369,2072l3369,1401m3374,1401l3374,2072m3380,2072l3380,1401m3385,1401l3385,2072m3390,2072l3390,1401m3396,1401l3396,2072m3401,2072l3401,1401m3406,1401l3406,2072e" filled="false" stroked="true" strokeweight=".36pt" strokecolor="#000000">
              <v:path arrowok="t"/>
              <v:stroke dashstyle="solid"/>
            </v:shape>
            <v:rect style="position:absolute;left:3363;top:1400;width:45;height:672" id="docshape34" filled="true" fillcolor="#113d38" stroked="false">
              <v:fill type="solid"/>
            </v:rect>
            <v:shape style="position:absolute;left:3700;top:1452;width:38;height:621" id="docshape35" coordorigin="3700,1452" coordsize="38,621" path="m3700,2072l3700,1452m3706,1452l3706,2072m3711,2072l3711,1452m3717,1452l3717,2072m3722,2072l3722,1452m3727,1452l3727,2072m3733,2072l3733,1452m3738,1452l3738,2072e" filled="false" stroked="true" strokeweight=".36pt" strokecolor="#000000">
              <v:path arrowok="t"/>
              <v:stroke dashstyle="solid"/>
            </v:shape>
            <v:rect style="position:absolute;left:3694;top:1452;width:45;height:621" id="docshape36" filled="true" fillcolor="#113d38" stroked="false">
              <v:fill type="solid"/>
            </v:rect>
            <v:shape style="position:absolute;left:432;top:2072;width:38;height:317" id="docshape37" coordorigin="432,2072" coordsize="38,317" path="m432,2389l432,2072m437,2072l437,2389m443,2389l443,2072m448,2072l448,2389m453,2389l453,2072m459,2072l459,2389m464,2389l464,2072m469,2072l469,2389e" filled="false" stroked="true" strokeweight=".36pt" strokecolor="#000000">
              <v:path arrowok="t"/>
              <v:stroke dashstyle="solid"/>
            </v:shape>
            <v:rect style="position:absolute;left:426;top:2072;width:44;height:317" id="docshape38" filled="true" fillcolor="#660000" stroked="false">
              <v:fill type="solid"/>
            </v:rect>
            <v:shape style="position:absolute;left:759;top:1945;width:38;height:128" id="docshape39" coordorigin="760,1945" coordsize="38,128" path="m760,2072l760,1945m765,1945l765,2072m771,2072l771,1945m776,1945l776,2072m781,2072l781,1945m787,1945l787,2072m792,2072l792,1945m798,1945l798,2072e" filled="false" stroked="true" strokeweight=".36pt" strokecolor="#000000">
              <v:path arrowok="t"/>
              <v:stroke dashstyle="solid"/>
            </v:shape>
            <v:rect style="position:absolute;left:754;top:1945;width:44;height:128" id="docshape40" filled="true" fillcolor="#660000" stroked="false">
              <v:fill type="solid"/>
            </v:rect>
            <v:shape style="position:absolute;left:1091;top:2072;width:38;height:42" id="docshape41" coordorigin="1092,2072" coordsize="38,42" path="m1092,2114l1092,2072m1097,2072l1097,2114m1102,2114l1102,2072m1108,2072l1108,2114m1113,2114l1113,2072m1118,2072l1118,2114m1124,2114l1124,2072m1129,2072l1129,2114e" filled="false" stroked="true" strokeweight=".36pt" strokecolor="#000000">
              <v:path arrowok="t"/>
              <v:stroke dashstyle="solid"/>
            </v:shape>
            <v:rect style="position:absolute;left:1085;top:2072;width:46;height:42" id="docshape42" filled="true" fillcolor="#660000" stroked="false">
              <v:fill type="solid"/>
            </v:rect>
            <v:shape style="position:absolute;left:1426;top:2072;width:22;height:120" id="docshape43" coordorigin="1426,2072" coordsize="22,120" path="m1426,2192l1426,2072m1431,2072l1431,2192m1437,2192l1437,2072m1442,2072l1442,2192m1447,2192l1447,2072e" filled="false" stroked="true" strokeweight=".36pt" strokecolor="#000000">
              <v:path arrowok="t"/>
              <v:stroke dashstyle="solid"/>
            </v:shape>
            <v:shape style="position:absolute;left:1452;top:2072;width:2;height:120" id="docshape44" coordorigin="1453,2072" coordsize="0,120" path="m1453,2072l1453,2192e" filled="true" fillcolor="#b29933" stroked="false">
              <v:path arrowok="t"/>
              <v:fill type="solid"/>
            </v:shape>
            <v:line style="position:absolute" from="1453,2072" to="1453,2192" stroked="true" strokeweight=".36pt" strokecolor="#b29933">
              <v:stroke dashstyle="solid"/>
            </v:line>
            <v:shape style="position:absolute;left:1458;top:2072;width:2;height:120" id="docshape45" coordorigin="1458,2072" coordsize="0,120" path="m1458,2072l1458,2192e" filled="true" fillcolor="#b29933" stroked="false">
              <v:path arrowok="t"/>
              <v:fill type="solid"/>
            </v:shape>
            <v:line style="position:absolute" from="1458,2192" to="1458,2072" stroked="true" strokeweight=".36pt" strokecolor="#b29933">
              <v:stroke dashstyle="solid"/>
            </v:line>
            <v:shape style="position:absolute;left:1463;top:2072;width:2;height:120" id="docshape46" coordorigin="1463,2072" coordsize="0,120" path="m1463,2072l1463,2192e" filled="true" fillcolor="#b29933" stroked="false">
              <v:path arrowok="t"/>
              <v:fill type="solid"/>
            </v:shape>
            <v:line style="position:absolute" from="1463,2072" to="1463,2192" stroked="true" strokeweight=".36pt" strokecolor="#b29933">
              <v:stroke dashstyle="solid"/>
            </v:line>
            <v:rect style="position:absolute;left:1420;top:2072;width:45;height:120" id="docshape47" filled="true" fillcolor="#660000" stroked="false">
              <v:fill type="solid"/>
            </v:rect>
            <v:shape style="position:absolute;left:1758;top:2072;width:38;height:246" id="docshape48" coordorigin="1759,2072" coordsize="38,246" path="m1759,2318l1759,2072m1764,2072l1764,2318m1769,2318l1769,2072m1775,2072l1775,2318m1780,2318l1780,2072m1785,2072l1785,2318m1791,2318l1791,2072m1796,2072l1796,2318e" filled="false" stroked="true" strokeweight=".36pt" strokecolor="#000000">
              <v:path arrowok="t"/>
              <v:stroke dashstyle="solid"/>
            </v:shape>
            <v:rect style="position:absolute;left:1753;top:2072;width:44;height:246" id="docshape49" filled="true" fillcolor="#660000" stroked="false">
              <v:fill type="solid"/>
            </v:rect>
            <v:shape style="position:absolute;left:2086;top:2072;width:38;height:511" id="docshape50" coordorigin="2087,2072" coordsize="38,511" path="m2087,2583l2087,2072m2092,2072l2092,2583m2097,2583l2097,2072m2103,2072l2103,2583m2108,2583l2108,2072m2113,2072l2113,2583m2119,2583l2119,2072m2124,2072l2124,2583e" filled="false" stroked="true" strokeweight=".36pt" strokecolor="#000000">
              <v:path arrowok="t"/>
              <v:stroke dashstyle="solid"/>
            </v:shape>
            <v:rect style="position:absolute;left:2081;top:2072;width:45;height:511" id="docshape51" filled="true" fillcolor="#660000" stroked="false">
              <v:fill type="solid"/>
            </v:rect>
            <v:shape style="position:absolute;left:2418;top:2072;width:38;height:152" id="docshape52" coordorigin="2418,2072" coordsize="38,152" path="m2418,2224l2418,2072m2424,2072l2424,2224m2429,2224l2429,2072m2434,2072l2434,2224m2440,2224l2440,2072m2445,2072l2445,2224m2450,2224l2450,2072m2456,2072l2456,2224e" filled="false" stroked="true" strokeweight=".36pt" strokecolor="#000000">
              <v:path arrowok="t"/>
              <v:stroke dashstyle="solid"/>
            </v:shape>
            <v:rect style="position:absolute;left:2412;top:2072;width:45;height:152" id="docshape53" filled="true" fillcolor="#660000" stroked="false">
              <v:fill type="solid"/>
            </v:rect>
            <v:shape style="position:absolute;left:2752;top:1901;width:38;height:172" id="docshape54" coordorigin="2753,1901" coordsize="38,172" path="m2753,2072l2753,1901m2758,1901l2758,2072m2764,2072l2764,1901m2769,1901l2769,2072m2774,2072l2774,1901m2780,1901l2780,2072m2785,2072l2785,1901m2790,1901l2790,2072e" filled="false" stroked="true" strokeweight=".36pt" strokecolor="#000000">
              <v:path arrowok="t"/>
              <v:stroke dashstyle="solid"/>
            </v:shape>
            <v:rect style="position:absolute;left:2747;top:1901;width:45;height:172" id="docshape55" filled="true" fillcolor="#660000" stroked="false">
              <v:fill type="solid"/>
            </v:rect>
            <v:shape style="position:absolute;left:3085;top:2038;width:37;height:35" id="docshape56" coordorigin="3086,2038" coordsize="37,35" path="m3086,2072l3086,2038m3091,2038l3091,2072m3096,2072l3096,2038m3102,2038l3102,2072m3107,2072l3107,2038m3112,2038l3112,2072m3118,2072l3118,2038m3123,2038l3123,2072e" filled="false" stroked="true" strokeweight=".36pt" strokecolor="#000000">
              <v:path arrowok="t"/>
              <v:stroke dashstyle="solid"/>
            </v:shape>
            <v:rect style="position:absolute;left:3079;top:2038;width:44;height:35" id="docshape57" filled="true" fillcolor="#660000" stroked="false">
              <v:fill type="solid"/>
            </v:rect>
            <v:shape style="position:absolute;left:3413;top:2072;width:38;height:188" id="docshape58" coordorigin="3413,2072" coordsize="38,188" path="m3413,2260l3413,2072m3418,2072l3418,2260m3424,2260l3424,2072m3429,2072l3429,2260m3435,2260l3435,2072m3440,2072l3440,2260m3445,2260l3445,2072m3451,2072l3451,2260e" filled="false" stroked="true" strokeweight=".36pt" strokecolor="#000000">
              <v:path arrowok="t"/>
              <v:stroke dashstyle="solid"/>
            </v:shape>
            <v:rect style="position:absolute;left:3408;top:2072;width:44;height:188" id="docshape59" filled="true" fillcolor="#660000" stroked="false">
              <v:fill type="solid"/>
            </v:rect>
            <v:shape style="position:absolute;left:3745;top:2072;width:38;height:654" id="docshape60" coordorigin="3745,2072" coordsize="38,654" path="m3745,2726l3745,2072m3750,2072l3750,2726m3755,2726l3755,2072m3761,2072l3761,2726m3766,2726l3766,2072m3772,2072l3772,2726m3777,2726l3777,2072m3782,2072l3782,2726e" filled="false" stroked="true" strokeweight=".36pt" strokecolor="#000000">
              <v:path arrowok="t"/>
              <v:stroke dashstyle="solid"/>
            </v:shape>
            <v:rect style="position:absolute;left:3739;top:2072;width:45;height:654" id="docshape61" filled="true" fillcolor="#660000" stroked="false">
              <v:fill type="solid"/>
            </v:rect>
            <v:shape style="position:absolute;left:475;top:2072;width:38;height:172" id="docshape62" coordorigin="476,2072" coordsize="38,172" path="m476,2244l476,2072m481,2072l481,2244m486,2244l486,2072m492,2072l492,2244m497,2244l497,2072m502,2072l502,2244m508,2244l508,2072m513,2072l513,2244e" filled="false" stroked="true" strokeweight=".36pt" strokecolor="#000000">
              <v:path arrowok="t"/>
              <v:stroke dashstyle="solid"/>
            </v:shape>
            <v:rect style="position:absolute;left:470;top:2072;width:44;height:172" id="docshape63" filled="true" fillcolor="#b29933" stroked="false">
              <v:fill type="solid"/>
            </v:rect>
            <v:shape style="position:absolute;left:804;top:2072;width:38;height:233" id="docshape64" coordorigin="804,2072" coordsize="38,233" path="m804,2305l804,2072m809,2072l809,2305m815,2305l815,2072m820,2072l820,2305m826,2305l826,2072m831,2072l831,2305m836,2305l836,2072m841,2072l841,2305e" filled="false" stroked="true" strokeweight=".36pt" strokecolor="#000000">
              <v:path arrowok="t"/>
              <v:stroke dashstyle="solid"/>
            </v:shape>
            <v:rect style="position:absolute;left:798;top:2072;width:45;height:233" id="docshape65" filled="true" fillcolor="#b29933" stroked="false">
              <v:fill type="solid"/>
            </v:rect>
            <v:shape style="position:absolute;left:1136;top:2025;width:38;height:48" id="docshape66" coordorigin="1136,2025" coordsize="38,48" path="m1136,2072l1136,2025m1141,2025l1141,2072m1147,2072l1147,2025m1152,2025l1152,2072m1158,2072l1158,2025m1163,2025l1163,2072m1168,2072l1168,2025m1174,2025l1174,2072e" filled="false" stroked="true" strokeweight=".36pt" strokecolor="#000000">
              <v:path arrowok="t"/>
              <v:stroke dashstyle="solid"/>
            </v:shape>
            <v:rect style="position:absolute;left:1131;top:2025;width:45;height:48" id="docshape67" filled="true" fillcolor="#b29933" stroked="false">
              <v:fill type="solid"/>
            </v:rect>
            <v:line style="position:absolute" from="1471,2087" to="1471,2072" stroked="true" strokeweight=".36pt" strokecolor="#b29933">
              <v:stroke dashstyle="solid"/>
            </v:line>
            <v:shape style="position:absolute;left:1475;top:2072;width:2;height:15" id="docshape68" coordorigin="1476,2072" coordsize="0,15" path="m1476,2072l1476,2087e" filled="true" fillcolor="#b29933" stroked="false">
              <v:path arrowok="t"/>
              <v:fill type="solid"/>
            </v:shape>
            <v:line style="position:absolute" from="1476,2072" to="1476,2087" stroked="true" strokeweight=".36pt" strokecolor="#b29933">
              <v:stroke dashstyle="solid"/>
            </v:line>
            <v:shape style="position:absolute;left:1481;top:2072;width:2;height:15" id="docshape69" coordorigin="1481,2072" coordsize="0,15" path="m1481,2072l1481,2087e" filled="true" fillcolor="#b29933" stroked="false">
              <v:path arrowok="t"/>
              <v:fill type="solid"/>
            </v:shape>
            <v:line style="position:absolute" from="1481,2087" to="1481,2072" stroked="true" strokeweight=".36pt" strokecolor="#b29933">
              <v:stroke dashstyle="solid"/>
            </v:line>
            <v:shape style="position:absolute;left:1486;top:2072;width:2;height:15" id="docshape70" coordorigin="1486,2072" coordsize="0,15" path="m1486,2072l1486,2087e" filled="true" fillcolor="#b29933" stroked="false">
              <v:path arrowok="t"/>
              <v:fill type="solid"/>
            </v:shape>
            <v:line style="position:absolute" from="1486,2072" to="1486,2087" stroked="true" strokeweight=".36pt" strokecolor="#b29933">
              <v:stroke dashstyle="solid"/>
            </v:line>
            <v:shape style="position:absolute;left:1492;top:2072;width:2;height:15" id="docshape71" coordorigin="1492,2072" coordsize="0,15" path="m1492,2072l1492,2087e" filled="true" fillcolor="#b29933" stroked="false">
              <v:path arrowok="t"/>
              <v:fill type="solid"/>
            </v:shape>
            <v:line style="position:absolute" from="1492,2087" to="1492,2072" stroked="true" strokeweight=".36pt" strokecolor="#b29933">
              <v:stroke dashstyle="solid"/>
            </v:line>
            <v:shape style="position:absolute;left:1497;top:2072;width:2;height:15" id="docshape72" coordorigin="1497,2072" coordsize="0,15" path="m1497,2072l1497,2087e" filled="true" fillcolor="#b29933" stroked="false">
              <v:path arrowok="t"/>
              <v:fill type="solid"/>
            </v:shape>
            <v:line style="position:absolute" from="1497,2072" to="1497,2087" stroked="true" strokeweight=".36pt" strokecolor="#b29933">
              <v:stroke dashstyle="solid"/>
            </v:line>
            <v:shape style="position:absolute;left:1502;top:2072;width:2;height:15" id="docshape73" coordorigin="1502,2072" coordsize="0,15" path="m1502,2072l1502,2087e" filled="true" fillcolor="#b29933" stroked="false">
              <v:path arrowok="t"/>
              <v:fill type="solid"/>
            </v:shape>
            <v:line style="position:absolute" from="1502,2087" to="1502,2072" stroked="true" strokeweight=".36pt" strokecolor="#b29933">
              <v:stroke dashstyle="solid"/>
            </v:line>
            <v:shape style="position:absolute;left:1508;top:2072;width:2;height:15" id="docshape74" coordorigin="1508,2072" coordsize="0,15" path="m1508,2072l1508,2087e" filled="true" fillcolor="#b29933" stroked="false">
              <v:path arrowok="t"/>
              <v:fill type="solid"/>
            </v:shape>
            <v:line style="position:absolute" from="1508,2072" to="1508,2087" stroked="true" strokeweight=".36pt" strokecolor="#b29933">
              <v:stroke dashstyle="solid"/>
            </v:line>
            <v:rect style="position:absolute;left:1465;top:2072;width:45;height:15" id="docshape75" filled="true" fillcolor="#b29933" stroked="false">
              <v:fill type="solid"/>
            </v:rect>
            <v:shape style="position:absolute;left:1802;top:2072;width:38;height:87" id="docshape76" coordorigin="1802,2072" coordsize="38,87" path="m1802,2159l1802,2072m1807,2072l1807,2159m1813,2159l1813,2072m1818,2072l1818,2159m1823,2159l1823,2072m1829,2072l1829,2159m1834,2159l1834,2072m1840,2072l1840,2159e" filled="false" stroked="true" strokeweight=".36pt" strokecolor="#000000">
              <v:path arrowok="t"/>
              <v:stroke dashstyle="solid"/>
            </v:shape>
            <v:rect style="position:absolute;left:1797;top:2072;width:44;height:87" id="docshape77" filled="true" fillcolor="#b29933" stroked="false">
              <v:fill type="solid"/>
            </v:rect>
            <v:shape style="position:absolute;left:2130;top:1793;width:38;height:279" id="docshape78" coordorigin="2130,1794" coordsize="38,279" path="m2130,2072l2130,1794m2136,1794l2136,2072m2141,2072l2141,1794m2147,1794l2147,2072m2152,2072l2152,1794m2157,1794l2157,2072m2163,2072l2163,1794m2168,1794l2168,2072e" filled="false" stroked="true" strokeweight=".36pt" strokecolor="#000000">
              <v:path arrowok="t"/>
              <v:stroke dashstyle="solid"/>
            </v:shape>
            <v:rect style="position:absolute;left:2125;top:1793;width:44;height:279" id="docshape79" filled="true" fillcolor="#b29933" stroked="false">
              <v:fill type="solid"/>
            </v:rect>
            <v:shape style="position:absolute;left:2462;top:2072;width:38;height:178" id="docshape80" coordorigin="2463,2072" coordsize="38,178" path="m2463,2250l2463,2072m2468,2072l2468,2250m2474,2250l2474,2072m2479,2072l2479,2250m2484,2250l2484,2072m2490,2072l2490,2250m2495,2250l2495,2072m2500,2072l2500,2250e" filled="false" stroked="true" strokeweight=".36pt" strokecolor="#000000">
              <v:path arrowok="t"/>
              <v:stroke dashstyle="solid"/>
            </v:shape>
            <v:rect style="position:absolute;left:2457;top:2072;width:45;height:178" id="docshape81" filled="true" fillcolor="#b29933" stroked="false">
              <v:fill type="solid"/>
            </v:rect>
            <v:shape style="position:absolute;left:2797;top:2072;width:38;height:483" id="docshape82" coordorigin="2797,2072" coordsize="38,483" path="m2797,2555l2797,2072m2802,2072l2802,2555m2808,2555l2808,2072m2813,2072l2813,2555m2819,2555l2819,2072m2824,2072l2824,2555m2829,2555l2829,2072m2835,2072l2835,2555e" filled="false" stroked="true" strokeweight=".36pt" strokecolor="#000000">
              <v:path arrowok="t"/>
              <v:stroke dashstyle="solid"/>
            </v:shape>
            <v:rect style="position:absolute;left:2792;top:2072;width:45;height:483" id="docshape83" filled="true" fillcolor="#b29933" stroked="false">
              <v:fill type="solid"/>
            </v:rect>
            <v:shape style="position:absolute;left:3128;top:1985;width:38;height:87" id="docshape84" coordorigin="3129,1986" coordsize="38,87" path="m3129,2072l3129,1986m3134,1986l3134,2072m3140,2072l3140,1986m3145,1986l3145,2072m3150,2072l3150,1986m3156,1986l3156,2072m3161,2072l3161,1986m3166,1986l3166,2072e" filled="false" stroked="true" strokeweight=".36pt" strokecolor="#000000">
              <v:path arrowok="t"/>
              <v:stroke dashstyle="solid"/>
            </v:shape>
            <v:rect style="position:absolute;left:3123;top:1985;width:44;height:87" id="docshape85" filled="true" fillcolor="#b29933" stroked="false">
              <v:fill type="solid"/>
            </v:rect>
            <v:shape style="position:absolute;left:3457;top:2000;width:38;height:73" id="docshape86" coordorigin="3457,2000" coordsize="38,73" path="m3457,2072l3457,2000m3463,2000l3463,2072m3468,2072l3468,2000m3474,2000l3474,2072m3479,2072l3479,2000m3484,2000l3484,2072m3490,2072l3490,2000m3495,2000l3495,2072e" filled="false" stroked="true" strokeweight=".36pt" strokecolor="#000000">
              <v:path arrowok="t"/>
              <v:stroke dashstyle="solid"/>
            </v:shape>
            <v:rect style="position:absolute;left:3452;top:2000;width:44;height:73" id="docshape87" filled="true" fillcolor="#b29933" stroked="false">
              <v:fill type="solid"/>
            </v:rect>
            <v:shape style="position:absolute;left:3789;top:1683;width:38;height:390" id="docshape88" coordorigin="3789,1683" coordsize="38,390" path="m3789,2072l3789,1683m3795,1683l3795,2072m3800,2072l3800,1683m3805,1683l3805,2072m3811,2072l3811,1683m3816,1683l3816,2072m3822,2072l3822,1683m3827,1683l3827,2072e" filled="false" stroked="true" strokeweight=".36pt" strokecolor="#000000">
              <v:path arrowok="t"/>
              <v:stroke dashstyle="solid"/>
            </v:shape>
            <v:rect style="position:absolute;left:3784;top:1683;width:45;height:390" id="docshape89" filled="true" fillcolor="#b29933" stroked="false">
              <v:fill type="solid"/>
            </v:rect>
            <v:rect style="position:absolute;left:4141;top:1569;width:52;height:504" id="docshape90" filled="true" fillcolor="#ffffff" stroked="false">
              <v:fill type="solid"/>
            </v:rect>
            <v:shape style="position:absolute;left:4141;top:1569;width:52;height:504" type="#_x0000_t75" id="docshape91" stroked="false">
              <v:imagedata r:id="rId9" o:title=""/>
            </v:shape>
            <v:rect style="position:absolute;left:4141;top:1569;width:52;height:504" id="docshape92" filled="false" stroked="true" strokeweight=".36pt" strokecolor="#113d38">
              <v:stroke dashstyle="solid"/>
            </v:rect>
            <v:rect style="position:absolute;left:4193;top:2072;width:52;height:341" id="docshape93" filled="true" fillcolor="#ffffff" stroked="false">
              <v:fill type="solid"/>
            </v:rect>
            <v:shape style="position:absolute;left:4193;top:2072;width:52;height:341" type="#_x0000_t75" id="docshape94" stroked="false">
              <v:imagedata r:id="rId10" o:title=""/>
            </v:shape>
            <v:rect style="position:absolute;left:4193;top:2072;width:52;height:341" id="docshape95" filled="false" stroked="true" strokeweight=".36pt" strokecolor="#660000">
              <v:stroke dashstyle="solid"/>
            </v:rect>
            <v:rect style="position:absolute;left:4244;top:2031;width:53;height:41" id="docshape96" filled="true" fillcolor="#ffffff" stroked="false">
              <v:fill type="solid"/>
            </v:rect>
            <v:shape style="position:absolute;left:4244;top:2031;width:53;height:41" type="#_x0000_t75" id="docshape97" stroked="false">
              <v:imagedata r:id="rId11" o:title=""/>
            </v:shape>
            <v:rect style="position:absolute;left:4244;top:2031;width:53;height:41" id="docshape98" filled="false" stroked="true" strokeweight=".36pt" strokecolor="#b29933">
              <v:stroke dashstyle="solid"/>
            </v:rect>
            <v:shape style="position:absolute;left:350;top:2072;width:3980;height:2" id="docshape99" coordorigin="351,2072" coordsize="3980,0" path="m4330,2072l351,2072e" filled="true" fillcolor="#000000" stroked="false">
              <v:path arrowok="t"/>
              <v:fill type="solid"/>
            </v:shape>
            <v:line style="position:absolute" from="4330,2072" to="351,2072" stroked="true" strokeweight=".36pt" strokecolor="#000000">
              <v:stroke dashstyle="solid"/>
            </v:line>
            <v:shape style="position:absolute;left:330;top:214;width:3779;height:431" type="#_x0000_t202" id="docshape100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6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z w:val="16"/>
                      </w:rPr>
                      <w:t>Chart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16"/>
                      </w:rPr>
                      <w:t>1</w:t>
                    </w:r>
                    <w:r>
                      <w:rPr>
                        <w:rFonts w:ascii="Helvetica"/>
                        <w:b/>
                        <w:color w:val="113D38"/>
                        <w:spacing w:val="30"/>
                        <w:sz w:val="16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16"/>
                      </w:rPr>
                      <w:t>Contribution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16"/>
                      </w:rPr>
                      <w:t>to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16"/>
                      </w:rPr>
                      <w:t>Real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16"/>
                      </w:rPr>
                      <w:t>GDP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16"/>
                      </w:rPr>
                      <w:t>Growth</w:t>
                    </w:r>
                  </w:p>
                  <w:p>
                    <w:pPr>
                      <w:spacing w:line="174" w:lineRule="exact" w:before="73"/>
                      <w:ind w:left="720" w:right="0" w:firstLine="0"/>
                      <w:jc w:val="left"/>
                      <w:rPr>
                        <w:rFonts w:ascii="Helvetica"/>
                        <w:sz w:val="15"/>
                      </w:rPr>
                    </w:pPr>
                    <w:r>
                      <w:rPr>
                        <w:rFonts w:ascii="Helvetica"/>
                        <w:sz w:val="15"/>
                      </w:rPr>
                      <w:t>Percentage</w:t>
                    </w:r>
                    <w:r>
                      <w:rPr>
                        <w:rFonts w:ascii="Helvetica"/>
                        <w:spacing w:val="-2"/>
                        <w:sz w:val="15"/>
                      </w:rPr>
                      <w:t> </w:t>
                    </w:r>
                    <w:r>
                      <w:rPr>
                        <w:rFonts w:ascii="Helvetica"/>
                        <w:sz w:val="15"/>
                      </w:rPr>
                      <w:t>points,</w:t>
                    </w:r>
                    <w:r>
                      <w:rPr>
                        <w:rFonts w:ascii="Helvetica"/>
                        <w:spacing w:val="-1"/>
                        <w:sz w:val="15"/>
                      </w:rPr>
                      <w:t> </w:t>
                    </w:r>
                    <w:r>
                      <w:rPr>
                        <w:rFonts w:ascii="Helvetica"/>
                        <w:sz w:val="15"/>
                      </w:rPr>
                      <w:t>quarterly</w:t>
                    </w:r>
                    <w:r>
                      <w:rPr>
                        <w:rFonts w:ascii="Helvetica"/>
                        <w:spacing w:val="-1"/>
                        <w:sz w:val="15"/>
                      </w:rPr>
                      <w:t> </w:t>
                    </w:r>
                    <w:r>
                      <w:rPr>
                        <w:rFonts w:ascii="Helvetica"/>
                        <w:sz w:val="15"/>
                      </w:rPr>
                      <w:t>at</w:t>
                    </w:r>
                    <w:r>
                      <w:rPr>
                        <w:rFonts w:ascii="Helvetica"/>
                        <w:spacing w:val="-1"/>
                        <w:sz w:val="15"/>
                      </w:rPr>
                      <w:t> </w:t>
                    </w:r>
                    <w:r>
                      <w:rPr>
                        <w:rFonts w:ascii="Helvetica"/>
                        <w:sz w:val="15"/>
                      </w:rPr>
                      <w:t>an</w:t>
                    </w:r>
                    <w:r>
                      <w:rPr>
                        <w:rFonts w:ascii="Helvetica"/>
                        <w:spacing w:val="-1"/>
                        <w:sz w:val="15"/>
                      </w:rPr>
                      <w:t> </w:t>
                    </w:r>
                    <w:r>
                      <w:rPr>
                        <w:rFonts w:ascii="Helvetica"/>
                        <w:sz w:val="15"/>
                      </w:rPr>
                      <w:t>annual</w:t>
                    </w:r>
                    <w:r>
                      <w:rPr>
                        <w:rFonts w:ascii="Helvetica"/>
                        <w:spacing w:val="-1"/>
                        <w:sz w:val="15"/>
                      </w:rPr>
                      <w:t> </w:t>
                    </w:r>
                    <w:r>
                      <w:rPr>
                        <w:rFonts w:ascii="Helvetica"/>
                        <w:sz w:val="15"/>
                      </w:rPr>
                      <w:t>rate</w:t>
                    </w:r>
                  </w:p>
                </w:txbxContent>
              </v:textbox>
              <w10:wrap type="none"/>
            </v:shape>
            <v:shape style="position:absolute;left:217;top:910;width:87;height:135" type="#_x0000_t202" id="docshape101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4450;top:910;width:87;height:135" type="#_x0000_t202" id="docshape1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217;top:1180;width:87;height:135" type="#_x0000_t202" id="docshape103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671;top:1118;width:794;height:255" type="#_x0000_t202" id="docshape104" filled="false" stroked="false">
              <v:textbox inset="0,0,0,0">
                <w:txbxContent>
                  <w:p>
                    <w:pPr>
                      <w:spacing w:line="204" w:lineRule="auto" w:before="11"/>
                      <w:ind w:left="170" w:right="6" w:hanging="170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pacing w:val="-1"/>
                        <w:sz w:val="12"/>
                      </w:rPr>
                      <w:t>Final </w:t>
                    </w:r>
                    <w:r>
                      <w:rPr>
                        <w:rFonts w:ascii="Helvetica"/>
                        <w:sz w:val="12"/>
                      </w:rPr>
                      <w:t>domestic</w:t>
                    </w:r>
                    <w:r>
                      <w:rPr>
                        <w:rFonts w:ascii="Helvetica"/>
                        <w:spacing w:val="-3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demand</w:t>
                    </w:r>
                  </w:p>
                </w:txbxContent>
              </v:textbox>
              <w10:wrap type="none"/>
            </v:shape>
            <v:shape style="position:absolute;left:4450;top:1180;width:87;height:135" type="#_x0000_t202" id="docshape105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177;top:1450;width:4360;height:945" type="#_x0000_t202" id="docshape106" filled="false" stroked="false">
              <v:textbox inset="0,0,0,0">
                <w:txbxContent>
                  <w:p>
                    <w:pPr>
                      <w:tabs>
                        <w:tab w:pos="4272" w:val="left" w:leader="none"/>
                      </w:tabs>
                      <w:spacing w:line="136" w:lineRule="exact" w:before="0"/>
                      <w:ind w:left="39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4</w:t>
                      <w:tab/>
                      <w:t>4</w:t>
                    </w:r>
                  </w:p>
                  <w:p>
                    <w:pPr>
                      <w:spacing w:line="240" w:lineRule="auto" w:before="7"/>
                      <w:rPr>
                        <w:rFonts w:ascii="Helvetica"/>
                        <w:b/>
                        <w:sz w:val="10"/>
                      </w:rPr>
                    </w:pPr>
                  </w:p>
                  <w:p>
                    <w:pPr>
                      <w:tabs>
                        <w:tab w:pos="4272" w:val="left" w:leader="none"/>
                      </w:tabs>
                      <w:spacing w:before="1"/>
                      <w:ind w:left="39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2</w:t>
                      <w:tab/>
                      <w:t>2</w:t>
                    </w:r>
                  </w:p>
                  <w:p>
                    <w:pPr>
                      <w:spacing w:line="240" w:lineRule="auto" w:before="7"/>
                      <w:rPr>
                        <w:rFonts w:ascii="Helvetica"/>
                        <w:b/>
                        <w:sz w:val="10"/>
                      </w:rPr>
                    </w:pPr>
                  </w:p>
                  <w:p>
                    <w:pPr>
                      <w:tabs>
                        <w:tab w:pos="4272" w:val="left" w:leader="none"/>
                      </w:tabs>
                      <w:spacing w:before="1"/>
                      <w:ind w:left="39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0</w:t>
                      <w:tab/>
                      <w:t>0</w:t>
                    </w:r>
                  </w:p>
                  <w:p>
                    <w:pPr>
                      <w:spacing w:line="240" w:lineRule="auto" w:before="7"/>
                      <w:rPr>
                        <w:rFonts w:ascii="Helvetica"/>
                        <w:b/>
                        <w:sz w:val="10"/>
                      </w:rPr>
                    </w:pPr>
                  </w:p>
                  <w:p>
                    <w:pPr>
                      <w:tabs>
                        <w:tab w:pos="4232" w:val="left" w:leader="none"/>
                      </w:tabs>
                      <w:spacing w:line="141" w:lineRule="exact" w:before="1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-2</w:t>
                      <w:tab/>
                      <w:t>-2</w:t>
                    </w:r>
                  </w:p>
                </w:txbxContent>
              </v:textbox>
              <w10:wrap type="none"/>
            </v:shape>
            <v:shape style="position:absolute;left:177;top:2531;width:127;height:135" type="#_x0000_t202" id="docshape107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-4</w:t>
                    </w:r>
                  </w:p>
                </w:txbxContent>
              </v:textbox>
              <w10:wrap type="none"/>
            </v:shape>
            <v:shape style="position:absolute;left:1586;top:2348;width:415;height:255" type="#_x0000_t202" id="docshape108" filled="false" stroked="false">
              <v:textbox inset="0,0,0,0">
                <w:txbxContent>
                  <w:p>
                    <w:pPr>
                      <w:spacing w:line="204" w:lineRule="auto" w:before="11"/>
                      <w:ind w:left="0" w:right="1" w:firstLine="104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z w:val="12"/>
                      </w:rPr>
                      <w:t>Net</w:t>
                    </w:r>
                    <w:r>
                      <w:rPr>
                        <w:rFonts w:ascii="Helvetica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exports</w:t>
                    </w:r>
                  </w:p>
                </w:txbxContent>
              </v:textbox>
              <w10:wrap type="none"/>
            </v:shape>
            <v:shape style="position:absolute;left:4410;top:2531;width:127;height:135" type="#_x0000_t202" id="docshape109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-4</w:t>
                    </w:r>
                  </w:p>
                </w:txbxContent>
              </v:textbox>
              <w10:wrap type="none"/>
            </v:shape>
            <v:shape style="position:absolute;left:177;top:2801;width:127;height:135" type="#_x0000_t202" id="docshape110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-6</w:t>
                    </w:r>
                  </w:p>
                </w:txbxContent>
              </v:textbox>
              <w10:wrap type="none"/>
            </v:shape>
            <v:shape style="position:absolute;left:2535;top:2588;width:595;height:255" type="#_x0000_t202" id="docshape111" filled="false" stroked="false">
              <v:textbox inset="0,0,0,0">
                <w:txbxContent>
                  <w:p>
                    <w:pPr>
                      <w:spacing w:line="204" w:lineRule="auto" w:before="11"/>
                      <w:ind w:left="0" w:right="4" w:firstLine="41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z w:val="12"/>
                      </w:rPr>
                      <w:t>Inventory</w:t>
                    </w:r>
                    <w:r>
                      <w:rPr>
                        <w:rFonts w:ascii="Helvetica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pacing w:val="-1"/>
                        <w:sz w:val="12"/>
                      </w:rPr>
                      <w:t>investment</w:t>
                    </w:r>
                  </w:p>
                </w:txbxContent>
              </v:textbox>
              <w10:wrap type="none"/>
            </v:shape>
            <v:shape style="position:absolute;left:4410;top:2801;width:127;height:135" type="#_x0000_t202" id="docshape11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-6</w:t>
                    </w:r>
                  </w:p>
                </w:txbxContent>
              </v:textbox>
              <w10:wrap type="none"/>
            </v:shape>
            <v:shape style="position:absolute;left:177;top:3071;width:127;height:135" type="#_x0000_t202" id="docshape113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-8</w:t>
                    </w:r>
                  </w:p>
                </w:txbxContent>
              </v:textbox>
              <w10:wrap type="none"/>
            </v:shape>
            <v:shape style="position:absolute;left:4410;top:3071;width:127;height:135" type="#_x0000_t202" id="docshape114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-8</w:t>
                    </w:r>
                  </w:p>
                </w:txbxContent>
              </v:textbox>
              <w10:wrap type="none"/>
            </v:shape>
            <v:shape style="position:absolute;left:372;top:3238;width:3668;height:513" type="#_x0000_t202" id="docshape115" filled="false" stroked="false">
              <v:textbox inset="0,0,0,0">
                <w:txbxContent>
                  <w:p>
                    <w:pPr>
                      <w:tabs>
                        <w:tab w:pos="1850" w:val="left" w:leader="none"/>
                        <w:tab w:pos="3175" w:val="left" w:leader="none"/>
                      </w:tabs>
                      <w:spacing w:line="136" w:lineRule="exact" w:before="0"/>
                      <w:ind w:left="525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2005</w:t>
                      <w:tab/>
                      <w:t>2006</w:t>
                      <w:tab/>
                      <w:t>2007</w:t>
                    </w:r>
                  </w:p>
                  <w:p>
                    <w:pPr>
                      <w:spacing w:before="94"/>
                      <w:ind w:left="343" w:right="17" w:hanging="344"/>
                      <w:jc w:val="left"/>
                      <w:rPr>
                        <w:rFonts w:ascii="Helvetica" w:hAnsi="Helvetica"/>
                        <w:sz w:val="12"/>
                      </w:rPr>
                    </w:pPr>
                    <w:r>
                      <w:rPr>
                        <w:rFonts w:ascii="Helvetica" w:hAnsi="Helvetica"/>
                        <w:sz w:val="12"/>
                      </w:rPr>
                      <w:t>Note:</w:t>
                    </w:r>
                    <w:r>
                      <w:rPr>
                        <w:rFonts w:ascii="Helvetica" w:hAnsi="Helvetica"/>
                        <w:spacing w:val="20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GDP</w:t>
                    </w:r>
                    <w:r>
                      <w:rPr>
                        <w:rFonts w:ascii="Helvetica" w:hAns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estimates</w:t>
                    </w:r>
                    <w:r>
                      <w:rPr>
                        <w:rFonts w:ascii="Helvetica" w:hAns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for</w:t>
                    </w:r>
                    <w:r>
                      <w:rPr>
                        <w:rFonts w:ascii="Helvetica" w:hAns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the</w:t>
                    </w:r>
                    <w:r>
                      <w:rPr>
                        <w:rFonts w:ascii="Helvetica" w:hAns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fourth</w:t>
                    </w:r>
                    <w:r>
                      <w:rPr>
                        <w:rFonts w:ascii="Helvetica" w:hAns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quarter</w:t>
                    </w:r>
                    <w:r>
                      <w:rPr>
                        <w:rFonts w:ascii="Helvetica" w:hAns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of</w:t>
                    </w:r>
                    <w:r>
                      <w:rPr>
                        <w:rFonts w:ascii="Helvetica" w:hAns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2007</w:t>
                    </w:r>
                    <w:r>
                      <w:rPr>
                        <w:rFonts w:ascii="Helvetica" w:hAns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are</w:t>
                    </w:r>
                    <w:r>
                      <w:rPr>
                        <w:rFonts w:ascii="Helvetica" w:hAns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based</w:t>
                    </w:r>
                    <w:r>
                      <w:rPr>
                        <w:rFonts w:ascii="Helvetica" w:hAns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on</w:t>
                    </w:r>
                    <w:r>
                      <w:rPr>
                        <w:rFonts w:ascii="Helvetica" w:hAns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the</w:t>
                    </w:r>
                    <w:r>
                      <w:rPr>
                        <w:rFonts w:ascii="Helvetica" w:hAnsi="Helvetica"/>
                        <w:spacing w:val="-31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Bank’s</w:t>
                    </w:r>
                    <w:r>
                      <w:rPr>
                        <w:rFonts w:ascii="Helvetica" w:hAns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monitoring of current data.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Heading2"/>
        <w:spacing w:before="161"/>
        <w:ind w:left="1468"/>
      </w:pPr>
      <w:bookmarkStart w:name="Canadian Economic Activity" w:id="5"/>
      <w:bookmarkEnd w:id="5"/>
      <w:r>
        <w:rPr>
          <w:b w:val="0"/>
          <w:i w:val="0"/>
        </w:rPr>
      </w:r>
      <w:r>
        <w:rPr/>
        <w:t>Canadian</w:t>
      </w:r>
      <w:r>
        <w:rPr>
          <w:spacing w:val="-9"/>
        </w:rPr>
        <w:t> </w:t>
      </w:r>
      <w:r>
        <w:rPr/>
        <w:t>Economic</w:t>
      </w:r>
      <w:r>
        <w:rPr>
          <w:spacing w:val="-7"/>
        </w:rPr>
        <w:t> </w:t>
      </w:r>
      <w:r>
        <w:rPr/>
        <w:t>Activity</w:t>
      </w:r>
    </w:p>
    <w:p>
      <w:pPr>
        <w:pStyle w:val="BodyText"/>
        <w:spacing w:line="187" w:lineRule="auto" w:before="14"/>
        <w:ind w:left="1468"/>
        <w:jc w:val="both"/>
      </w:pPr>
      <w:r>
        <w:rPr/>
        <w:t>In the second half of 2007, the Canadian</w:t>
      </w:r>
      <w:r>
        <w:rPr>
          <w:spacing w:val="1"/>
        </w:rPr>
        <w:t> </w:t>
      </w:r>
      <w:r>
        <w:rPr/>
        <w:t>economy</w:t>
      </w:r>
      <w:r>
        <w:rPr>
          <w:spacing w:val="1"/>
        </w:rPr>
        <w:t> </w:t>
      </w:r>
      <w:r>
        <w:rPr/>
        <w:t>grew</w:t>
      </w:r>
      <w:r>
        <w:rPr>
          <w:spacing w:val="1"/>
        </w:rPr>
        <w:t> </w:t>
      </w:r>
      <w:r>
        <w:rPr/>
        <w:t>broadly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line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Bank’s</w:t>
      </w:r>
      <w:r>
        <w:rPr>
          <w:spacing w:val="1"/>
        </w:rPr>
        <w:t> </w:t>
      </w:r>
      <w:r>
        <w:rPr/>
        <w:t>expectations.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in</w:t>
      </w:r>
      <w:r>
        <w:rPr>
          <w:spacing w:val="-50"/>
        </w:rPr>
        <w:t> </w:t>
      </w:r>
      <w:r>
        <w:rPr/>
        <w:t>Canada eased in the third quarter, with real</w:t>
      </w:r>
      <w:r>
        <w:rPr>
          <w:spacing w:val="-51"/>
        </w:rPr>
        <w:t> </w:t>
      </w:r>
      <w:r>
        <w:rPr/>
        <w:t>GDP growing at an annual rate of 2.9 per</w:t>
      </w:r>
      <w:r>
        <w:rPr>
          <w:spacing w:val="1"/>
        </w:rPr>
        <w:t> </w:t>
      </w:r>
      <w:r>
        <w:rPr/>
        <w:t>cent, slightly stronger than the 2.5 per cent</w:t>
      </w:r>
      <w:r>
        <w:rPr>
          <w:spacing w:val="1"/>
        </w:rPr>
        <w:t> </w:t>
      </w:r>
      <w:r>
        <w:rPr/>
        <w:t>projected in the October </w:t>
      </w:r>
      <w:r>
        <w:rPr>
          <w:i/>
        </w:rPr>
        <w:t>Report</w:t>
      </w:r>
      <w:r>
        <w:rPr/>
        <w:t>. Inventory</w:t>
      </w:r>
      <w:r>
        <w:rPr>
          <w:spacing w:val="1"/>
        </w:rPr>
        <w:t> </w:t>
      </w:r>
      <w:r>
        <w:rPr/>
        <w:t>investment was higher than expected, con-</w:t>
      </w:r>
      <w:r>
        <w:rPr>
          <w:spacing w:val="1"/>
        </w:rPr>
        <w:t> </w:t>
      </w:r>
      <w:r>
        <w:rPr/>
        <w:t>tributing</w:t>
      </w:r>
      <w:r>
        <w:rPr>
          <w:spacing w:val="1"/>
        </w:rPr>
        <w:t> </w:t>
      </w:r>
      <w:r>
        <w:rPr/>
        <w:t>importantly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growth,</w:t>
      </w:r>
      <w:r>
        <w:rPr>
          <w:spacing w:val="1"/>
        </w:rPr>
        <w:t> </w:t>
      </w:r>
      <w:r>
        <w:rPr/>
        <w:t>and, once again, there was a considerable</w:t>
      </w:r>
      <w:r>
        <w:rPr>
          <w:spacing w:val="1"/>
        </w:rPr>
        <w:t> </w:t>
      </w:r>
      <w:r>
        <w:rPr/>
        <w:t>rise in final domestic demand (Chart 1).</w:t>
      </w:r>
    </w:p>
    <w:p>
      <w:pPr>
        <w:pStyle w:val="BodyText"/>
        <w:spacing w:line="240" w:lineRule="exact"/>
        <w:ind w:left="1828"/>
        <w:jc w:val="both"/>
      </w:pPr>
      <w:r>
        <w:rPr/>
        <w:t>Both</w:t>
      </w:r>
      <w:r>
        <w:rPr>
          <w:spacing w:val="31"/>
        </w:rPr>
        <w:t> </w:t>
      </w:r>
      <w:r>
        <w:rPr/>
        <w:t>business</w:t>
      </w:r>
      <w:r>
        <w:rPr>
          <w:spacing w:val="31"/>
        </w:rPr>
        <w:t> </w:t>
      </w:r>
      <w:r>
        <w:rPr/>
        <w:t>investment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govern-</w:t>
      </w:r>
    </w:p>
    <w:p>
      <w:pPr>
        <w:pStyle w:val="BodyText"/>
        <w:spacing w:line="187" w:lineRule="auto" w:before="15"/>
        <w:ind w:left="1468"/>
        <w:jc w:val="both"/>
      </w:pPr>
      <w:r>
        <w:rPr/>
        <w:t>ment spending on goods and services were</w:t>
      </w:r>
      <w:r>
        <w:rPr>
          <w:spacing w:val="-50"/>
        </w:rPr>
        <w:t> </w:t>
      </w:r>
      <w:r>
        <w:rPr/>
        <w:t>boosted in the third quarter by large pur-</w:t>
      </w:r>
      <w:r>
        <w:rPr>
          <w:spacing w:val="1"/>
        </w:rPr>
        <w:t> </w:t>
      </w:r>
      <w:r>
        <w:rPr/>
        <w:t>chases of machinery and equipment from</w:t>
      </w:r>
      <w:r>
        <w:rPr>
          <w:spacing w:val="1"/>
        </w:rPr>
        <w:t> </w:t>
      </w:r>
      <w:r>
        <w:rPr/>
        <w:t>abroad.</w:t>
      </w:r>
      <w:r>
        <w:rPr>
          <w:spacing w:val="-12"/>
        </w:rPr>
        <w:t> </w:t>
      </w:r>
      <w:r>
        <w:rPr/>
        <w:t>Real</w:t>
      </w:r>
      <w:r>
        <w:rPr>
          <w:spacing w:val="-11"/>
        </w:rPr>
        <w:t> </w:t>
      </w:r>
      <w:r>
        <w:rPr/>
        <w:t>personal</w:t>
      </w:r>
      <w:r>
        <w:rPr>
          <w:spacing w:val="-12"/>
        </w:rPr>
        <w:t> </w:t>
      </w:r>
      <w:r>
        <w:rPr/>
        <w:t>disposable</w:t>
      </w:r>
      <w:r>
        <w:rPr>
          <w:spacing w:val="-12"/>
        </w:rPr>
        <w:t> </w:t>
      </w:r>
      <w:r>
        <w:rPr/>
        <w:t>income</w:t>
      </w:r>
      <w:r>
        <w:rPr>
          <w:spacing w:val="-12"/>
        </w:rPr>
        <w:t> </w:t>
      </w:r>
      <w:r>
        <w:rPr/>
        <w:t>in-</w:t>
      </w:r>
      <w:r>
        <w:rPr>
          <w:spacing w:val="-50"/>
        </w:rPr>
        <w:t> </w:t>
      </w:r>
      <w:r>
        <w:rPr/>
        <w:t>creased</w:t>
      </w:r>
      <w:r>
        <w:rPr>
          <w:spacing w:val="1"/>
        </w:rPr>
        <w:t> </w:t>
      </w:r>
      <w:r>
        <w:rPr/>
        <w:t>moderately,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household</w:t>
      </w:r>
      <w:r>
        <w:rPr>
          <w:spacing w:val="1"/>
        </w:rPr>
        <w:t> </w:t>
      </w:r>
      <w:r>
        <w:rPr/>
        <w:t>net</w:t>
      </w:r>
      <w:r>
        <w:rPr>
          <w:spacing w:val="-50"/>
        </w:rPr>
        <w:t> </w:t>
      </w:r>
      <w:r>
        <w:rPr/>
        <w:t>worth</w:t>
      </w:r>
      <w:r>
        <w:rPr>
          <w:spacing w:val="1"/>
        </w:rPr>
        <w:t> </w:t>
      </w:r>
      <w:r>
        <w:rPr/>
        <w:t>rose</w:t>
      </w:r>
      <w:r>
        <w:rPr>
          <w:spacing w:val="1"/>
        </w:rPr>
        <w:t> </w:t>
      </w:r>
      <w:r>
        <w:rPr/>
        <w:t>further,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household</w:t>
      </w:r>
      <w:r>
        <w:rPr>
          <w:spacing w:val="1"/>
        </w:rPr>
        <w:t> </w:t>
      </w:r>
      <w:r>
        <w:rPr/>
        <w:t>credit</w:t>
      </w:r>
      <w:r>
        <w:rPr>
          <w:spacing w:val="-50"/>
        </w:rPr>
        <w:t> </w:t>
      </w:r>
      <w:r>
        <w:rPr/>
        <w:t>continued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record</w:t>
      </w:r>
      <w:r>
        <w:rPr>
          <w:spacing w:val="1"/>
        </w:rPr>
        <w:t> </w:t>
      </w:r>
      <w:r>
        <w:rPr/>
        <w:t>substantial</w:t>
      </w:r>
      <w:r>
        <w:rPr>
          <w:spacing w:val="1"/>
        </w:rPr>
        <w:t> </w:t>
      </w:r>
      <w:r>
        <w:rPr/>
        <w:t>increases.</w:t>
      </w:r>
      <w:r>
        <w:rPr>
          <w:spacing w:val="-50"/>
        </w:rPr>
        <w:t> </w:t>
      </w:r>
      <w:r>
        <w:rPr/>
        <w:t>As a result, household spending rose solid-</w:t>
      </w:r>
      <w:r>
        <w:rPr>
          <w:spacing w:val="-50"/>
        </w:rPr>
        <w:t> </w:t>
      </w:r>
      <w:r>
        <w:rPr/>
        <w:t>ly, after a very strong gain in the second</w:t>
      </w:r>
      <w:r>
        <w:rPr>
          <w:spacing w:val="1"/>
        </w:rPr>
        <w:t> </w:t>
      </w:r>
      <w:r>
        <w:rPr/>
        <w:t>quarter.</w:t>
      </w:r>
    </w:p>
    <w:p>
      <w:pPr>
        <w:pStyle w:val="BodyText"/>
        <w:spacing w:line="187" w:lineRule="auto"/>
        <w:ind w:left="1468" w:firstLine="360"/>
        <w:jc w:val="both"/>
      </w:pPr>
      <w:r>
        <w:rPr/>
        <w:t>Net exports decreased markedly in the</w:t>
      </w:r>
      <w:r>
        <w:rPr>
          <w:spacing w:val="1"/>
        </w:rPr>
        <w:t> </w:t>
      </w:r>
      <w:r>
        <w:rPr/>
        <w:t>third</w:t>
      </w:r>
      <w:r>
        <w:rPr>
          <w:spacing w:val="1"/>
        </w:rPr>
        <w:t> </w:t>
      </w:r>
      <w:r>
        <w:rPr/>
        <w:t>quarter.</w:t>
      </w:r>
      <w:r>
        <w:rPr>
          <w:spacing w:val="1"/>
        </w:rPr>
        <w:t> </w:t>
      </w:r>
      <w:r>
        <w:rPr/>
        <w:t>Import</w:t>
      </w:r>
      <w:r>
        <w:rPr>
          <w:spacing w:val="1"/>
        </w:rPr>
        <w:t> </w:t>
      </w:r>
      <w:r>
        <w:rPr/>
        <w:t>volumes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substantially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response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strong</w:t>
      </w:r>
      <w:r>
        <w:rPr>
          <w:spacing w:val="-8"/>
        </w:rPr>
        <w:t> </w:t>
      </w:r>
      <w:r>
        <w:rPr/>
        <w:t>domestic</w:t>
      </w:r>
      <w:r>
        <w:rPr>
          <w:spacing w:val="-50"/>
        </w:rPr>
        <w:t> </w:t>
      </w:r>
      <w:r>
        <w:rPr/>
        <w:t>demand and the past appreciation of the</w:t>
      </w:r>
      <w:r>
        <w:rPr>
          <w:spacing w:val="1"/>
        </w:rPr>
        <w:t> </w:t>
      </w:r>
      <w:r>
        <w:rPr/>
        <w:t>Canadian</w:t>
      </w:r>
      <w:r>
        <w:rPr>
          <w:spacing w:val="-4"/>
        </w:rPr>
        <w:t> </w:t>
      </w:r>
      <w:r>
        <w:rPr/>
        <w:t>dollar.</w:t>
      </w:r>
      <w:r>
        <w:rPr>
          <w:spacing w:val="-8"/>
        </w:rPr>
        <w:t> </w:t>
      </w:r>
      <w:r>
        <w:rPr/>
        <w:t>Export</w:t>
      </w:r>
      <w:r>
        <w:rPr>
          <w:spacing w:val="-9"/>
        </w:rPr>
        <w:t> </w:t>
      </w:r>
      <w:r>
        <w:rPr/>
        <w:t>volumes</w:t>
      </w:r>
      <w:r>
        <w:rPr>
          <w:spacing w:val="-9"/>
        </w:rPr>
        <w:t> </w:t>
      </w:r>
      <w:r>
        <w:rPr/>
        <w:t>rose</w:t>
      </w:r>
      <w:r>
        <w:rPr>
          <w:spacing w:val="-8"/>
        </w:rPr>
        <w:t> </w:t>
      </w:r>
      <w:r>
        <w:rPr/>
        <w:t>mod-</w:t>
      </w:r>
      <w:r>
        <w:rPr>
          <w:spacing w:val="-50"/>
        </w:rPr>
        <w:t> </w:t>
      </w:r>
      <w:r>
        <w:rPr/>
        <w:t>estly, however, as the exchange rate appre-</w:t>
      </w:r>
      <w:r>
        <w:rPr>
          <w:spacing w:val="1"/>
        </w:rPr>
        <w:t> </w:t>
      </w:r>
      <w:r>
        <w:rPr/>
        <w:t>ciation</w:t>
      </w:r>
      <w:r>
        <w:rPr>
          <w:spacing w:val="1"/>
        </w:rPr>
        <w:t> </w:t>
      </w:r>
      <w:r>
        <w:rPr/>
        <w:t>moderated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strong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demand</w:t>
      </w:r>
      <w:r>
        <w:rPr>
          <w:spacing w:val="-1"/>
        </w:rPr>
        <w:t> </w:t>
      </w:r>
      <w:r>
        <w:rPr/>
        <w:t>for Canadian</w:t>
      </w:r>
      <w:r>
        <w:rPr>
          <w:spacing w:val="-1"/>
        </w:rPr>
        <w:t> </w:t>
      </w:r>
      <w:r>
        <w:rPr/>
        <w:t>goods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services.</w:t>
      </w:r>
    </w:p>
    <w:p>
      <w:pPr>
        <w:pStyle w:val="BodyText"/>
        <w:spacing w:line="187" w:lineRule="auto" w:before="155"/>
        <w:ind w:left="558" w:right="936" w:firstLine="360"/>
        <w:jc w:val="both"/>
      </w:pPr>
      <w:r>
        <w:rPr/>
        <w:br w:type="column"/>
      </w:r>
      <w:r>
        <w:rPr>
          <w:spacing w:val="-1"/>
        </w:rPr>
        <w:t>Current</w:t>
      </w:r>
      <w:r>
        <w:rPr>
          <w:spacing w:val="-14"/>
        </w:rPr>
        <w:t> </w:t>
      </w:r>
      <w:r>
        <w:rPr/>
        <w:t>data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fourth</w:t>
      </w:r>
      <w:r>
        <w:rPr>
          <w:spacing w:val="-13"/>
        </w:rPr>
        <w:t> </w:t>
      </w:r>
      <w:r>
        <w:rPr/>
        <w:t>quarter</w:t>
      </w:r>
      <w:r>
        <w:rPr>
          <w:spacing w:val="-14"/>
        </w:rPr>
        <w:t> </w:t>
      </w:r>
      <w:r>
        <w:rPr/>
        <w:t>point</w:t>
      </w:r>
      <w:r>
        <w:rPr>
          <w:spacing w:val="-50"/>
        </w:rPr>
        <w:t> </w:t>
      </w:r>
      <w:r>
        <w:rPr/>
        <w:t>to</w:t>
      </w:r>
      <w:r>
        <w:rPr>
          <w:spacing w:val="-7"/>
        </w:rPr>
        <w:t> </w:t>
      </w:r>
      <w:r>
        <w:rPr/>
        <w:t>another</w:t>
      </w:r>
      <w:r>
        <w:rPr>
          <w:spacing w:val="-5"/>
        </w:rPr>
        <w:t> </w:t>
      </w:r>
      <w:r>
        <w:rPr/>
        <w:t>substantial</w:t>
      </w:r>
      <w:r>
        <w:rPr>
          <w:spacing w:val="-5"/>
        </w:rPr>
        <w:t> </w:t>
      </w:r>
      <w:r>
        <w:rPr/>
        <w:t>gain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final</w:t>
      </w:r>
      <w:r>
        <w:rPr>
          <w:spacing w:val="-5"/>
        </w:rPr>
        <w:t> </w:t>
      </w:r>
      <w:r>
        <w:rPr/>
        <w:t>domestic</w:t>
      </w:r>
      <w:r>
        <w:rPr>
          <w:spacing w:val="-50"/>
        </w:rPr>
        <w:t> </w:t>
      </w:r>
      <w:r>
        <w:rPr/>
        <w:t>demand, supported by the rise in real in-</w:t>
      </w:r>
      <w:r>
        <w:rPr>
          <w:spacing w:val="1"/>
        </w:rPr>
        <w:t> </w:t>
      </w:r>
      <w:r>
        <w:rPr/>
        <w:t>comes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boost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terms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trade</w:t>
      </w:r>
      <w:r>
        <w:rPr>
          <w:spacing w:val="-13"/>
        </w:rPr>
        <w:t> </w:t>
      </w:r>
      <w:r>
        <w:rPr/>
        <w:t>that</w:t>
      </w:r>
      <w:r>
        <w:rPr>
          <w:spacing w:val="-50"/>
        </w:rPr>
        <w:t> </w:t>
      </w:r>
      <w:r>
        <w:rPr/>
        <w:t>reflected</w:t>
      </w:r>
      <w:r>
        <w:rPr>
          <w:spacing w:val="53"/>
        </w:rPr>
        <w:t> </w:t>
      </w:r>
      <w:r>
        <w:rPr/>
        <w:t>strong</w:t>
      </w:r>
      <w:r>
        <w:rPr>
          <w:spacing w:val="53"/>
        </w:rPr>
        <w:t> </w:t>
      </w:r>
      <w:r>
        <w:rPr/>
        <w:t>commodity</w:t>
      </w:r>
      <w:r>
        <w:rPr>
          <w:spacing w:val="53"/>
        </w:rPr>
        <w:t> </w:t>
      </w:r>
      <w:r>
        <w:rPr/>
        <w:t>prices</w:t>
      </w:r>
      <w:r>
        <w:rPr>
          <w:spacing w:val="53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appreciation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Canadian</w:t>
      </w:r>
      <w:r>
        <w:rPr>
          <w:spacing w:val="-50"/>
        </w:rPr>
        <w:t> </w:t>
      </w:r>
      <w:r>
        <w:rPr/>
        <w:t>dollar. However, there is likely to be a drag</w:t>
      </w:r>
      <w:r>
        <w:rPr>
          <w:spacing w:val="-50"/>
        </w:rPr>
        <w:t> </w:t>
      </w:r>
      <w:r>
        <w:rPr/>
        <w:t>on GDP growth from net exports. Overall,</w:t>
      </w:r>
      <w:r>
        <w:rPr>
          <w:spacing w:val="1"/>
        </w:rPr>
        <w:t> </w:t>
      </w:r>
      <w:r>
        <w:rPr/>
        <w:t>real</w:t>
      </w:r>
      <w:r>
        <w:rPr>
          <w:spacing w:val="15"/>
        </w:rPr>
        <w:t> </w:t>
      </w:r>
      <w:r>
        <w:rPr/>
        <w:t>GDP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likely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have</w:t>
      </w:r>
      <w:r>
        <w:rPr>
          <w:spacing w:val="15"/>
        </w:rPr>
        <w:t> </w:t>
      </w:r>
      <w:r>
        <w:rPr/>
        <w:t>increased</w:t>
      </w:r>
      <w:r>
        <w:rPr>
          <w:spacing w:val="15"/>
        </w:rPr>
        <w:t> </w:t>
      </w:r>
      <w:r>
        <w:rPr/>
        <w:t>by</w:t>
      </w:r>
    </w:p>
    <w:p>
      <w:pPr>
        <w:pStyle w:val="BodyText"/>
        <w:spacing w:line="282" w:lineRule="exact"/>
        <w:ind w:left="558"/>
        <w:jc w:val="both"/>
      </w:pPr>
      <w:r>
        <w:rPr/>
        <w:pict>
          <v:shape style="position:absolute;margin-left:199.389999pt;margin-top:-60.530346pt;width:34.85pt;height:14.8pt;mso-position-horizontal-relative:page;mso-position-vertical-relative:paragraph;z-index:-16583168" type="#_x0000_t202" id="docshape116" filled="false" stroked="false">
            <v:textbox inset="0,0,0,0">
              <w:txbxContent>
                <w:p>
                  <w:pPr>
                    <w:spacing w:line="208" w:lineRule="auto" w:before="11"/>
                    <w:ind w:left="11" w:right="-8" w:hanging="12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spacing w:val="-1"/>
                      <w:sz w:val="14"/>
                    </w:rPr>
                    <w:t>Output gap*</w:t>
                  </w:r>
                  <w:r>
                    <w:rPr>
                      <w:rFonts w:ascii="Times New Roman"/>
                      <w:spacing w:val="-32"/>
                      <w:sz w:val="14"/>
                    </w:rPr>
                    <w:t> </w:t>
                  </w:r>
                  <w:r>
                    <w:rPr>
                      <w:rFonts w:ascii="Times New Roman"/>
                      <w:sz w:val="14"/>
                    </w:rPr>
                    <w:t>(right scale)</w:t>
                  </w:r>
                </w:p>
              </w:txbxContent>
            </v:textbox>
            <w10:wrap type="none"/>
          </v:shape>
        </w:pict>
      </w:r>
      <w:r>
        <w:rPr/>
        <w:t>1.5</w:t>
      </w:r>
      <w:r>
        <w:rPr>
          <w:spacing w:val="-1"/>
        </w:rPr>
        <w:t> </w:t>
      </w:r>
      <w:r>
        <w:rPr/>
        <w:t>per</w:t>
      </w:r>
      <w:r>
        <w:rPr>
          <w:spacing w:val="-2"/>
        </w:rPr>
        <w:t> </w:t>
      </w:r>
      <w:r>
        <w:rPr/>
        <w:t>cent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fourth</w:t>
      </w:r>
      <w:r>
        <w:rPr>
          <w:spacing w:val="-1"/>
        </w:rPr>
        <w:t> </w:t>
      </w:r>
      <w:r>
        <w:rPr/>
        <w:t>quarter.</w:t>
      </w:r>
    </w:p>
    <w:p>
      <w:pPr>
        <w:pStyle w:val="BodyText"/>
        <w:spacing w:line="187" w:lineRule="auto" w:before="176"/>
        <w:ind w:left="558" w:right="931"/>
      </w:pPr>
      <w:bookmarkStart w:name="Inflation and the 2 Per Cent Target" w:id="6"/>
      <w:bookmarkEnd w:id="6"/>
      <w:r>
        <w:rPr/>
      </w:r>
      <w:r>
        <w:rPr>
          <w:rFonts w:ascii="Palatino-BoldItalic"/>
          <w:b/>
          <w:i/>
          <w:sz w:val="24"/>
        </w:rPr>
        <w:t>Inflation and the 2 Per Cent Target</w:t>
      </w:r>
      <w:r>
        <w:rPr>
          <w:rFonts w:ascii="Palatino-BoldItalic"/>
          <w:b/>
          <w:i/>
          <w:spacing w:val="1"/>
          <w:sz w:val="24"/>
        </w:rPr>
        <w:t> </w:t>
      </w:r>
      <w:r>
        <w:rPr/>
        <w:t>Inflation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October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November</w:t>
      </w:r>
      <w:r>
        <w:rPr>
          <w:spacing w:val="17"/>
        </w:rPr>
        <w:t> </w:t>
      </w:r>
      <w:r>
        <w:rPr/>
        <w:t>was</w:t>
      </w:r>
      <w:r>
        <w:rPr>
          <w:spacing w:val="-50"/>
        </w:rPr>
        <w:t> </w:t>
      </w:r>
      <w:r>
        <w:rPr/>
        <w:t>lower</w:t>
      </w:r>
      <w:r>
        <w:rPr>
          <w:spacing w:val="12"/>
        </w:rPr>
        <w:t> </w:t>
      </w:r>
      <w:r>
        <w:rPr/>
        <w:t>than</w:t>
      </w:r>
      <w:r>
        <w:rPr>
          <w:spacing w:val="12"/>
        </w:rPr>
        <w:t> </w:t>
      </w:r>
      <w:r>
        <w:rPr/>
        <w:t>projected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October</w:t>
      </w:r>
      <w:r>
        <w:rPr>
          <w:spacing w:val="12"/>
        </w:rPr>
        <w:t> </w:t>
      </w:r>
      <w:r>
        <w:rPr>
          <w:i/>
        </w:rPr>
        <w:t>Report</w:t>
      </w:r>
      <w:r>
        <w:rPr/>
        <w:t>.</w:t>
      </w:r>
      <w:r>
        <w:rPr>
          <w:spacing w:val="-50"/>
        </w:rPr>
        <w:t> </w:t>
      </w:r>
      <w:r>
        <w:rPr/>
        <w:t>This</w:t>
      </w:r>
      <w:r>
        <w:rPr>
          <w:spacing w:val="16"/>
        </w:rPr>
        <w:t> </w:t>
      </w:r>
      <w:r>
        <w:rPr/>
        <w:t>appears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largely</w:t>
      </w:r>
      <w:r>
        <w:rPr>
          <w:spacing w:val="18"/>
        </w:rPr>
        <w:t> </w:t>
      </w:r>
      <w:r>
        <w:rPr/>
        <w:t>reflect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price-level</w:t>
      </w:r>
      <w:r>
        <w:rPr>
          <w:spacing w:val="-50"/>
        </w:rPr>
        <w:t> </w:t>
      </w:r>
      <w:r>
        <w:rPr/>
        <w:t>adjustment</w:t>
      </w:r>
      <w:r>
        <w:rPr>
          <w:spacing w:val="-7"/>
        </w:rPr>
        <w:t> </w:t>
      </w:r>
      <w:r>
        <w:rPr/>
        <w:t>related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competitive</w:t>
      </w:r>
      <w:r>
        <w:rPr>
          <w:spacing w:val="-50"/>
        </w:rPr>
        <w:t> </w:t>
      </w:r>
      <w:r>
        <w:rPr/>
        <w:t>pressures</w:t>
      </w:r>
      <w:r>
        <w:rPr>
          <w:spacing w:val="19"/>
        </w:rPr>
        <w:t> </w:t>
      </w:r>
      <w:r>
        <w:rPr/>
        <w:t>stemming</w:t>
      </w:r>
      <w:r>
        <w:rPr>
          <w:spacing w:val="19"/>
        </w:rPr>
        <w:t> </w:t>
      </w:r>
      <w:r>
        <w:rPr/>
        <w:t>from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high</w:t>
      </w:r>
      <w:r>
        <w:rPr>
          <w:spacing w:val="19"/>
        </w:rPr>
        <w:t> </w:t>
      </w:r>
      <w:r>
        <w:rPr/>
        <w:t>level</w:t>
      </w:r>
      <w:r>
        <w:rPr>
          <w:spacing w:val="20"/>
        </w:rPr>
        <w:t> </w:t>
      </w:r>
      <w:r>
        <w:rPr/>
        <w:t>of</w:t>
      </w:r>
      <w:r>
        <w:rPr>
          <w:spacing w:val="-50"/>
        </w:rPr>
        <w:t> </w:t>
      </w:r>
      <w:r>
        <w:rPr/>
        <w:t>the</w:t>
      </w:r>
      <w:r>
        <w:rPr>
          <w:spacing w:val="-2"/>
        </w:rPr>
        <w:t> </w:t>
      </w:r>
      <w:r>
        <w:rPr/>
        <w:t>Canadian dollar.</w:t>
      </w:r>
    </w:p>
    <w:p>
      <w:pPr>
        <w:pStyle w:val="BodyText"/>
        <w:spacing w:line="246" w:lineRule="exact"/>
        <w:ind w:left="918"/>
      </w:pPr>
      <w:r>
        <w:rPr/>
        <w:t>The</w:t>
      </w:r>
      <w:r>
        <w:rPr>
          <w:spacing w:val="101"/>
        </w:rPr>
        <w:t> </w:t>
      </w:r>
      <w:r>
        <w:rPr/>
        <w:t>core</w:t>
      </w:r>
      <w:r>
        <w:rPr>
          <w:spacing w:val="101"/>
        </w:rPr>
        <w:t> </w:t>
      </w:r>
      <w:r>
        <w:rPr/>
        <w:t>rate</w:t>
      </w:r>
      <w:r>
        <w:rPr>
          <w:spacing w:val="101"/>
        </w:rPr>
        <w:t> </w:t>
      </w:r>
      <w:r>
        <w:rPr/>
        <w:t>of</w:t>
      </w:r>
      <w:r>
        <w:rPr>
          <w:spacing w:val="101"/>
        </w:rPr>
        <w:t> </w:t>
      </w:r>
      <w:r>
        <w:rPr/>
        <w:t>inflation</w:t>
      </w:r>
      <w:r>
        <w:rPr>
          <w:spacing w:val="101"/>
        </w:rPr>
        <w:t> </w:t>
      </w:r>
      <w:r>
        <w:rPr/>
        <w:t>averaged</w:t>
      </w:r>
    </w:p>
    <w:p>
      <w:pPr>
        <w:pStyle w:val="BodyText"/>
        <w:spacing w:line="270" w:lineRule="exact"/>
        <w:ind w:left="558"/>
        <w:jc w:val="both"/>
      </w:pPr>
      <w:r>
        <w:rPr/>
        <w:t>1.7</w:t>
      </w:r>
      <w:r>
        <w:rPr>
          <w:spacing w:val="-1"/>
        </w:rPr>
        <w:t> </w:t>
      </w:r>
      <w:r>
        <w:rPr/>
        <w:t>per</w:t>
      </w:r>
      <w:r>
        <w:rPr>
          <w:spacing w:val="90"/>
        </w:rPr>
        <w:t> </w:t>
      </w:r>
      <w:r>
        <w:rPr/>
        <w:t>cent</w:t>
      </w:r>
      <w:r>
        <w:rPr>
          <w:spacing w:val="90"/>
        </w:rPr>
        <w:t> </w:t>
      </w:r>
      <w:r>
        <w:rPr/>
        <w:t>in</w:t>
      </w:r>
      <w:r>
        <w:rPr>
          <w:spacing w:val="90"/>
        </w:rPr>
        <w:t> </w:t>
      </w:r>
      <w:r>
        <w:rPr/>
        <w:t>October</w:t>
      </w:r>
      <w:r>
        <w:rPr>
          <w:spacing w:val="90"/>
        </w:rPr>
        <w:t> </w:t>
      </w:r>
      <w:r>
        <w:rPr/>
        <w:t>and</w:t>
      </w:r>
      <w:r>
        <w:rPr>
          <w:spacing w:val="90"/>
        </w:rPr>
        <w:t> </w:t>
      </w:r>
      <w:r>
        <w:rPr/>
        <w:t>November,</w:t>
      </w:r>
    </w:p>
    <w:p>
      <w:pPr>
        <w:pStyle w:val="ListParagraph"/>
        <w:numPr>
          <w:ilvl w:val="1"/>
          <w:numId w:val="2"/>
        </w:numPr>
        <w:tabs>
          <w:tab w:pos="874" w:val="left" w:leader="none"/>
        </w:tabs>
        <w:spacing w:line="187" w:lineRule="auto" w:before="15" w:after="0"/>
        <w:ind w:left="558" w:right="937" w:firstLine="0"/>
        <w:jc w:val="both"/>
        <w:rPr>
          <w:sz w:val="21"/>
        </w:rPr>
      </w:pPr>
      <w:r>
        <w:rPr/>
        <w:pict>
          <v:group style="position:absolute;margin-left:320.059998pt;margin-top:185.140854pt;width:233.2pt;height:188.15pt;mso-position-horizontal-relative:page;mso-position-vertical-relative:paragraph;z-index:15731200" id="docshapegroup117" coordorigin="6401,3703" coordsize="4664,3763">
            <v:rect style="position:absolute;left:6414;top:3716;width:4637;height:3736" id="docshape118" filled="false" stroked="true" strokeweight="1.32pt" strokecolor="#b29933">
              <v:stroke dashstyle="solid"/>
            </v:rect>
            <v:shape style="position:absolute;left:6718;top:4580;width:4035;height:2129" id="docshape119" coordorigin="6718,4581" coordsize="4035,2129" path="m10752,6290l6718,6290,6718,6710,10752,6710,10752,6290xm10752,4581l6718,4581,6718,5434,10752,5434,10752,4581xe" filled="true" fillcolor="#f4f2e5" stroked="false">
              <v:path arrowok="t"/>
              <v:fill type="solid"/>
            </v:shape>
            <v:shape style="position:absolute;left:6709;top:5434;width:4053;height:856" id="docshape120" coordorigin="6709,5434" coordsize="4053,856" path="m10762,5434l6709,5434,6710,6290,10762,6281,10762,5434xe" filled="true" fillcolor="#e8e0c1" stroked="false">
              <v:path arrowok="t"/>
              <v:fill type="solid"/>
            </v:shape>
            <v:shape style="position:absolute;left:6709;top:4585;width:4053;height:2143" id="docshape121" coordorigin="6709,4586" coordsize="4053,2143" path="m6710,6290l10762,6281,10762,5434,6709,5434,6710,6290xm6973,6585l6973,6729m7226,6585l7226,6729m7482,6585l7482,6729m7737,4586l7737,6713m7987,6585l7987,6729m8239,6585l8239,6729m8493,6585l8493,6729m8749,4586l8749,6713m8999,6585l8999,6729m9251,6585l9251,6729m9507,6585l9507,6729m9762,4586l9762,6713m10015,6585l10015,6729m10267,6585l10267,6729m10521,6585l10521,6729m10755,6288l6719,6288m10755,5434l6719,5434m10755,5007l6719,5007e" filled="false" stroked="true" strokeweight="1.08pt" strokecolor="#ffffff">
              <v:path arrowok="t"/>
              <v:stroke dashstyle="solid"/>
            </v:shape>
            <v:line style="position:absolute" from="6716,5861" to="10749,5861" stroked="true" strokeweight=".36pt" strokecolor="#000000">
              <v:stroke dashstyle="solid"/>
            </v:line>
            <v:shape style="position:absolute;left:10101;top:5463;width:46;height:40" id="docshape122" coordorigin="10102,5464" coordsize="46,40" path="m10102,5464l10124,5503,10147,5464,10124,5464,10102,5464xe" filled="false" stroked="true" strokeweight="1.08pt" strokecolor="#000000">
              <v:path arrowok="t"/>
              <v:stroke dashstyle="solid"/>
            </v:shape>
            <v:shape style="position:absolute;left:10101;top:5463;width:46;height:40" id="docshape123" coordorigin="10102,5464" coordsize="46,40" path="m10147,5464l10102,5464,10124,5503,10147,5464xe" filled="true" fillcolor="#000000" stroked="false">
              <v:path arrowok="t"/>
              <v:fill type="solid"/>
            </v:shape>
            <v:shape style="position:absolute;left:10031;top:5041;width:93;height:413" id="docshape124" coordorigin="10032,5041" coordsize="93,413" path="m10124,5454l10124,5041m10122,5043l10032,5043e" filled="false" stroked="true" strokeweight=".36pt" strokecolor="#000000">
              <v:path arrowok="t"/>
              <v:stroke dashstyle="solid"/>
            </v:shape>
            <v:shape style="position:absolute;left:6975;top:4585;width:3548;height:144" id="docshape125" coordorigin="6976,4586" coordsize="3548,144" path="m6976,4586l6976,4730m7228,4586l7228,4730m7484,4586l7484,4730m7989,4586l7989,4730m8241,4586l8241,4730m8495,4586l8495,4730m9001,4586l9001,4730m9254,4586l9254,4730m9509,4586l9509,4730m10017,4586l10017,4730m10269,4586l10269,4730m10524,4586l10524,4730e" filled="false" stroked="true" strokeweight="1.08pt" strokecolor="#ffffff">
              <v:path arrowok="t"/>
              <v:stroke dashstyle="solid"/>
            </v:shape>
            <v:shape style="position:absolute;left:7233;top:5383;width:46;height:40" id="docshape126" coordorigin="7233,5383" coordsize="46,40" path="m7233,5383l7256,5423,7279,5383,7256,5383,7233,5383xe" filled="false" stroked="true" strokeweight="1.08pt" strokecolor="#000000">
              <v:path arrowok="t"/>
              <v:stroke dashstyle="solid"/>
            </v:shape>
            <v:shape style="position:absolute;left:7233;top:5383;width:46;height:40" id="docshape127" coordorigin="7233,5383" coordsize="46,40" path="m7279,5383l7233,5383,7256,5423,7279,5383xe" filled="true" fillcolor="#000000" stroked="false">
              <v:path arrowok="t"/>
              <v:fill type="solid"/>
            </v:shape>
            <v:line style="position:absolute" from="7256,5373" to="7256,5197" stroked="true" strokeweight=".36pt" strokecolor="#000000">
              <v:stroke dashstyle="solid"/>
            </v:line>
            <v:shape style="position:absolute;left:6758;top:5326;width:3873;height:1098" id="docshape128" coordorigin="6759,5326" coordsize="3873,1098" path="m10631,5660l10547,5696,10462,5620,10378,5937,10292,5741,10208,5579,10124,5542,10039,5537,9955,5491,9873,5603,9791,6001,9706,5758,9621,5878,9537,6079,9453,6200,9368,5598,9282,5513,9198,5672,9114,5509,9029,5669,8945,5787,8863,5782,8781,5534,8696,5819,8611,5862,8527,5614,8443,5326,8358,5610,8272,5857,8188,5980,8104,6020,8019,5685,7935,5724,7853,5845,7771,5927,7686,5843,7601,5717,7517,5756,7433,5967,7348,5965,7263,5754,7178,5670,7094,5712,7009,6045,6925,6424,6842,6423,6759,6169e" filled="false" stroked="true" strokeweight="1.08pt" strokecolor="#b29933">
              <v:path arrowok="t"/>
              <v:stroke dashstyle="solid"/>
            </v:shape>
            <v:shape style="position:absolute;left:8139;top:5783;width:46;height:40" id="docshape129" coordorigin="8139,5784" coordsize="46,40" path="m8139,5784l8162,5823,8185,5784,8162,5784,8139,5784xe" filled="false" stroked="true" strokeweight="1.08pt" strokecolor="#000000">
              <v:path arrowok="t"/>
              <v:stroke dashstyle="solid"/>
            </v:shape>
            <v:shape style="position:absolute;left:8139;top:5783;width:46;height:40" id="docshape130" coordorigin="8139,5784" coordsize="46,40" path="m8185,5784l8139,5784,8162,5823,8185,5784xe" filled="true" fillcolor="#000000" stroked="false">
              <v:path arrowok="t"/>
              <v:fill type="solid"/>
            </v:shape>
            <v:line style="position:absolute" from="8162,5774" to="8162,5353" stroked="true" strokeweight=".36pt" strokecolor="#000000">
              <v:stroke dashstyle="solid"/>
            </v:line>
            <v:shape style="position:absolute;left:6758;top:5634;width:3873;height:577" id="docshape131" coordorigin="6759,5635" coordsize="3873,577" path="m10631,6045l10547,5965,10462,5846,10378,5762,10292,5720,10208,5638,10124,5760,10039,5635,9955,5716,9873,5712,9791,5748,9706,5829,9621,5790,9537,5705,9453,5746,9368,5864,9282,5863,9198,5985,9114,5863,9029,6024,8945,5983,8863,5980,8781,6019,8696,6061,8611,6061,8527,5975,8443,5975,8358,5973,8272,6139,8188,6056,8104,6014,8019,6012,7935,5928,7853,5967,7771,6008,7686,5966,7601,6009,7517,6132,7433,6090,7348,6045,7263,5919,7178,6003,7094,6087,7009,5958,6925,6170,6842,6211,6759,6082e" filled="false" stroked="true" strokeweight="1.08pt" strokecolor="#660000">
              <v:path arrowok="t"/>
              <v:stroke dashstyle="solid"/>
            </v:shape>
            <v:shape style="position:absolute;left:6758;top:5330;width:3873;height:1094" id="docshape132" coordorigin="6759,5330" coordsize="3873,1094" path="m10631,5657l10547,5695,10462,5657,10378,5975,10292,5778,10208,5777,10124,5779,10039,5775,9955,5731,9873,5844,9791,6241,9706,6000,9621,6119,9537,6279,9453,6399,9368,5800,9282,5717,9198,5675,9114,5512,9029,5672,8945,5790,8863,5784,8781,5537,8696,5822,8611,5864,8527,5617,8443,5330,8358,5613,8272,5860,8188,5982,8104,6022,8019,5688,7935,5727,7853,5806,7771,5887,7686,5803,7601,5678,7517,5716,7433,5927,7348,5925,7263,5714,7178,5630,7094,5672,7009,6005,6925,6383,6842,6424,6759,6170e" filled="false" stroked="true" strokeweight="1.08pt" strokecolor="#113d38">
              <v:path arrowok="t"/>
              <v:stroke dashstyle="solid"/>
            </v:shape>
            <v:shape style="position:absolute;left:6556;top:3917;width:4393;height:723" type="#_x0000_t202" id="docshape133" filled="false" stroked="false">
              <v:textbox inset="0,0,0,0">
                <w:txbxContent>
                  <w:p>
                    <w:pPr>
                      <w:spacing w:line="182" w:lineRule="exact" w:before="0"/>
                      <w:ind w:left="174" w:right="0" w:firstLine="0"/>
                      <w:jc w:val="left"/>
                      <w:rPr>
                        <w:rFonts w:ascii="Helvetica"/>
                        <w:b/>
                        <w:sz w:val="16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z w:val="16"/>
                      </w:rPr>
                      <w:t>Chart 2</w:t>
                    </w:r>
                    <w:r>
                      <w:rPr>
                        <w:rFonts w:ascii="Helvetica"/>
                        <w:b/>
                        <w:color w:val="113D38"/>
                        <w:spacing w:val="76"/>
                        <w:sz w:val="16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16"/>
                      </w:rPr>
                      <w:t>Consumer Price Index</w:t>
                    </w:r>
                  </w:p>
                  <w:p>
                    <w:pPr>
                      <w:spacing w:before="73"/>
                      <w:ind w:left="894" w:right="0" w:firstLine="0"/>
                      <w:jc w:val="left"/>
                      <w:rPr>
                        <w:rFonts w:ascii="Helvetica"/>
                        <w:sz w:val="15"/>
                      </w:rPr>
                    </w:pPr>
                    <w:r>
                      <w:rPr>
                        <w:rFonts w:ascii="Helvetica"/>
                        <w:sz w:val="15"/>
                      </w:rPr>
                      <w:t>Year-over-year</w:t>
                    </w:r>
                    <w:r>
                      <w:rPr>
                        <w:rFonts w:ascii="Helvetica"/>
                        <w:spacing w:val="-10"/>
                        <w:sz w:val="15"/>
                      </w:rPr>
                      <w:t> </w:t>
                    </w:r>
                    <w:r>
                      <w:rPr>
                        <w:rFonts w:ascii="Helvetica"/>
                        <w:sz w:val="15"/>
                      </w:rPr>
                      <w:t>percentage</w:t>
                    </w:r>
                    <w:r>
                      <w:rPr>
                        <w:rFonts w:ascii="Helvetica"/>
                        <w:spacing w:val="-10"/>
                        <w:sz w:val="15"/>
                      </w:rPr>
                      <w:t> </w:t>
                    </w:r>
                    <w:r>
                      <w:rPr>
                        <w:rFonts w:ascii="Helvetica"/>
                        <w:sz w:val="15"/>
                      </w:rPr>
                      <w:t>change</w:t>
                    </w:r>
                  </w:p>
                  <w:p>
                    <w:pPr>
                      <w:spacing w:line="240" w:lineRule="auto" w:before="9"/>
                      <w:rPr>
                        <w:rFonts w:ascii="Helvetica"/>
                        <w:sz w:val="12"/>
                      </w:rPr>
                    </w:pPr>
                  </w:p>
                  <w:p>
                    <w:pPr>
                      <w:tabs>
                        <w:tab w:pos="4305" w:val="left" w:leader="none"/>
                      </w:tabs>
                      <w:spacing w:line="141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5</w:t>
                      <w:tab/>
                      <w:t>5</w:t>
                    </w:r>
                  </w:p>
                </w:txbxContent>
              </v:textbox>
              <w10:wrap type="none"/>
            </v:shape>
            <v:shape style="position:absolute;left:6556;top:4927;width:87;height:135" type="#_x0000_t202" id="docshape134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8851;top:4855;width:1131;height:375" type="#_x0000_t202" id="docshape135" filled="false" stroked="false">
              <v:textbox inset="0,0,0,0">
                <w:txbxContent>
                  <w:p>
                    <w:pPr>
                      <w:spacing w:line="204" w:lineRule="auto" w:before="11"/>
                      <w:ind w:left="-1" w:right="18" w:firstLine="0"/>
                      <w:jc w:val="center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z w:val="12"/>
                      </w:rPr>
                      <w:t>Total CPI excluding</w:t>
                    </w:r>
                    <w:r>
                      <w:rPr>
                        <w:rFonts w:ascii="Helvetica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the</w:t>
                    </w:r>
                    <w:r>
                      <w:rPr>
                        <w:rFonts w:ascii="Helvetica"/>
                        <w:spacing w:val="-6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effect</w:t>
                    </w:r>
                    <w:r>
                      <w:rPr>
                        <w:rFonts w:ascii="Helvetica"/>
                        <w:spacing w:val="-6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of</w:t>
                    </w:r>
                    <w:r>
                      <w:rPr>
                        <w:rFonts w:ascii="Helvetica"/>
                        <w:spacing w:val="-6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changes</w:t>
                    </w:r>
                    <w:r>
                      <w:rPr>
                        <w:rFonts w:ascii="Helvetica"/>
                        <w:spacing w:val="-3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in</w:t>
                    </w:r>
                    <w:r>
                      <w:rPr>
                        <w:rFonts w:asci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indirect taxes</w:t>
                    </w:r>
                  </w:p>
                </w:txbxContent>
              </v:textbox>
              <w10:wrap type="none"/>
            </v:shape>
            <v:shape style="position:absolute;left:10861;top:4927;width:87;height:135" type="#_x0000_t202" id="docshape136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6893;top:5038;width:746;height:135" type="#_x0000_t202" id="docshape137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z w:val="12"/>
                      </w:rPr>
                      <w:t>Control</w:t>
                    </w:r>
                    <w:r>
                      <w:rPr>
                        <w:rFonts w:ascii="Helvetica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range</w:t>
                    </w:r>
                  </w:p>
                </w:txbxContent>
              </v:textbox>
              <w10:wrap type="none"/>
            </v:shape>
            <v:shape style="position:absolute;left:7999;top:5177;width:353;height:135" type="#_x0000_t202" id="docshape138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pacing w:val="-1"/>
                        <w:sz w:val="12"/>
                      </w:rPr>
                      <w:t>Target</w:t>
                    </w:r>
                  </w:p>
                </w:txbxContent>
              </v:textbox>
              <w10:wrap type="none"/>
            </v:shape>
            <v:shape style="position:absolute;left:6556;top:5361;width:87;height:135" type="#_x0000_t202" id="docshape139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0861;top:5361;width:87;height:135" type="#_x0000_t202" id="docshape140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6556;top:5782;width:87;height:135" type="#_x0000_t202" id="docshape141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0861;top:5782;width:87;height:135" type="#_x0000_t202" id="docshape14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392;top:6096;width:561;height:135" type="#_x0000_t202" id="docshape143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z w:val="12"/>
                      </w:rPr>
                      <w:t>Core CPI*</w:t>
                    </w:r>
                  </w:p>
                </w:txbxContent>
              </v:textbox>
              <w10:wrap type="none"/>
            </v:shape>
            <v:shape style="position:absolute;left:6556;top:6203;width:87;height:135" type="#_x0000_t202" id="docshape144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0861;top:6203;width:87;height:135" type="#_x0000_t202" id="docshape145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551;top:6329;width:506;height:135" type="#_x0000_t202" id="docshape146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pacing w:val="-1"/>
                        <w:sz w:val="12"/>
                      </w:rPr>
                      <w:t>Total</w:t>
                    </w:r>
                    <w:r>
                      <w:rPr>
                        <w:rFonts w:ascii="Helvetica"/>
                        <w:spacing w:val="-7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CPI</w:t>
                    </w:r>
                  </w:p>
                </w:txbxContent>
              </v:textbox>
              <w10:wrap type="none"/>
            </v:shape>
            <v:shape style="position:absolute;left:6556;top:6624;width:87;height:135" type="#_x0000_t202" id="docshape147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0861;top:6624;width:87;height:135" type="#_x0000_t202" id="docshape148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718;top:6796;width:3803;height:513" type="#_x0000_t202" id="docshape149" filled="false" stroked="false">
              <v:textbox inset="0,0,0,0">
                <w:txbxContent>
                  <w:p>
                    <w:pPr>
                      <w:tabs>
                        <w:tab w:pos="1378" w:val="left" w:leader="none"/>
                        <w:tab w:pos="2397" w:val="left" w:leader="none"/>
                        <w:tab w:pos="3407" w:val="left" w:leader="none"/>
                      </w:tabs>
                      <w:spacing w:line="136" w:lineRule="exact" w:before="0"/>
                      <w:ind w:left="366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2004</w:t>
                      <w:tab/>
                      <w:t>2005</w:t>
                      <w:tab/>
                      <w:t>2006</w:t>
                      <w:tab/>
                      <w:t>2007</w:t>
                    </w:r>
                  </w:p>
                  <w:p>
                    <w:pPr>
                      <w:spacing w:before="94"/>
                      <w:ind w:left="143" w:right="0" w:hanging="144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z w:val="12"/>
                      </w:rPr>
                      <w:t>*</w:t>
                    </w:r>
                    <w:r>
                      <w:rPr>
                        <w:rFonts w:ascii="Helvetica"/>
                        <w:spacing w:val="26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CPI</w:t>
                    </w:r>
                    <w:r>
                      <w:rPr>
                        <w:rFonts w:ascii="Helvetica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excluding</w:t>
                    </w:r>
                    <w:r>
                      <w:rPr>
                        <w:rFonts w:ascii="Helvetica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eight</w:t>
                    </w:r>
                    <w:r>
                      <w:rPr>
                        <w:rFonts w:ascii="Helvetica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of</w:t>
                    </w:r>
                    <w:r>
                      <w:rPr>
                        <w:rFonts w:ascii="Helvetica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the</w:t>
                    </w:r>
                    <w:r>
                      <w:rPr>
                        <w:rFonts w:ascii="Helvetica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most</w:t>
                    </w:r>
                    <w:r>
                      <w:rPr>
                        <w:rFonts w:ascii="Helvetica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volatile</w:t>
                    </w:r>
                    <w:r>
                      <w:rPr>
                        <w:rFonts w:asci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components</w:t>
                    </w:r>
                    <w:r>
                      <w:rPr>
                        <w:rFonts w:ascii="Helvetica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and</w:t>
                    </w:r>
                    <w:r>
                      <w:rPr>
                        <w:rFonts w:ascii="Helvetica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the</w:t>
                    </w:r>
                    <w:r>
                      <w:rPr>
                        <w:rFonts w:ascii="Helvetica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effect</w:t>
                    </w:r>
                    <w:r>
                      <w:rPr>
                        <w:rFonts w:ascii="Helvetica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of</w:t>
                    </w:r>
                    <w:r>
                      <w:rPr>
                        <w:rFonts w:ascii="Helvetica"/>
                        <w:spacing w:val="-3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changes</w:t>
                    </w:r>
                    <w:r>
                      <w:rPr>
                        <w:rFonts w:asci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in indirect</w:t>
                    </w:r>
                    <w:r>
                      <w:rPr>
                        <w:rFonts w:asci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taxes on the remaining components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1"/>
        </w:rPr>
        <w:t>percentage points lower than projected</w:t>
      </w:r>
      <w:r>
        <w:rPr>
          <w:spacing w:val="1"/>
          <w:sz w:val="21"/>
        </w:rPr>
        <w:t> </w:t>
      </w:r>
      <w:r>
        <w:rPr>
          <w:sz w:val="21"/>
        </w:rPr>
        <w:t>for the fourth quarter in the October </w:t>
      </w:r>
      <w:r>
        <w:rPr>
          <w:i/>
          <w:sz w:val="21"/>
        </w:rPr>
        <w:t>Report</w:t>
      </w:r>
      <w:r>
        <w:rPr>
          <w:i/>
          <w:spacing w:val="1"/>
          <w:sz w:val="21"/>
        </w:rPr>
        <w:t> </w:t>
      </w:r>
      <w:r>
        <w:rPr>
          <w:sz w:val="21"/>
        </w:rPr>
        <w:t>(Chart 2). It appears that the Canadian dol-</w:t>
      </w:r>
      <w:r>
        <w:rPr>
          <w:spacing w:val="1"/>
          <w:sz w:val="21"/>
        </w:rPr>
        <w:t> </w:t>
      </w:r>
      <w:r>
        <w:rPr>
          <w:sz w:val="21"/>
        </w:rPr>
        <w:t>lar’s rise to close to parity with the U.S. dol-</w:t>
      </w:r>
      <w:r>
        <w:rPr>
          <w:spacing w:val="-51"/>
          <w:sz w:val="21"/>
        </w:rPr>
        <w:t> </w:t>
      </w:r>
      <w:r>
        <w:rPr>
          <w:sz w:val="21"/>
        </w:rPr>
        <w:t>lar</w:t>
      </w:r>
      <w:r>
        <w:rPr>
          <w:spacing w:val="1"/>
          <w:sz w:val="21"/>
        </w:rPr>
        <w:t> </w:t>
      </w:r>
      <w:r>
        <w:rPr>
          <w:sz w:val="21"/>
        </w:rPr>
        <w:t>raised</w:t>
      </w:r>
      <w:r>
        <w:rPr>
          <w:spacing w:val="1"/>
          <w:sz w:val="21"/>
        </w:rPr>
        <w:t> </w:t>
      </w:r>
      <w:r>
        <w:rPr>
          <w:sz w:val="21"/>
        </w:rPr>
        <w:t>consumers’</w:t>
      </w:r>
      <w:r>
        <w:rPr>
          <w:spacing w:val="1"/>
          <w:sz w:val="21"/>
        </w:rPr>
        <w:t> </w:t>
      </w:r>
      <w:r>
        <w:rPr>
          <w:sz w:val="21"/>
        </w:rPr>
        <w:t>awareness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considerable differences between Canadian</w:t>
      </w:r>
      <w:r>
        <w:rPr>
          <w:spacing w:val="-50"/>
          <w:sz w:val="21"/>
        </w:rPr>
        <w:t> </w:t>
      </w:r>
      <w:r>
        <w:rPr>
          <w:sz w:val="21"/>
        </w:rPr>
        <w:t>and U.S. prices and led to a greater-than-</w:t>
      </w:r>
      <w:r>
        <w:rPr>
          <w:spacing w:val="1"/>
          <w:sz w:val="21"/>
        </w:rPr>
        <w:t> </w:t>
      </w:r>
      <w:r>
        <w:rPr>
          <w:spacing w:val="-1"/>
          <w:sz w:val="21"/>
        </w:rPr>
        <w:t>projected</w:t>
      </w:r>
      <w:r>
        <w:rPr>
          <w:spacing w:val="-11"/>
          <w:sz w:val="21"/>
        </w:rPr>
        <w:t> </w:t>
      </w:r>
      <w:r>
        <w:rPr>
          <w:spacing w:val="-1"/>
          <w:sz w:val="21"/>
        </w:rPr>
        <w:t>downward</w:t>
      </w:r>
      <w:r>
        <w:rPr>
          <w:spacing w:val="-11"/>
          <w:sz w:val="21"/>
        </w:rPr>
        <w:t> </w:t>
      </w:r>
      <w:r>
        <w:rPr>
          <w:sz w:val="21"/>
        </w:rPr>
        <w:t>adjustment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pric-</w:t>
      </w:r>
      <w:r>
        <w:rPr>
          <w:spacing w:val="-51"/>
          <w:sz w:val="21"/>
        </w:rPr>
        <w:t> </w:t>
      </w:r>
      <w:r>
        <w:rPr>
          <w:sz w:val="21"/>
        </w:rPr>
        <w:t>es of some goods, particularly automobiles.</w:t>
      </w:r>
      <w:r>
        <w:rPr>
          <w:spacing w:val="-50"/>
          <w:sz w:val="21"/>
        </w:rPr>
        <w:t> </w:t>
      </w:r>
      <w:r>
        <w:rPr>
          <w:sz w:val="21"/>
        </w:rPr>
        <w:t>Additionally, increases in meat prices were</w:t>
      </w:r>
      <w:r>
        <w:rPr>
          <w:spacing w:val="1"/>
          <w:sz w:val="21"/>
        </w:rPr>
        <w:t> </w:t>
      </w:r>
      <w:r>
        <w:rPr>
          <w:sz w:val="21"/>
        </w:rPr>
        <w:t>lower than expected, driven by increased</w:t>
      </w:r>
      <w:r>
        <w:rPr>
          <w:spacing w:val="1"/>
          <w:sz w:val="21"/>
        </w:rPr>
        <w:t> </w:t>
      </w:r>
      <w:r>
        <w:rPr>
          <w:sz w:val="21"/>
        </w:rPr>
        <w:t>supply. The prices of core services also rose</w:t>
      </w:r>
      <w:r>
        <w:rPr>
          <w:spacing w:val="-50"/>
          <w:sz w:val="21"/>
        </w:rPr>
        <w:t> </w:t>
      </w:r>
      <w:r>
        <w:rPr>
          <w:sz w:val="21"/>
        </w:rPr>
        <w:t>somewhat</w:t>
      </w:r>
      <w:r>
        <w:rPr>
          <w:spacing w:val="-1"/>
          <w:sz w:val="21"/>
        </w:rPr>
        <w:t> </w:t>
      </w:r>
      <w:r>
        <w:rPr>
          <w:sz w:val="21"/>
        </w:rPr>
        <w:t>less than</w:t>
      </w:r>
      <w:r>
        <w:rPr>
          <w:spacing w:val="-1"/>
          <w:sz w:val="21"/>
        </w:rPr>
        <w:t> </w:t>
      </w:r>
      <w:r>
        <w:rPr>
          <w:sz w:val="21"/>
        </w:rPr>
        <w:t>expected.</w:t>
      </w:r>
    </w:p>
    <w:p>
      <w:pPr>
        <w:spacing w:after="0" w:line="187" w:lineRule="auto"/>
        <w:jc w:val="both"/>
        <w:rPr>
          <w:sz w:val="21"/>
        </w:rPr>
        <w:sectPr>
          <w:type w:val="continuous"/>
          <w:pgSz w:w="12240" w:h="15840"/>
          <w:pgMar w:header="661" w:footer="764" w:top="360" w:bottom="280" w:left="260" w:right="860"/>
          <w:cols w:num="2" w:equalWidth="0">
            <w:col w:w="5526" w:space="40"/>
            <w:col w:w="555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661" w:footer="764" w:top="860" w:bottom="960" w:left="260" w:right="860"/>
        </w:sectPr>
      </w:pPr>
    </w:p>
    <w:p>
      <w:pPr>
        <w:pStyle w:val="BodyText"/>
        <w:spacing w:before="11"/>
        <w:rPr>
          <w:sz w:val="13"/>
        </w:rPr>
      </w:pPr>
    </w:p>
    <w:p>
      <w:pPr>
        <w:pStyle w:val="BodyText"/>
        <w:ind w:left="841" w:right="-15"/>
        <w:rPr>
          <w:sz w:val="20"/>
        </w:rPr>
      </w:pPr>
      <w:r>
        <w:rPr>
          <w:sz w:val="20"/>
        </w:rPr>
        <w:pict>
          <v:group style="width:233.2pt;height:200.6pt;mso-position-horizontal-relative:char;mso-position-vertical-relative:line" id="docshapegroup150" coordorigin="0,0" coordsize="4664,4012">
            <v:rect style="position:absolute;left:13;top:13;width:4637;height:3985" id="docshape151" filled="false" stroked="true" strokeweight="1.32pt" strokecolor="#b29933">
              <v:stroke dashstyle="solid"/>
            </v:rect>
            <v:rect style="position:absolute;left:363;top:991;width:3960;height:1944" id="docshape152" filled="true" fillcolor="#f4f2e5" stroked="false">
              <v:fill type="solid"/>
            </v:rect>
            <v:shape style="position:absolute;left:1105;top:974;width:3020;height:1970" id="docshape153" coordorigin="1105,975" coordsize="3020,1970" path="m4125,1959l4125,2944m3371,1959l3371,2944m2616,1959l2616,2944m1860,1959l1860,2944m1105,1959l1105,2944m1105,975l1105,2944m1860,975l1860,2944m2616,975l2616,2944m3371,975l3371,2944m4125,975l4125,2944e" filled="false" stroked="true" strokeweight="1.08pt" strokecolor="#ffffff">
              <v:path arrowok="t"/>
              <v:stroke dashstyle="solid"/>
            </v:shape>
            <v:line style="position:absolute" from="359,2608" to="359,2629" stroked="true" strokeweight="1.03pt" strokecolor="#ffffff">
              <v:stroke dashstyle="solid"/>
            </v:line>
            <v:shape style="position:absolute;left:518;top:2618;width:2877;height:2" id="docshape154" coordorigin="519,2618" coordsize="2877,0" path="m519,2618l556,2618m707,2618l745,2618m898,2618l935,2618m1088,2618l1126,2618m1276,2618l1314,2618m1465,2618l1503,2618m1655,2618l1694,2618m1846,2618l1883,2618m2033,2618l2070,2618m2221,2618l2259,2618m2411,2618l2450,2618m2602,2618l2640,2618m2789,2618l2826,2618m2977,2618l3015,2618m3168,2618l3205,2618m3358,2618l3396,2618e" filled="false" stroked="true" strokeweight="1.03pt" strokecolor="#ffffff">
              <v:path arrowok="t"/>
              <v:stroke dashstyle="solid"/>
            </v:shape>
            <v:shape style="position:absolute;left:3544;top:2618;width:785;height:2" id="docshape155" coordorigin="3545,2618" coordsize="785,0" path="m3545,2618l3582,2618m3733,2618l3771,2618m3924,2618l3961,2618m4114,2618l4330,2618e" filled="false" stroked="true" strokeweight="1.08pt" strokecolor="#ffffff">
              <v:path arrowok="t"/>
              <v:stroke dashstyle="solid"/>
            </v:shape>
            <v:line style="position:absolute" from="359,2281" to="359,2303" stroked="true" strokeweight="1.03pt" strokecolor="#ffffff">
              <v:stroke dashstyle="solid"/>
            </v:line>
            <v:shape style="position:absolute;left:518;top:2292;width:2877;height:2" id="docshape156" coordorigin="519,2292" coordsize="2877,0" path="m519,2292l556,2292m707,2292l745,2292m898,2292l935,2292m1088,2292l1126,2292m1276,2292l1314,2292m1465,2292l1503,2292m1655,2292l1694,2292m1846,2292l1883,2292m2033,2292l2070,2292m2221,2292l2259,2292m2411,2292l2450,2292m2602,2292l2640,2292m2789,2292l2826,2292m2977,2292l3015,2292m3168,2292l3205,2292m3358,2292l3396,2292e" filled="false" stroked="true" strokeweight="1.03pt" strokecolor="#ffffff">
              <v:path arrowok="t"/>
              <v:stroke dashstyle="solid"/>
            </v:shape>
            <v:shape style="position:absolute;left:3544;top:2292;width:785;height:2" id="docshape157" coordorigin="3545,2292" coordsize="785,0" path="m3545,2292l3582,2292m3733,2292l3771,2292m3924,2292l3961,2292m4114,2292l4330,2292e" filled="false" stroked="true" strokeweight="1.08pt" strokecolor="#ffffff">
              <v:path arrowok="t"/>
              <v:stroke dashstyle="solid"/>
            </v:shape>
            <v:shape style="position:absolute;left:349;top:1634;width:3981;height:11" id="docshape158" coordorigin="349,1635" coordsize="3981,11" path="m349,1646l3582,1646m3733,1646l3771,1646m3924,1646l3961,1646m4114,1646l4330,1646m349,1635l3582,1635m3733,1635l3771,1635m3924,1635l3961,1635m4114,1635l4330,1635e" filled="false" stroked="true" strokeweight=".48pt" strokecolor="#ffffff">
              <v:path arrowok="t"/>
              <v:stroke dashstyle="solid"/>
            </v:shape>
            <v:shape style="position:absolute;left:349;top:1308;width:3981;height:11" id="docshape159" coordorigin="349,1308" coordsize="3981,11" path="m349,1319l4330,1319m349,1308l4330,1308e" filled="false" stroked="true" strokeweight=".51pt" strokecolor="#ffffff">
              <v:path arrowok="t"/>
              <v:stroke dashstyle="solid"/>
            </v:shape>
            <v:shape style="position:absolute;left:537;top:967;width:3397;height:144" id="docshape160" coordorigin="538,967" coordsize="3397,144" path="m3934,967l3934,1111m3744,967l3744,1111m3556,967l3556,1111m3180,967l3180,1111m2990,967l2990,1111m2802,967l2802,1111m2426,967l2426,1111m2236,967l2236,1111m2048,967l2048,1111m1670,967l1670,1111m1480,967l1480,1111m1292,967l1292,1111m916,967l916,1111m726,967l726,1111m538,967l538,1111e" filled="false" stroked="true" strokeweight="1.08pt" strokecolor="#ffffff">
              <v:path arrowok="t"/>
              <v:stroke dashstyle="solid"/>
            </v:shape>
            <v:shape style="position:absolute;left:2689;top:1473;width:46;height:40" id="docshape161" coordorigin="2690,1473" coordsize="46,40" path="m2690,1473l2712,1512,2735,1473,2712,1473,2690,1473xe" filled="false" stroked="true" strokeweight="1.08pt" strokecolor="#000000">
              <v:path arrowok="t"/>
              <v:stroke dashstyle="solid"/>
            </v:shape>
            <v:shape style="position:absolute;left:2689;top:1473;width:46;height:40" id="docshape162" coordorigin="2690,1473" coordsize="46,40" path="m2735,1473l2690,1473,2712,1512,2735,1473xe" filled="true" fillcolor="#000000" stroked="false">
              <v:path arrowok="t"/>
              <v:fill type="solid"/>
            </v:shape>
            <v:shape style="position:absolute;left:2712;top:1254;width:56;height:209" id="docshape163" coordorigin="2712,1255" coordsize="56,209" path="m2712,1463l2712,1255m2714,1256l2768,1256e" filled="false" stroked="true" strokeweight=".36pt" strokecolor="#000000">
              <v:path arrowok="t"/>
              <v:stroke dashstyle="solid"/>
            </v:shape>
            <v:shape style="position:absolute;left:1353;top:1699;width:46;height:40" id="docshape164" coordorigin="1354,1699" coordsize="46,40" path="m1354,1699l1376,1738,1399,1699,1376,1699,1354,1699xe" filled="false" stroked="true" strokeweight="1.08pt" strokecolor="#000000">
              <v:path arrowok="t"/>
              <v:stroke dashstyle="solid"/>
            </v:shape>
            <v:shape style="position:absolute;left:1353;top:1699;width:46;height:40" id="docshape165" coordorigin="1354,1699" coordsize="46,40" path="m1399,1699l1354,1699,1376,1738,1399,1699xe" filled="true" fillcolor="#000000" stroked="false">
              <v:path arrowok="t"/>
              <v:fill type="solid"/>
            </v:shape>
            <v:line style="position:absolute" from="1376,1689" to="1376,1575" stroked="true" strokeweight=".36pt" strokecolor="#000000">
              <v:stroke dashstyle="solid"/>
            </v:line>
            <v:shape style="position:absolute;left:543;top:2807;width:3397;height:144" id="docshape166" coordorigin="543,2807" coordsize="3397,144" path="m3940,2807l3940,2951m3750,2807l3750,2951m3562,2807l3562,2951m3186,2807l3186,2951m2996,2807l2996,2951m2808,2807l2808,2951m2431,2807l2431,2951m2242,2807l2242,2951m2053,2807l2053,2951m1676,2807l1676,2951m1486,2807l1486,2951m1297,2807l1297,2951m921,2807l921,2951m731,2807l731,2951m543,2807l543,2951e" filled="false" stroked="true" strokeweight="1.08pt" strokecolor="#ffffff">
              <v:path arrowok="t"/>
              <v:stroke dashstyle="solid"/>
            </v:shape>
            <v:shape style="position:absolute;left:369;top:1314;width:3745;height:1635" id="docshape167" coordorigin="370,1314" coordsize="3745,1635" path="m519,1935l370,1935,370,2948,519,2948,519,1935xm707,1935l556,1935,556,2948,707,2948,707,1935xm898,2131l745,2131,745,2948,898,2948,898,2131xm1088,2033l935,2033,935,2948,1088,2948,1088,2033xm1276,2262l1126,2262,1126,2948,1276,2948,1276,2262xm1465,1772l1314,1772,1314,2948,1465,2948,1465,1772xm1655,1870l1503,1870,1503,2948,1655,2948,1655,1870xm1846,1804l1694,1804,1694,2948,1846,2948,1846,1804xm2033,2066l1883,2066,1883,2948,2033,2948,2033,2066xm2221,1870l2070,1870,2070,2948,2221,2948,2221,1870xm2411,1788l2259,1788,2259,2948,2411,2948,2411,1788xm2602,1654l2450,1654,2450,2948,2602,2948,2602,1654xm2789,1817l2640,1817,2640,2948,2789,2948,2789,1817xm2977,1719l2826,1719,2826,2948,2977,2948,2977,1719xm3168,1752l3015,1752,3015,2948,3168,2948,3168,1752xm3358,1657l3205,1657,3205,2948,3358,2948,3358,1657xm3545,1641l3396,1641,3396,2948,3545,2948,3545,1641xm3733,1477l3582,1477,3582,2948,3733,2948,3733,1477xm3924,1510l3771,1510,3771,2948,3924,2948,3924,1510xm4114,1314l3961,1314,3961,2948,4114,2948,4114,1314xe" filled="true" fillcolor="#b29933" stroked="false">
              <v:path arrowok="t"/>
              <v:fill type="solid"/>
            </v:shape>
            <v:line style="position:absolute" from="4330,1966" to="349,1966" stroked="true" strokeweight=".6pt" strokecolor="#4d6d69">
              <v:stroke dashstyle="solid"/>
            </v:line>
            <v:shape style="position:absolute;left:435;top:1552;width:3604;height:711" id="docshape168" coordorigin="435,1553" coordsize="3604,711" path="m4039,1759l3847,1670,3657,1687,3470,1781,3280,1853,3089,1755,2899,1644,2711,1553,2522,1624,2331,1680,2141,1788,1953,1853,1764,1798,1573,1789,1383,1926,1194,2122,1004,2159,813,2264,623,2184,435,1962e" filled="false" stroked="true" strokeweight="1.56pt" strokecolor="#660000">
              <v:path arrowok="t"/>
              <v:stroke dashstyle="solid"/>
            </v:shape>
            <v:line style="position:absolute" from="359,2944" to="4331,2944" stroked="true" strokeweight=".6pt" strokecolor="#000000">
              <v:stroke dashstyle="solid"/>
            </v:line>
            <v:shape style="position:absolute;left:139;top:214;width:4401;height:825" type="#_x0000_t202" id="docshape169" filled="false" stroked="false">
              <v:textbox inset="0,0,0,0">
                <w:txbxContent>
                  <w:p>
                    <w:pPr>
                      <w:spacing w:line="225" w:lineRule="auto" w:before="0"/>
                      <w:ind w:left="910" w:right="0" w:hanging="720"/>
                      <w:jc w:val="left"/>
                      <w:rPr>
                        <w:rFonts w:ascii="Helvetica"/>
                        <w:b/>
                        <w:sz w:val="16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z w:val="16"/>
                      </w:rPr>
                      <w:t>Chart 3</w:t>
                    </w:r>
                    <w:r>
                      <w:rPr>
                        <w:rFonts w:ascii="Helvetica"/>
                        <w:b/>
                        <w:color w:val="113D38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16"/>
                      </w:rPr>
                      <w:t>Estimated Output Gap and the Response to</w:t>
                    </w:r>
                    <w:r>
                      <w:rPr>
                        <w:rFonts w:ascii="Helvetica"/>
                        <w:b/>
                        <w:color w:val="113D38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16"/>
                      </w:rPr>
                      <w:t>Business Outlook Survey Question on</w:t>
                    </w:r>
                    <w:r>
                      <w:rPr>
                        <w:rFonts w:ascii="Helvetica"/>
                        <w:b/>
                        <w:color w:val="113D38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16"/>
                      </w:rPr>
                      <w:t>Capacity Pressures</w:t>
                    </w:r>
                  </w:p>
                  <w:p>
                    <w:pPr>
                      <w:tabs>
                        <w:tab w:pos="4274" w:val="left" w:leader="none"/>
                      </w:tabs>
                      <w:spacing w:line="98" w:lineRule="exact" w:before="0"/>
                      <w:ind w:left="14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%</w:t>
                      <w:tab/>
                      <w:t>%</w:t>
                    </w:r>
                  </w:p>
                  <w:p>
                    <w:pPr>
                      <w:tabs>
                        <w:tab w:pos="4305" w:val="left" w:leader="none"/>
                      </w:tabs>
                      <w:spacing w:line="141" w:lineRule="exact" w:before="48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70</w:t>
                      <w:tab/>
                      <w:t>3</w:t>
                    </w:r>
                  </w:p>
                </w:txbxContent>
              </v:textbox>
              <w10:wrap type="none"/>
            </v:shape>
            <v:shape style="position:absolute;left:139;top:1231;width:154;height:135" type="#_x0000_t202" id="docshape170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60</w:t>
                    </w:r>
                  </w:p>
                </w:txbxContent>
              </v:textbox>
              <w10:wrap type="none"/>
            </v:shape>
            <v:shape style="position:absolute;left:823;top:1180;width:1114;height:375" type="#_x0000_t202" id="docshape171" filled="false" stroked="false">
              <v:textbox inset="0,0,0,0">
                <w:txbxContent>
                  <w:p>
                    <w:pPr>
                      <w:spacing w:line="204" w:lineRule="auto" w:before="11"/>
                      <w:ind w:left="0" w:right="18" w:firstLine="0"/>
                      <w:jc w:val="center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z w:val="12"/>
                      </w:rPr>
                      <w:t>Some</w:t>
                    </w:r>
                    <w:r>
                      <w:rPr>
                        <w:rFonts w:ascii="Helvetica"/>
                        <w:spacing w:val="33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and</w:t>
                    </w:r>
                    <w:r>
                      <w:rPr>
                        <w:rFonts w:ascii="Helvetica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pacing w:val="-1"/>
                        <w:sz w:val="12"/>
                      </w:rPr>
                      <w:t>significant </w:t>
                    </w:r>
                    <w:r>
                      <w:rPr>
                        <w:rFonts w:ascii="Helvetica"/>
                        <w:sz w:val="12"/>
                      </w:rPr>
                      <w:t>difficulty**</w:t>
                    </w:r>
                    <w:r>
                      <w:rPr>
                        <w:rFonts w:ascii="Helvetica"/>
                        <w:spacing w:val="-3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(left scale)</w:t>
                    </w:r>
                  </w:p>
                </w:txbxContent>
              </v:textbox>
              <w10:wrap type="none"/>
            </v:shape>
            <v:shape style="position:absolute;left:2801;top:1112;width:661;height:255" type="#_x0000_t202" id="docshape172" filled="false" stroked="false">
              <v:textbox inset="0,0,0,0">
                <w:txbxContent>
                  <w:p>
                    <w:pPr>
                      <w:spacing w:line="204" w:lineRule="auto" w:before="11"/>
                      <w:ind w:left="6" w:right="0" w:hanging="6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z w:val="12"/>
                      </w:rPr>
                      <w:t>Output gap*</w:t>
                    </w:r>
                    <w:r>
                      <w:rPr>
                        <w:rFonts w:ascii="Helvetica"/>
                        <w:spacing w:val="-32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(right</w:t>
                    </w:r>
                    <w:r>
                      <w:rPr>
                        <w:rFonts w:ascii="Helvetica"/>
                        <w:spacing w:val="-7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scale)</w:t>
                    </w:r>
                  </w:p>
                </w:txbxContent>
              </v:textbox>
              <w10:wrap type="none"/>
            </v:shape>
            <v:shape style="position:absolute;left:4444;top:1231;width:87;height:135" type="#_x0000_t202" id="docshape173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39;top:1557;width:4393;height:135" type="#_x0000_t202" id="docshape174" filled="false" stroked="false">
              <v:textbox inset="0,0,0,0">
                <w:txbxContent>
                  <w:p>
                    <w:pPr>
                      <w:tabs>
                        <w:tab w:pos="4305" w:val="left" w:leader="none"/>
                      </w:tabs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50</w:t>
                      <w:tab/>
                      <w:t>1</w:t>
                    </w:r>
                  </w:p>
                </w:txbxContent>
              </v:textbox>
              <w10:wrap type="none"/>
            </v:shape>
            <v:shape style="position:absolute;left:139;top:1883;width:154;height:135" type="#_x0000_t202" id="docshape175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40</w:t>
                    </w:r>
                  </w:p>
                </w:txbxContent>
              </v:textbox>
              <w10:wrap type="none"/>
            </v:shape>
            <v:shape style="position:absolute;left:4444;top:1883;width:87;height:135" type="#_x0000_t202" id="docshape176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39;top:2210;width:154;height:135" type="#_x0000_t202" id="docshape177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30</w:t>
                    </w:r>
                  </w:p>
                </w:txbxContent>
              </v:textbox>
              <w10:wrap type="none"/>
            </v:shape>
            <v:shape style="position:absolute;left:4404;top:2210;width:127;height:135" type="#_x0000_t202" id="docshape178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-1</w:t>
                    </w:r>
                  </w:p>
                </w:txbxContent>
              </v:textbox>
              <w10:wrap type="none"/>
            </v:shape>
            <v:shape style="position:absolute;left:139;top:2536;width:154;height:135" type="#_x0000_t202" id="docshape179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4404;top:2536;width:127;height:135" type="#_x0000_t202" id="docshape180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-2</w:t>
                    </w:r>
                  </w:p>
                </w:txbxContent>
              </v:textbox>
              <w10:wrap type="none"/>
            </v:shape>
            <v:shape style="position:absolute;left:139;top:2862;width:154;height:135" type="#_x0000_t202" id="docshape181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4404;top:2862;width:127;height:135" type="#_x0000_t202" id="docshape18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-3</w:t>
                    </w:r>
                  </w:p>
                </w:txbxContent>
              </v:textbox>
              <w10:wrap type="none"/>
            </v:shape>
            <v:shape style="position:absolute;left:402;top:2994;width:4011;height:917" type="#_x0000_t202" id="docshape183" filled="false" stroked="false">
              <v:textbox inset="0,0,0,0">
                <w:txbxContent>
                  <w:p>
                    <w:pPr>
                      <w:tabs>
                        <w:tab w:pos="940" w:val="left" w:leader="none"/>
                        <w:tab w:pos="1703" w:val="left" w:leader="none"/>
                        <w:tab w:pos="2456" w:val="left" w:leader="none"/>
                        <w:tab w:pos="3213" w:val="left" w:leader="none"/>
                      </w:tabs>
                      <w:spacing w:line="136" w:lineRule="exact" w:before="0"/>
                      <w:ind w:left="191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2003</w:t>
                      <w:tab/>
                      <w:t>2004</w:t>
                      <w:tab/>
                      <w:t>2005</w:t>
                      <w:tab/>
                      <w:t>2006</w:t>
                      <w:tab/>
                      <w:t>2007</w:t>
                    </w:r>
                  </w:p>
                  <w:p>
                    <w:pPr>
                      <w:spacing w:before="80"/>
                      <w:ind w:left="177" w:right="166" w:hanging="178"/>
                      <w:jc w:val="both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z w:val="12"/>
                      </w:rPr>
                      <w:t>* Difference between actual output and estimated potential output. The</w:t>
                    </w:r>
                    <w:r>
                      <w:rPr>
                        <w:rFonts w:ascii="Helvetica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estimate for the fourth quarter of 2007 is based on a projected rise in</w:t>
                    </w:r>
                    <w:r>
                      <w:rPr>
                        <w:rFonts w:ascii="Helvetica"/>
                        <w:spacing w:val="-3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output</w:t>
                    </w:r>
                    <w:r>
                      <w:rPr>
                        <w:rFonts w:asci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of 1.5 per</w:t>
                    </w:r>
                    <w:r>
                      <w:rPr>
                        <w:rFonts w:asci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cent (at annual</w:t>
                    </w:r>
                    <w:r>
                      <w:rPr>
                        <w:rFonts w:asci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rates) for the quarter.</w:t>
                    </w:r>
                  </w:p>
                  <w:p>
                    <w:pPr>
                      <w:spacing w:line="237" w:lineRule="auto" w:before="0"/>
                      <w:ind w:left="177" w:right="18" w:hanging="178"/>
                      <w:jc w:val="both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z w:val="12"/>
                      </w:rPr>
                      <w:t>**</w:t>
                    </w:r>
                    <w:r>
                      <w:rPr>
                        <w:rFonts w:ascii="Helvetica"/>
                        <w:spacing w:val="1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Percentage</w:t>
                    </w:r>
                    <w:r>
                      <w:rPr>
                        <w:rFonts w:ascii="Helvetica"/>
                        <w:spacing w:val="-6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of</w:t>
                    </w:r>
                    <w:r>
                      <w:rPr>
                        <w:rFonts w:ascii="Helvetica"/>
                        <w:spacing w:val="-5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firms</w:t>
                    </w:r>
                    <w:r>
                      <w:rPr>
                        <w:rFonts w:ascii="Helvetica"/>
                        <w:spacing w:val="-6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indicating</w:t>
                    </w:r>
                    <w:r>
                      <w:rPr>
                        <w:rFonts w:ascii="Helvetica"/>
                        <w:spacing w:val="-5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that</w:t>
                    </w:r>
                    <w:r>
                      <w:rPr>
                        <w:rFonts w:ascii="Helvetica"/>
                        <w:spacing w:val="-6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they</w:t>
                    </w:r>
                    <w:r>
                      <w:rPr>
                        <w:rFonts w:ascii="Helvetica"/>
                        <w:spacing w:val="-5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would</w:t>
                    </w:r>
                    <w:r>
                      <w:rPr>
                        <w:rFonts w:ascii="Helvetica"/>
                        <w:spacing w:val="-6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have</w:t>
                    </w:r>
                    <w:r>
                      <w:rPr>
                        <w:rFonts w:ascii="Helvetica"/>
                        <w:spacing w:val="-5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either</w:t>
                    </w:r>
                    <w:r>
                      <w:rPr>
                        <w:rFonts w:ascii="Helvetica"/>
                        <w:spacing w:val="-6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some</w:t>
                    </w:r>
                    <w:r>
                      <w:rPr>
                        <w:rFonts w:ascii="Helvetica"/>
                        <w:spacing w:val="-5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or</w:t>
                    </w:r>
                    <w:r>
                      <w:rPr>
                        <w:rFonts w:ascii="Helvetica"/>
                        <w:spacing w:val="-5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signif-</w:t>
                    </w:r>
                    <w:r>
                      <w:rPr>
                        <w:rFonts w:ascii="Helvetica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w w:val="95"/>
                        <w:sz w:val="12"/>
                      </w:rPr>
                      <w:t>icant</w:t>
                    </w:r>
                    <w:r>
                      <w:rPr>
                        <w:rFonts w:ascii="Helvetica"/>
                        <w:spacing w:val="-5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Helvetica"/>
                        <w:w w:val="95"/>
                        <w:sz w:val="12"/>
                      </w:rPr>
                      <w:t>difficulty</w:t>
                    </w:r>
                    <w:r>
                      <w:rPr>
                        <w:rFonts w:ascii="Helvetica"/>
                        <w:spacing w:val="-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Helvetica"/>
                        <w:w w:val="95"/>
                        <w:sz w:val="12"/>
                      </w:rPr>
                      <w:t>meeting</w:t>
                    </w:r>
                    <w:r>
                      <w:rPr>
                        <w:rFonts w:ascii="Helvetica"/>
                        <w:spacing w:val="-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Helvetica"/>
                        <w:w w:val="95"/>
                        <w:sz w:val="12"/>
                      </w:rPr>
                      <w:t>an</w:t>
                    </w:r>
                    <w:r>
                      <w:rPr>
                        <w:rFonts w:ascii="Helvetica"/>
                        <w:spacing w:val="-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Helvetica"/>
                        <w:w w:val="95"/>
                        <w:sz w:val="12"/>
                      </w:rPr>
                      <w:t>unanticipated</w:t>
                    </w:r>
                    <w:r>
                      <w:rPr>
                        <w:rFonts w:ascii="Helvetica"/>
                        <w:spacing w:val="-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Helvetica"/>
                        <w:w w:val="95"/>
                        <w:sz w:val="12"/>
                      </w:rPr>
                      <w:t>increase</w:t>
                    </w:r>
                    <w:r>
                      <w:rPr>
                        <w:rFonts w:ascii="Helvetica"/>
                        <w:spacing w:val="-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Helvetica"/>
                        <w:w w:val="95"/>
                        <w:sz w:val="12"/>
                      </w:rPr>
                      <w:t>in</w:t>
                    </w:r>
                    <w:r>
                      <w:rPr>
                        <w:rFonts w:ascii="Helvetica"/>
                        <w:spacing w:val="-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Helvetica"/>
                        <w:w w:val="95"/>
                        <w:sz w:val="12"/>
                      </w:rPr>
                      <w:t>demand/sales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184" w:lineRule="auto"/>
        <w:ind w:left="1467" w:firstLine="360"/>
        <w:jc w:val="both"/>
      </w:pPr>
      <w:r>
        <w:rPr/>
        <w:t>The 12-month rate of increase in the to-</w:t>
      </w:r>
      <w:r>
        <w:rPr>
          <w:spacing w:val="1"/>
        </w:rPr>
        <w:t> </w:t>
      </w:r>
      <w:r>
        <w:rPr/>
        <w:t>tal CPI moved back up from 1.7 per cent in</w:t>
      </w:r>
      <w:r>
        <w:rPr>
          <w:spacing w:val="1"/>
        </w:rPr>
        <w:t> </w:t>
      </w:r>
      <w:r>
        <w:rPr/>
        <w:t>August 2007 to an average of about 2.5 per</w:t>
      </w:r>
      <w:r>
        <w:rPr>
          <w:spacing w:val="1"/>
        </w:rPr>
        <w:t> </w:t>
      </w:r>
      <w:r>
        <w:rPr/>
        <w:t>cent in October and November, reflecting</w:t>
      </w:r>
      <w:r>
        <w:rPr>
          <w:spacing w:val="1"/>
        </w:rPr>
        <w:t> </w:t>
      </w:r>
      <w:r>
        <w:rPr/>
        <w:t>the temporary reduction in gasoline prices</w:t>
      </w:r>
      <w:r>
        <w:rPr>
          <w:spacing w:val="1"/>
        </w:rPr>
        <w:t> </w:t>
      </w:r>
      <w:r>
        <w:rPr/>
        <w:t>in September and October 2006.</w:t>
      </w:r>
      <w:r>
        <w:rPr>
          <w:position w:val="8"/>
          <w:sz w:val="17"/>
        </w:rPr>
        <w:t>1 </w:t>
      </w:r>
      <w:r>
        <w:rPr/>
        <w:t>Neverthe-</w:t>
      </w:r>
      <w:r>
        <w:rPr>
          <w:spacing w:val="-50"/>
        </w:rPr>
        <w:t> </w:t>
      </w:r>
      <w:r>
        <w:rPr/>
        <w:t>less, the growth in total CPI inflation was</w:t>
      </w:r>
      <w:r>
        <w:rPr>
          <w:spacing w:val="1"/>
        </w:rPr>
        <w:t> </w:t>
      </w:r>
      <w:r>
        <w:rPr/>
        <w:t>significantly lower than the 3.0 per cent ex-</w:t>
      </w:r>
      <w:r>
        <w:rPr>
          <w:spacing w:val="1"/>
        </w:rPr>
        <w:t> </w:t>
      </w:r>
      <w:r>
        <w:rPr/>
        <w:t>pected in the October </w:t>
      </w:r>
      <w:r>
        <w:rPr>
          <w:i/>
        </w:rPr>
        <w:t>Report</w:t>
      </w:r>
      <w:r>
        <w:rPr/>
        <w:t>, owing to the</w:t>
      </w:r>
      <w:r>
        <w:rPr>
          <w:spacing w:val="1"/>
        </w:rPr>
        <w:t> </w:t>
      </w:r>
      <w:r>
        <w:rPr/>
        <w:t>downward adjustment in core inflation.</w:t>
      </w:r>
    </w:p>
    <w:p>
      <w:pPr>
        <w:spacing w:line="187" w:lineRule="auto" w:before="186"/>
        <w:ind w:left="1468" w:right="-8" w:firstLine="0"/>
        <w:jc w:val="left"/>
        <w:rPr>
          <w:sz w:val="21"/>
        </w:rPr>
      </w:pPr>
      <w:bookmarkStart w:name="Estimated Pressures on Capacity" w:id="7"/>
      <w:bookmarkEnd w:id="7"/>
      <w:r>
        <w:rPr/>
      </w:r>
      <w:r>
        <w:rPr>
          <w:rFonts w:ascii="Palatino-BoldItalic"/>
          <w:b/>
          <w:i/>
          <w:sz w:val="24"/>
        </w:rPr>
        <w:t>Estimated Pressures on Capacity</w:t>
      </w:r>
      <w:r>
        <w:rPr>
          <w:rFonts w:ascii="Palatino-BoldItalic"/>
          <w:b/>
          <w:i/>
          <w:spacing w:val="1"/>
          <w:sz w:val="24"/>
        </w:rPr>
        <w:t> </w:t>
      </w:r>
      <w:r>
        <w:rPr>
          <w:sz w:val="21"/>
        </w:rPr>
        <w:t>Notwithstanding</w:t>
      </w:r>
      <w:r>
        <w:rPr>
          <w:spacing w:val="45"/>
          <w:sz w:val="21"/>
        </w:rPr>
        <w:t> </w:t>
      </w:r>
      <w:r>
        <w:rPr>
          <w:sz w:val="21"/>
        </w:rPr>
        <w:t>the</w:t>
      </w:r>
      <w:r>
        <w:rPr>
          <w:spacing w:val="45"/>
          <w:sz w:val="21"/>
        </w:rPr>
        <w:t> </w:t>
      </w:r>
      <w:r>
        <w:rPr>
          <w:sz w:val="21"/>
        </w:rPr>
        <w:t>easing</w:t>
      </w:r>
      <w:r>
        <w:rPr>
          <w:spacing w:val="46"/>
          <w:sz w:val="21"/>
        </w:rPr>
        <w:t> </w:t>
      </w:r>
      <w:r>
        <w:rPr>
          <w:sz w:val="21"/>
        </w:rPr>
        <w:t>in</w:t>
      </w:r>
      <w:r>
        <w:rPr>
          <w:spacing w:val="45"/>
          <w:sz w:val="21"/>
        </w:rPr>
        <w:t> </w:t>
      </w:r>
      <w:r>
        <w:rPr>
          <w:sz w:val="21"/>
        </w:rPr>
        <w:t>core</w:t>
      </w:r>
      <w:r>
        <w:rPr>
          <w:spacing w:val="46"/>
          <w:sz w:val="21"/>
        </w:rPr>
        <w:t> </w:t>
      </w:r>
      <w:r>
        <w:rPr>
          <w:sz w:val="21"/>
        </w:rPr>
        <w:t>infla-</w:t>
      </w:r>
      <w:r>
        <w:rPr>
          <w:spacing w:val="-50"/>
          <w:sz w:val="21"/>
        </w:rPr>
        <w:t> </w:t>
      </w:r>
      <w:r>
        <w:rPr>
          <w:sz w:val="21"/>
        </w:rPr>
        <w:t>tion,</w:t>
      </w:r>
      <w:r>
        <w:rPr>
          <w:spacing w:val="48"/>
          <w:sz w:val="21"/>
        </w:rPr>
        <w:t> </w:t>
      </w:r>
      <w:r>
        <w:rPr>
          <w:sz w:val="21"/>
        </w:rPr>
        <w:t>the</w:t>
      </w:r>
      <w:r>
        <w:rPr>
          <w:spacing w:val="49"/>
          <w:sz w:val="21"/>
        </w:rPr>
        <w:t> </w:t>
      </w:r>
      <w:r>
        <w:rPr>
          <w:sz w:val="21"/>
        </w:rPr>
        <w:t>Canadian</w:t>
      </w:r>
      <w:r>
        <w:rPr>
          <w:spacing w:val="50"/>
          <w:sz w:val="21"/>
        </w:rPr>
        <w:t> </w:t>
      </w:r>
      <w:r>
        <w:rPr>
          <w:sz w:val="21"/>
        </w:rPr>
        <w:t>economy</w:t>
      </w:r>
      <w:r>
        <w:rPr>
          <w:spacing w:val="49"/>
          <w:sz w:val="21"/>
        </w:rPr>
        <w:t> </w:t>
      </w:r>
      <w:r>
        <w:rPr>
          <w:sz w:val="21"/>
        </w:rPr>
        <w:t>continues</w:t>
      </w:r>
      <w:r>
        <w:rPr>
          <w:spacing w:val="50"/>
          <w:sz w:val="21"/>
        </w:rPr>
        <w:t> </w:t>
      </w:r>
      <w:r>
        <w:rPr>
          <w:sz w:val="21"/>
        </w:rPr>
        <w:t>to</w:t>
      </w:r>
      <w:r>
        <w:rPr>
          <w:spacing w:val="-49"/>
          <w:sz w:val="21"/>
        </w:rPr>
        <w:t> </w:t>
      </w:r>
      <w:r>
        <w:rPr>
          <w:sz w:val="21"/>
        </w:rPr>
        <w:t>operate</w:t>
      </w:r>
      <w:r>
        <w:rPr>
          <w:spacing w:val="-1"/>
          <w:sz w:val="21"/>
        </w:rPr>
        <w:t> </w:t>
      </w:r>
      <w:r>
        <w:rPr>
          <w:sz w:val="21"/>
        </w:rPr>
        <w:t>above</w:t>
      </w:r>
      <w:r>
        <w:rPr>
          <w:spacing w:val="-1"/>
          <w:sz w:val="21"/>
        </w:rPr>
        <w:t> </w:t>
      </w:r>
      <w:r>
        <w:rPr>
          <w:sz w:val="21"/>
        </w:rPr>
        <w:t>its production</w:t>
      </w:r>
      <w:r>
        <w:rPr>
          <w:spacing w:val="-2"/>
          <w:sz w:val="21"/>
        </w:rPr>
        <w:t> </w:t>
      </w:r>
      <w:r>
        <w:rPr>
          <w:sz w:val="21"/>
        </w:rPr>
        <w:t>capacity.</w:t>
      </w:r>
    </w:p>
    <w:p>
      <w:pPr>
        <w:pStyle w:val="BodyText"/>
        <w:spacing w:line="182" w:lineRule="auto"/>
        <w:ind w:left="1467" w:firstLine="360"/>
        <w:jc w:val="both"/>
      </w:pPr>
      <w:r>
        <w:rPr/>
        <w:t>The Bank’s winter </w:t>
      </w:r>
      <w:r>
        <w:rPr>
          <w:i/>
        </w:rPr>
        <w:t>Business Outlook Sur-</w:t>
      </w:r>
      <w:r>
        <w:rPr>
          <w:i/>
          <w:spacing w:val="-50"/>
        </w:rPr>
        <w:t> </w:t>
      </w:r>
      <w:r>
        <w:rPr>
          <w:i/>
        </w:rPr>
        <w:t>vey</w:t>
      </w:r>
      <w:r>
        <w:rPr/>
        <w:t>, the conventional measure of the output</w:t>
      </w:r>
      <w:r>
        <w:rPr>
          <w:spacing w:val="-50"/>
        </w:rPr>
        <w:t> </w:t>
      </w:r>
      <w:r>
        <w:rPr/>
        <w:t>gap,</w:t>
      </w:r>
      <w:r>
        <w:rPr>
          <w:position w:val="8"/>
          <w:sz w:val="17"/>
        </w:rPr>
        <w:t>2 </w:t>
      </w:r>
      <w:r>
        <w:rPr/>
        <w:t>and most labour market and wage in-</w:t>
      </w:r>
      <w:r>
        <w:rPr>
          <w:spacing w:val="-50"/>
        </w:rPr>
        <w:t> </w:t>
      </w:r>
      <w:r>
        <w:rPr/>
        <w:t>dicators</w:t>
      </w:r>
      <w:r>
        <w:rPr>
          <w:spacing w:val="1"/>
        </w:rPr>
        <w:t> </w:t>
      </w:r>
      <w:r>
        <w:rPr/>
        <w:t>continue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suggest</w:t>
      </w:r>
      <w:r>
        <w:rPr>
          <w:spacing w:val="1"/>
        </w:rPr>
        <w:t> </w:t>
      </w:r>
      <w:r>
        <w:rPr/>
        <w:t>considerable</w:t>
      </w:r>
      <w:r>
        <w:rPr>
          <w:spacing w:val="-50"/>
        </w:rPr>
        <w:t> </w:t>
      </w:r>
      <w:r>
        <w:rPr/>
        <w:t>tightness</w:t>
      </w:r>
      <w:r>
        <w:rPr>
          <w:spacing w:val="-2"/>
        </w:rPr>
        <w:t> </w:t>
      </w:r>
      <w:r>
        <w:rPr/>
        <w:t>(Chart 3).</w:t>
      </w:r>
    </w:p>
    <w:p>
      <w:pPr>
        <w:pStyle w:val="BodyText"/>
        <w:spacing w:line="187" w:lineRule="auto" w:before="155"/>
        <w:ind w:left="558" w:right="938" w:firstLine="360"/>
        <w:jc w:val="both"/>
      </w:pPr>
      <w:r>
        <w:rPr/>
        <w:br w:type="column"/>
      </w:r>
      <w:r>
        <w:rPr>
          <w:spacing w:val="-5"/>
        </w:rPr>
        <w:t>After</w:t>
      </w:r>
      <w:r>
        <w:rPr>
          <w:spacing w:val="-19"/>
        </w:rPr>
        <w:t> </w:t>
      </w:r>
      <w:r>
        <w:rPr>
          <w:spacing w:val="-5"/>
        </w:rPr>
        <w:t>reviewing</w:t>
      </w:r>
      <w:r>
        <w:rPr>
          <w:spacing w:val="-18"/>
        </w:rPr>
        <w:t> </w:t>
      </w:r>
      <w:r>
        <w:rPr>
          <w:spacing w:val="-4"/>
        </w:rPr>
        <w:t>all</w:t>
      </w:r>
      <w:r>
        <w:rPr>
          <w:spacing w:val="-18"/>
        </w:rPr>
        <w:t> </w:t>
      </w:r>
      <w:r>
        <w:rPr>
          <w:spacing w:val="-4"/>
        </w:rPr>
        <w:t>the</w:t>
      </w:r>
      <w:r>
        <w:rPr>
          <w:spacing w:val="-18"/>
        </w:rPr>
        <w:t> </w:t>
      </w:r>
      <w:r>
        <w:rPr>
          <w:spacing w:val="-4"/>
        </w:rPr>
        <w:t>indicators</w:t>
      </w:r>
      <w:r>
        <w:rPr>
          <w:spacing w:val="-18"/>
        </w:rPr>
        <w:t> </w:t>
      </w:r>
      <w:r>
        <w:rPr>
          <w:spacing w:val="-4"/>
        </w:rPr>
        <w:t>of</w:t>
      </w:r>
      <w:r>
        <w:rPr>
          <w:spacing w:val="-18"/>
        </w:rPr>
        <w:t> </w:t>
      </w:r>
      <w:r>
        <w:rPr>
          <w:spacing w:val="-4"/>
        </w:rPr>
        <w:t>capac-</w:t>
      </w:r>
      <w:r>
        <w:rPr>
          <w:spacing w:val="-50"/>
        </w:rPr>
        <w:t> </w:t>
      </w:r>
      <w:r>
        <w:rPr>
          <w:spacing w:val="-1"/>
        </w:rPr>
        <w:t>ity pressures, the Governing </w:t>
      </w:r>
      <w:r>
        <w:rPr/>
        <w:t>Council judges</w:t>
      </w:r>
      <w:r>
        <w:rPr>
          <w:spacing w:val="-50"/>
        </w:rPr>
        <w:t> </w:t>
      </w:r>
      <w:r>
        <w:rPr/>
        <w:t>that,</w:t>
      </w:r>
      <w:r>
        <w:rPr>
          <w:spacing w:val="1"/>
        </w:rPr>
        <w:t> </w:t>
      </w:r>
      <w:r>
        <w:rPr/>
        <w:t>overall,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economy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operating</w:t>
      </w:r>
      <w:r>
        <w:rPr>
          <w:spacing w:val="-50"/>
        </w:rPr>
        <w:t> </w:t>
      </w:r>
      <w:r>
        <w:rPr>
          <w:spacing w:val="-3"/>
        </w:rPr>
        <w:t>about</w:t>
      </w:r>
      <w:r>
        <w:rPr>
          <w:spacing w:val="-10"/>
        </w:rPr>
        <w:t> </w:t>
      </w:r>
      <w:r>
        <w:rPr>
          <w:spacing w:val="-3"/>
        </w:rPr>
        <w:t>one-half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per</w:t>
      </w:r>
      <w:r>
        <w:rPr>
          <w:spacing w:val="-10"/>
        </w:rPr>
        <w:t> </w:t>
      </w:r>
      <w:r>
        <w:rPr>
          <w:spacing w:val="-2"/>
        </w:rPr>
        <w:t>cent</w:t>
      </w:r>
      <w:r>
        <w:rPr>
          <w:spacing w:val="-10"/>
        </w:rPr>
        <w:t> </w:t>
      </w:r>
      <w:r>
        <w:rPr>
          <w:spacing w:val="-2"/>
        </w:rPr>
        <w:t>above</w:t>
      </w:r>
      <w:r>
        <w:rPr>
          <w:spacing w:val="-9"/>
        </w:rPr>
        <w:t> </w:t>
      </w:r>
      <w:r>
        <w:rPr>
          <w:spacing w:val="-2"/>
        </w:rPr>
        <w:t>its</w:t>
      </w:r>
      <w:r>
        <w:rPr>
          <w:spacing w:val="-10"/>
        </w:rPr>
        <w:t> </w:t>
      </w:r>
      <w:r>
        <w:rPr>
          <w:spacing w:val="-2"/>
        </w:rPr>
        <w:t>produc-</w:t>
      </w:r>
      <w:r>
        <w:rPr>
          <w:spacing w:val="-50"/>
        </w:rPr>
        <w:t> </w:t>
      </w:r>
      <w:r>
        <w:rPr>
          <w:spacing w:val="-4"/>
        </w:rPr>
        <w:t>tion</w:t>
      </w:r>
      <w:r>
        <w:rPr>
          <w:spacing w:val="-10"/>
        </w:rPr>
        <w:t> </w:t>
      </w:r>
      <w:r>
        <w:rPr>
          <w:spacing w:val="-4"/>
        </w:rPr>
        <w:t>capacity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last</w:t>
      </w:r>
      <w:r>
        <w:rPr>
          <w:spacing w:val="-10"/>
        </w:rPr>
        <w:t> </w:t>
      </w:r>
      <w:r>
        <w:rPr>
          <w:spacing w:val="-4"/>
        </w:rPr>
        <w:t>quarter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2007.</w:t>
      </w:r>
    </w:p>
    <w:p>
      <w:pPr>
        <w:pStyle w:val="Heading2"/>
        <w:spacing w:before="133"/>
      </w:pPr>
      <w:r>
        <w:rPr/>
        <w:pict>
          <v:shape style="position:absolute;margin-left:85.639999pt;margin-top:-6.414766pt;width:150.550pt;height:25.25pt;mso-position-horizontal-relative:page;mso-position-vertical-relative:paragraph;z-index:-16581120" type="#_x0000_t202" id="docshape184" filled="false" stroked="false">
            <v:textbox inset="0,0,0,0">
              <w:txbxContent>
                <w:p>
                  <w:pPr>
                    <w:spacing w:line="93" w:lineRule="exact" w:before="0"/>
                    <w:ind w:left="0" w:right="0" w:firstLine="0"/>
                    <w:jc w:val="righ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sz w:val="14"/>
                    </w:rPr>
                    <w:t>Output gap*</w:t>
                  </w:r>
                </w:p>
                <w:p>
                  <w:pPr>
                    <w:tabs>
                      <w:tab w:pos="2325" w:val="left" w:leader="none"/>
                    </w:tabs>
                    <w:spacing w:line="129" w:lineRule="auto" w:before="0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95"/>
                      <w:sz w:val="15"/>
                    </w:rPr>
                    <w:t>Some</w:t>
                  </w:r>
                  <w:r>
                    <w:rPr>
                      <w:rFonts w:ascii="Times New Roman"/>
                      <w:spacing w:val="-5"/>
                      <w:w w:val="95"/>
                      <w:sz w:val="15"/>
                    </w:rPr>
                    <w:t> </w:t>
                  </w:r>
                  <w:r>
                    <w:rPr>
                      <w:rFonts w:ascii="Times New Roman"/>
                      <w:w w:val="95"/>
                      <w:sz w:val="15"/>
                    </w:rPr>
                    <w:t>and</w:t>
                  </w:r>
                  <w:r>
                    <w:rPr>
                      <w:rFonts w:ascii="Times New Roman"/>
                      <w:spacing w:val="-5"/>
                      <w:w w:val="95"/>
                      <w:sz w:val="15"/>
                    </w:rPr>
                    <w:t> </w:t>
                  </w:r>
                  <w:r>
                    <w:rPr>
                      <w:rFonts w:ascii="Times New Roman"/>
                      <w:w w:val="95"/>
                      <w:sz w:val="15"/>
                    </w:rPr>
                    <w:t>significant</w:t>
                    <w:tab/>
                  </w:r>
                  <w:r>
                    <w:rPr>
                      <w:rFonts w:ascii="Times New Roman"/>
                      <w:position w:val="-8"/>
                      <w:sz w:val="14"/>
                    </w:rPr>
                    <w:t>(right scale)</w:t>
                  </w:r>
                </w:p>
                <w:p>
                  <w:pPr>
                    <w:spacing w:line="107" w:lineRule="exact" w:before="0"/>
                    <w:ind w:left="262" w:right="0" w:firstLine="0"/>
                    <w:jc w:val="left"/>
                    <w:rPr>
                      <w:rFonts w:ascii="Times New Roman"/>
                      <w:sz w:val="15"/>
                    </w:rPr>
                  </w:pPr>
                  <w:r>
                    <w:rPr>
                      <w:rFonts w:ascii="Times New Roman"/>
                      <w:sz w:val="15"/>
                    </w:rPr>
                    <w:t>difficulty**</w:t>
                  </w:r>
                </w:p>
                <w:p>
                  <w:pPr>
                    <w:spacing w:line="161" w:lineRule="exact" w:before="0"/>
                    <w:ind w:left="289" w:right="0" w:firstLine="0"/>
                    <w:jc w:val="left"/>
                    <w:rPr>
                      <w:rFonts w:ascii="Times New Roman"/>
                      <w:sz w:val="15"/>
                    </w:rPr>
                  </w:pPr>
                  <w:r>
                    <w:rPr>
                      <w:rFonts w:ascii="Times New Roman"/>
                      <w:w w:val="90"/>
                      <w:sz w:val="15"/>
                    </w:rPr>
                    <w:t>(left</w:t>
                  </w:r>
                  <w:r>
                    <w:rPr>
                      <w:rFonts w:ascii="Times New Roman"/>
                      <w:spacing w:val="20"/>
                      <w:w w:val="90"/>
                      <w:sz w:val="15"/>
                    </w:rPr>
                    <w:t> </w:t>
                  </w:r>
                  <w:r>
                    <w:rPr>
                      <w:rFonts w:ascii="Times New Roman"/>
                      <w:w w:val="90"/>
                      <w:sz w:val="15"/>
                    </w:rPr>
                    <w:t>scale)</w:t>
                  </w:r>
                </w:p>
              </w:txbxContent>
            </v:textbox>
            <w10:wrap type="none"/>
          </v:shape>
        </w:pict>
      </w:r>
      <w:bookmarkStart w:name="Credit Conditions" w:id="8"/>
      <w:bookmarkEnd w:id="8"/>
      <w:r>
        <w:rPr>
          <w:b w:val="0"/>
          <w:i w:val="0"/>
        </w:rPr>
      </w:r>
      <w:r>
        <w:rPr/>
        <w:t>Credit</w:t>
      </w:r>
      <w:r>
        <w:rPr>
          <w:spacing w:val="-5"/>
        </w:rPr>
        <w:t> </w:t>
      </w:r>
      <w:r>
        <w:rPr/>
        <w:t>Conditions</w:t>
      </w:r>
    </w:p>
    <w:p>
      <w:pPr>
        <w:pStyle w:val="BodyText"/>
        <w:spacing w:line="187" w:lineRule="auto" w:before="14"/>
        <w:ind w:left="558" w:right="937"/>
        <w:jc w:val="both"/>
      </w:pPr>
      <w:r>
        <w:rPr/>
        <w:t>Global financial markets remain volatile as</w:t>
      </w:r>
      <w:r>
        <w:rPr>
          <w:spacing w:val="1"/>
        </w:rPr>
        <w:t> </w:t>
      </w:r>
      <w:r>
        <w:rPr/>
        <w:t>difficulties related to the valuation of struc-</w:t>
      </w:r>
      <w:r>
        <w:rPr>
          <w:spacing w:val="-50"/>
        </w:rPr>
        <w:t> </w:t>
      </w:r>
      <w:r>
        <w:rPr/>
        <w:t>tured products and expected losses stem-</w:t>
      </w:r>
      <w:r>
        <w:rPr>
          <w:spacing w:val="1"/>
        </w:rPr>
        <w:t> </w:t>
      </w:r>
      <w:r>
        <w:rPr/>
        <w:t>ming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U.S.</w:t>
      </w:r>
      <w:r>
        <w:rPr>
          <w:spacing w:val="1"/>
        </w:rPr>
        <w:t> </w:t>
      </w:r>
      <w:r>
        <w:rPr/>
        <w:t>subprime-mortgage</w:t>
      </w:r>
      <w:r>
        <w:rPr>
          <w:spacing w:val="1"/>
        </w:rPr>
        <w:t> </w:t>
      </w:r>
      <w:r>
        <w:rPr/>
        <w:t>market persist and, more generally, as con-</w:t>
      </w:r>
      <w:r>
        <w:rPr>
          <w:spacing w:val="1"/>
        </w:rPr>
        <w:t> </w:t>
      </w:r>
      <w:r>
        <w:rPr/>
        <w:t>cerns about the economic outlook have in-</w:t>
      </w:r>
      <w:r>
        <w:rPr>
          <w:spacing w:val="1"/>
        </w:rPr>
        <w:t> </w:t>
      </w:r>
      <w:r>
        <w:rPr/>
        <w:t>creased. Canada has been affected by these</w:t>
      </w:r>
      <w:r>
        <w:rPr>
          <w:spacing w:val="1"/>
        </w:rPr>
        <w:t> </w:t>
      </w:r>
      <w:r>
        <w:rPr/>
        <w:t>global developments, but to a lesser extent</w:t>
      </w:r>
      <w:r>
        <w:rPr>
          <w:spacing w:val="1"/>
        </w:rPr>
        <w:t> </w:t>
      </w:r>
      <w:r>
        <w:rPr/>
        <w:t>than the United States and Europe. While</w:t>
      </w:r>
      <w:r>
        <w:rPr>
          <w:spacing w:val="1"/>
        </w:rPr>
        <w:t> </w:t>
      </w:r>
      <w:r>
        <w:rPr/>
        <w:t>household and business credit have contin-</w:t>
      </w:r>
      <w:r>
        <w:rPr>
          <w:spacing w:val="-50"/>
        </w:rPr>
        <w:t> </w:t>
      </w:r>
      <w:r>
        <w:rPr/>
        <w:t>ued to grow robustly in Canada, there has</w:t>
      </w:r>
      <w:r>
        <w:rPr>
          <w:spacing w:val="1"/>
        </w:rPr>
        <w:t> </w:t>
      </w:r>
      <w:r>
        <w:rPr/>
        <w:t>been some tightening in the prices, terms,</w:t>
      </w:r>
      <w:r>
        <w:rPr>
          <w:spacing w:val="1"/>
        </w:rPr>
        <w:t> </w:t>
      </w:r>
      <w:r>
        <w:rPr/>
        <w:t>and availability of credit.</w:t>
      </w:r>
    </w:p>
    <w:p>
      <w:pPr>
        <w:spacing w:line="238" w:lineRule="exact" w:before="0"/>
        <w:ind w:left="918" w:right="0" w:firstLine="0"/>
        <w:jc w:val="both"/>
        <w:rPr>
          <w:sz w:val="21"/>
        </w:rPr>
      </w:pPr>
      <w:r>
        <w:rPr>
          <w:sz w:val="21"/>
        </w:rPr>
        <w:t>Since</w:t>
      </w:r>
      <w:r>
        <w:rPr>
          <w:spacing w:val="2"/>
          <w:sz w:val="21"/>
        </w:rPr>
        <w:t> </w:t>
      </w:r>
      <w:r>
        <w:rPr>
          <w:sz w:val="21"/>
        </w:rPr>
        <w:t>late</w:t>
      </w:r>
      <w:r>
        <w:rPr>
          <w:spacing w:val="53"/>
          <w:sz w:val="21"/>
        </w:rPr>
        <w:t> </w:t>
      </w:r>
      <w:r>
        <w:rPr>
          <w:sz w:val="21"/>
        </w:rPr>
        <w:t>July,</w:t>
      </w:r>
      <w:r>
        <w:rPr>
          <w:spacing w:val="54"/>
          <w:sz w:val="21"/>
        </w:rPr>
        <w:t> </w:t>
      </w:r>
      <w:r>
        <w:rPr>
          <w:i/>
          <w:sz w:val="21"/>
        </w:rPr>
        <w:t>financial</w:t>
      </w:r>
      <w:r>
        <w:rPr>
          <w:i/>
          <w:spacing w:val="53"/>
          <w:sz w:val="21"/>
        </w:rPr>
        <w:t> </w:t>
      </w:r>
      <w:r>
        <w:rPr>
          <w:i/>
          <w:sz w:val="21"/>
        </w:rPr>
        <w:t>institutions</w:t>
      </w:r>
      <w:r>
        <w:rPr>
          <w:i/>
          <w:spacing w:val="54"/>
          <w:sz w:val="21"/>
        </w:rPr>
        <w:t> </w:t>
      </w:r>
      <w:r>
        <w:rPr>
          <w:sz w:val="21"/>
        </w:rPr>
        <w:t>in</w:t>
      </w:r>
    </w:p>
    <w:p>
      <w:pPr>
        <w:pStyle w:val="BodyText"/>
        <w:spacing w:line="187" w:lineRule="auto" w:before="15"/>
        <w:ind w:left="558" w:right="937"/>
        <w:jc w:val="both"/>
      </w:pPr>
      <w:r>
        <w:rPr/>
        <w:t>Canada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countries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facing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spreads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their</w:t>
      </w:r>
      <w:r>
        <w:rPr>
          <w:spacing w:val="-50"/>
        </w:rPr>
        <w:t> </w:t>
      </w:r>
      <w:r>
        <w:rPr/>
        <w:t>money market borrowing rates and expect-</w:t>
      </w:r>
      <w:r>
        <w:rPr>
          <w:spacing w:val="-50"/>
        </w:rPr>
        <w:t> </w:t>
      </w:r>
      <w:r>
        <w:rPr/>
        <w:t>ed overnight policy rates. Although money</w:t>
      </w:r>
      <w:r>
        <w:rPr>
          <w:spacing w:val="1"/>
        </w:rPr>
        <w:t> </w:t>
      </w:r>
      <w:r>
        <w:rPr/>
        <w:t>market conditions worsened after the Octo-</w:t>
      </w:r>
      <w:r>
        <w:rPr>
          <w:spacing w:val="-50"/>
        </w:rPr>
        <w:t> </w:t>
      </w:r>
      <w:r>
        <w:rPr/>
        <w:t>ber</w:t>
      </w:r>
      <w:r>
        <w:rPr>
          <w:spacing w:val="-4"/>
        </w:rPr>
        <w:t> </w:t>
      </w:r>
      <w:r>
        <w:rPr>
          <w:i/>
        </w:rPr>
        <w:t>Report</w:t>
      </w:r>
      <w:r>
        <w:rPr/>
        <w:t>,</w:t>
      </w:r>
      <w:r>
        <w:rPr>
          <w:spacing w:val="-3"/>
        </w:rPr>
        <w:t> </w:t>
      </w:r>
      <w:r>
        <w:rPr/>
        <w:t>partly</w:t>
      </w:r>
      <w:r>
        <w:rPr>
          <w:spacing w:val="-4"/>
        </w:rPr>
        <w:t> </w:t>
      </w:r>
      <w:r>
        <w:rPr/>
        <w:t>because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concerns</w:t>
      </w:r>
      <w:r>
        <w:rPr>
          <w:spacing w:val="-3"/>
        </w:rPr>
        <w:t> </w:t>
      </w:r>
      <w:r>
        <w:rPr/>
        <w:t>about</w:t>
      </w:r>
      <w:r>
        <w:rPr>
          <w:spacing w:val="-50"/>
        </w:rPr>
        <w:t> </w:t>
      </w:r>
      <w:r>
        <w:rPr/>
        <w:t>year-end funding pressures, they have now</w:t>
      </w:r>
      <w:r>
        <w:rPr>
          <w:spacing w:val="-50"/>
        </w:rPr>
        <w:t> </w:t>
      </w:r>
      <w:r>
        <w:rPr/>
        <w:t>returned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October</w:t>
      </w:r>
      <w:r>
        <w:rPr>
          <w:spacing w:val="-2"/>
        </w:rPr>
        <w:t> </w:t>
      </w:r>
      <w:r>
        <w:rPr/>
        <w:t>levels</w:t>
      </w:r>
      <w:r>
        <w:rPr>
          <w:spacing w:val="-1"/>
        </w:rPr>
        <w:t> </w:t>
      </w:r>
      <w:r>
        <w:rPr/>
        <w:t>(Chart</w:t>
      </w:r>
      <w:r>
        <w:rPr>
          <w:spacing w:val="-1"/>
        </w:rPr>
        <w:t> </w:t>
      </w:r>
      <w:r>
        <w:rPr/>
        <w:t>4).</w:t>
      </w:r>
    </w:p>
    <w:p>
      <w:pPr>
        <w:spacing w:after="0" w:line="187" w:lineRule="auto"/>
        <w:jc w:val="both"/>
        <w:sectPr>
          <w:type w:val="continuous"/>
          <w:pgSz w:w="12240" w:h="15840"/>
          <w:pgMar w:header="661" w:footer="764" w:top="360" w:bottom="280" w:left="260" w:right="860"/>
          <w:cols w:num="2" w:equalWidth="0">
            <w:col w:w="5526" w:space="40"/>
            <w:col w:w="5554"/>
          </w:cols>
        </w:sectPr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0" w:lineRule="exact"/>
        <w:ind w:left="1468"/>
        <w:rPr>
          <w:sz w:val="2"/>
        </w:rPr>
      </w:pPr>
      <w:r>
        <w:rPr>
          <w:sz w:val="2"/>
        </w:rPr>
        <w:pict>
          <v:group style="width:46.8pt;height:.6pt;mso-position-horizontal-relative:char;mso-position-vertical-relative:line" id="docshapegroup185" coordorigin="0,0" coordsize="936,12">
            <v:line style="position:absolute" from="936,6" to="0,6" stroked="true" strokeweight=".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2"/>
          <w:numId w:val="2"/>
        </w:numPr>
        <w:tabs>
          <w:tab w:pos="1699" w:val="left" w:leader="none"/>
        </w:tabs>
        <w:spacing w:line="187" w:lineRule="auto" w:before="69" w:after="0"/>
        <w:ind w:left="1468" w:right="5622" w:firstLine="0"/>
        <w:jc w:val="left"/>
        <w:rPr>
          <w:sz w:val="14"/>
        </w:rPr>
      </w:pPr>
      <w:r>
        <w:rPr/>
        <w:pict>
          <v:group style="position:absolute;margin-left:319.950012pt;margin-top:-104.313568pt;width:233.2pt;height:192.35pt;mso-position-horizontal-relative:page;mso-position-vertical-relative:paragraph;z-index:15733248" id="docshapegroup186" coordorigin="6399,-2086" coordsize="4664,3847">
            <v:rect style="position:absolute;left:6412;top:-2074;width:4637;height:3820" id="docshape187" filled="false" stroked="true" strokeweight="1.32pt" strokecolor="#b29933">
              <v:stroke dashstyle="solid"/>
            </v:rect>
            <v:rect style="position:absolute;left:6862;top:-1110;width:3744;height:2016" id="docshape188" filled="true" fillcolor="#f4f2e5" stroked="false">
              <v:fill type="solid"/>
            </v:rect>
            <v:shape style="position:absolute;left:6851;top:-1130;width:3767;height:2058" id="docshape189" coordorigin="6852,-1129" coordsize="3767,2058" path="m10375,784l10375,929m10131,784l10131,929m9620,784l9620,929m9364,784l9364,929m9097,784l9097,929m8865,784l8865,929m8598,784l8598,929m8342,784l8342,929m8098,784l8098,929m7831,784l7831,929m7587,784l7587,929m7331,784l7331,929m7099,784l7099,929m7587,691l7587,923m8342,691l8342,923m9097,691l9097,923m9864,-1129l9864,917m10381,-1117l10381,-973m10136,-1117l10136,-973m9625,-1117l9625,-973m9370,-1117l9370,-973m9102,-1117l9102,-973m8870,-1117l8870,-973m8603,-1117l8603,-973m8347,-1117l8347,-973m8103,-1117l8103,-973m7836,-1117l7836,-973m7592,-1117l7592,-973m7336,-1117l7336,-973m7104,-1117l7104,-973m7592,-1117l7592,-886m8347,-1117l8347,-886m9102,-1117l9102,-886m10618,571l6852,571m10618,235l6852,235m10618,-102l6852,-102m10618,-439l6852,-439m10618,-776l6852,-776e" filled="false" stroked="true" strokeweight="1.08pt" strokecolor="#ffffff">
              <v:path arrowok="t"/>
              <v:stroke dashstyle="solid"/>
            </v:shape>
            <v:shape style="position:absolute;left:6852;top:-664;width:3168;height:1510" id="docshape190" coordorigin="6852,-664" coordsize="3168,1510" path="m6852,809l6864,811,6876,811,6887,824,6898,818,6910,821,6922,821,6933,784,6945,805,6956,808,6968,814,6980,816,6991,820,7003,817,7015,823,7026,826,7038,830,7050,824,7061,822,7073,821,7084,814,7096,814,7108,826,7119,809,7130,823,7142,831,7154,833,7165,828,7177,824,7189,822,7200,821,7212,813,7223,822,7235,825,7247,820,7258,820,7270,821,7282,826,7293,823,7305,813,7317,816,7328,835,7339,828,7351,817,7362,825,7374,831,7386,838,7397,841,7409,835,7421,832,7432,835,7444,827,7456,832,7467,827,7479,838,7491,836,7502,840,7514,834,7525,831,7537,843,7548,738,7560,834,7571,832,7595,846,7606,838,7618,833,7630,837,7641,684,7653,684,7664,833,7676,838,7688,835,7699,833,7711,826,7723,824,7734,825,7746,840,7758,841,7769,838,7780,835,7792,830,7803,838,7815,835,7827,832,7838,837,7850,834,7862,826,7873,828,7885,832,7897,828,7908,825,7920,830,7932,825,7943,826,7955,828,7966,843,7978,839,7989,831,8001,835,8012,838,8024,838,8036,831,8047,837,8059,826,8071,828,8082,824,8094,820,8105,819,8117,823,8129,822,8140,822,8152,828,8164,827,8175,831,8187,831,8199,836,8210,832,8221,841,8233,834,8244,822,8256,827,8268,825,8279,813,8291,830,8303,825,8314,821,8326,817,8338,814,8349,810,8361,812,8373,824,8384,826,8396,825,8407,825,8418,817,8430,825,8442,827,8453,822,8465,824,8477,826,8488,826,8500,832,8512,829,8523,837,8535,836,8546,835,8558,814,8570,816,8581,808,8593,802,8605,799,8616,809,8628,790,8639,763,8651,738,8662,731,8674,622,8685,463,8697,365,8709,314,8720,301,8732,134,8744,29,8755,-3,8767,-13,8779,64,8790,-9,8802,-65,8814,-89,8825,-92,8837,-100,8848,-133,8859,-165,8871,-131,8883,-102,8894,-181,8906,-181,8918,-188,8929,-169,8941,-181,8953,-215,8964,-164,8976,-148,8987,-163,8999,-159,9011,-172,9022,-176,9034,-166,9046,-172,9057,-173,9069,-155,9080,-266,9092,-305,9103,-297,9115,-303,9127,-310,9138,-297,9150,-278,9161,-265,9173,-259,9185,-276,9196,-271,9208,-150,9220,-92,9231,-98,9243,-98,9254,-103,9266,-77,9278,-82,9289,-66,9300,-58,9312,-31,9324,-11,9335,-5,9347,4,9359,32,9370,28,9382,30,9393,40,9405,35,9417,22,9428,33,9440,39,9452,56,9463,52,9475,61,9487,71,9498,57,9509,-9,9521,-49,9532,-87,9544,-114,9556,-164,9567,-242,9579,-249,9591,-297,9602,-358,9614,-418,9626,-454,9637,-487,9649,-543,9660,-531,9672,-547,9684,-555,9695,-574,9707,-645,9719,-639,9730,-623,9741,-664,9753,-564,9765,-436,9776,-382,9788,-343,9800,-328,9811,-312,9823,-327,9834,-325,9846,-174,9858,-169,9869,-156,9881,-137,9893,-110,9904,-73,9916,-45,9927,4,9939,0,9950,2,9962,50,9973,53,9985,90,9997,107,10008,205,10020,261e" filled="false" stroked="true" strokeweight="1.08pt" strokecolor="#b29933">
              <v:path arrowok="t"/>
              <v:stroke dashstyle="solid"/>
            </v:shape>
            <v:line style="position:absolute" from="7444,-652" to="7232,-652" stroked="true" strokeweight="1.08pt" strokecolor="#113d38">
              <v:stroke dashstyle="solid"/>
            </v:line>
            <v:line style="position:absolute" from="7444,-509" to="7232,-509" stroked="true" strokeweight="1.08pt" strokecolor="#660000">
              <v:stroke dashstyle="solid"/>
            </v:line>
            <v:line style="position:absolute" from="7444,-362" to="7232,-362" stroked="true" strokeweight="1.08pt" strokecolor="#b29933">
              <v:stroke dashstyle="solid"/>
            </v:line>
            <v:shape style="position:absolute;left:6852;top:-886;width:3168;height:1738" id="docshape191" coordorigin="6852,-885" coordsize="3168,1738" path="m6852,769l6864,777,6876,772,6887,770,6898,777,6910,770,6922,773,6933,777,6945,773,6956,772,6968,786,6980,783,6991,782,7003,781,7015,780,7026,783,7038,777,7050,781,7061,783,7073,781,7096,781,7108,789,7119,789,7130,786,7165,786,7177,733,7189,791,7200,785,7212,785,7223,788,7235,787,7247,787,7258,786,7270,790,7282,787,7293,787,7305,786,7317,725,7328,777,7339,761,7351,767,7362,777,7374,777,7386,786,7397,783,7409,806,7421,781,7432,764,7444,777,7456,780,7467,773,7479,785,7491,790,7502,786,7514,788,7525,793,7537,788,7548,786,7560,794,7571,773,7583,789,7595,780,7606,786,7618,781,7630,786,7641,793,7653,794,7664,785,7676,781,7688,786,7699,789,7711,779,7723,778,7734,767,7746,772,7758,786,7769,772,7780,773,7792,778,7803,781,7815,779,7827,783,7838,781,7850,781,7862,776,7873,783,7885,778,7897,778,7908,791,7920,770,7932,788,7943,781,7955,781,7966,852,7978,777,7989,783,8001,780,8012,777,8024,786,8036,788,8047,775,8059,784,8071,789,8082,786,8129,786,8140,781,8164,781,8175,788,8187,787,8199,800,8210,790,8221,789,8233,787,8256,787,8268,785,8279,772,8291,764,8303,781,8314,772,8326,787,8338,781,8349,770,8361,775,8373,775,8384,786,8396,780,8407,775,8418,768,8430,786,8442,777,8453,773,8465,777,8477,777,8488,781,8500,781,8512,759,8523,772,8535,777,8546,777,8558,698,8570,686,8581,733,8593,714,8605,709,8616,707,8628,603,8639,670,8651,717,8662,689,8674,239,8685,98,8697,126,8709,77,8720,-88,8732,-104,8744,-95,8755,-207,8767,-246,8779,-73,8790,-68,8802,-69,8814,-49,8825,-110,8837,-151,8848,-328,8859,-328,8871,-417,8883,-548,8894,-632,8906,-569,8918,-691,8929,-566,8941,-673,8953,-499,8964,-623,8976,-511,8987,-443,8999,-700,9011,-103,9022,-102,9034,-66,9046,-43,9057,-104,9069,-106,9080,-194,9092,-171,9103,-160,9115,-165,9127,-161,9138,-196,9150,-92,9161,-123,9173,-65,9185,-100,9196,-89,9208,-10,9220,-1,9231,-55,9243,-106,9254,-182,9266,-268,9278,-93,9289,-106,9300,-188,9312,-113,9324,170,9335,32,9347,139,9359,188,9370,124,9382,132,9393,119,9405,59,9417,21,9428,-27,9440,-36,9452,-23,9463,42,9475,11,9487,-114,9498,-181,9509,-285,9521,-295,9532,-411,9544,-454,9556,-442,9567,-541,9579,-478,9591,-548,9602,-745,9614,-787,9626,-818,9637,-885,9649,-866,9660,-858,9672,-825,9684,-818,9695,-800,9707,-704,9719,-579,9730,-488,9741,-492,9753,-472,9765,-476,9776,-465,9788,-345,9800,-332,9811,-314,9823,-330,9834,-343,9846,-199,9858,-207,9869,-185,9881,-249,9893,-254,9904,-329,9916,-220,9927,-188,9939,-108,9950,-110,9962,-133,9973,159,9985,270,9997,378,10008,248,10020,204e" filled="false" stroked="true" strokeweight="1.08pt" strokecolor="#660000">
              <v:path arrowok="t"/>
              <v:stroke dashstyle="solid"/>
            </v:shape>
            <v:shape style="position:absolute;left:6852;top:-414;width:3168;height:1208" id="docshape192" coordorigin="6852,-413" coordsize="3168,1208" path="m6852,727l6864,727,6876,732,6887,742,6898,729,6910,729,6922,724,6933,724,6945,722,6956,729,6968,727,6980,727,6991,722,7003,722,7015,735,7026,735,7038,732,7050,730,7061,725,7073,723,7084,723,7096,727,7108,693,7119,755,7130,713,7142,745,7154,718,7165,692,7177,753,7189,683,7200,663,7212,660,7223,660,7235,747,7247,724,7258,669,7270,624,7282,624,7293,700,7305,672,7317,758,7328,731,7339,733,7351,723,7362,698,7374,697,7386,708,7397,744,7409,729,7421,710,7432,727,7444,737,7456,731,7467,746,7479,689,7491,667,7502,690,7514,707,7525,652,7537,671,7548,658,7560,720,7571,717,7583,712,7595,652,7606,740,7618,647,7630,749,7641,766,7653,635,7664,638,7676,589,7688,572,7699,559,7711,600,7723,558,7734,735,7746,743,7758,756,7769,760,7780,733,7792,732,7803,745,7815,754,7827,758,7838,762,7850,754,7862,762,7873,762,7885,759,7897,755,7908,762,7920,770,7932,731,7943,755,7955,728,7966,743,7978,774,7989,795,8001,761,8012,764,8024,773,8036,773,8047,790,8059,792,8071,738,8082,792,8094,784,8105,774,8117,754,8129,766,8140,747,8152,773,8164,772,8175,781,8187,766,8199,768,8210,781,8221,757,8233,744,8244,762,8256,754,8268,759,8279,731,8291,707,8303,704,8314,710,8326,700,8338,698,8349,706,8361,712,8373,701,8384,728,8396,767,8407,757,8418,779,8430,770,8442,761,8453,754,8465,727,8477,731,8488,736,8500,736,8512,710,8523,753,8535,745,8546,775,8558,725,8570,734,8581,736,8593,722,8605,704,8616,670,8628,729,8639,712,8651,730,8662,702,8674,471,8685,533,8697,398,8709,378,8720,181,8732,-8,8744,-86,8755,-85,8767,-37,8779,138,8790,107,8802,93,8814,174,8825,103,8837,105,8848,15,8859,47,8871,154,8883,96,8894,72,8906,58,8918,-21,8929,154,8941,28,8953,-68,8964,-122,8976,-174,8987,-29,8999,-241,9011,77,9022,150,9034,179,9046,151,9057,236,9069,89,9080,108,9092,109,9103,-40,9115,42,9127,58,9138,104,9150,99,9161,128,9173,161,9185,163,9196,170,9208,212,9220,209,9231,208,9243,165,9254,239,9266,302,9278,330,9289,341,9300,347,9312,406,9324,385,9335,440,9347,422,9359,459,9370,449,9382,481,9393,545,9405,542,9417,509,9428,437,9440,476,9452,457,9463,474,9475,447,9487,464,9498,372,9509,316,9521,192,9532,160,9544,125,9556,170,9567,111,9579,159,9591,143,9602,70,9614,46,9626,-36,9637,94,9649,108,9660,136,9672,47,9684,52,9695,-10,9707,22,9719,37,9730,28,9741,-73,9753,-96,9765,-132,9776,-214,9788,-181,9800,-248,9811,-165,9823,-210,9834,-267,9846,-302,9858,-309,9869,-245,9881,-413,9893,-383,9904,-189,9916,-98,9927,-18,9939,-9,9950,193,9962,44,9973,235,9985,253,9997,249,10008,306,10020,208e" filled="false" stroked="true" strokeweight="1.08pt" strokecolor="#113d38">
              <v:path arrowok="t"/>
              <v:stroke dashstyle="solid"/>
            </v:shape>
            <v:shape style="position:absolute;left:6554;top:-1872;width:4365;height:832" type="#_x0000_t202" id="docshape193" filled="false" stroked="false">
              <v:textbox inset="0,0,0,0">
                <w:txbxContent>
                  <w:p>
                    <w:pPr>
                      <w:spacing w:line="225" w:lineRule="auto" w:before="0"/>
                      <w:ind w:left="894" w:right="0" w:hanging="720"/>
                      <w:jc w:val="left"/>
                      <w:rPr>
                        <w:rFonts w:ascii="Helvetica"/>
                        <w:b/>
                        <w:sz w:val="16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z w:val="16"/>
                      </w:rPr>
                      <w:t>Chart</w:t>
                    </w:r>
                    <w:r>
                      <w:rPr>
                        <w:rFonts w:ascii="Helvetica"/>
                        <w:b/>
                        <w:color w:val="113D38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16"/>
                      </w:rPr>
                      <w:t>4</w:t>
                    </w:r>
                    <w:r>
                      <w:rPr>
                        <w:rFonts w:ascii="Helvetica"/>
                        <w:b/>
                        <w:color w:val="113D38"/>
                        <w:spacing w:val="27"/>
                        <w:sz w:val="16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16"/>
                      </w:rPr>
                      <w:t>Spreads</w:t>
                    </w:r>
                    <w:r>
                      <w:rPr>
                        <w:rFonts w:ascii="Helvetica"/>
                        <w:b/>
                        <w:color w:val="113D38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16"/>
                      </w:rPr>
                      <w:t>between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16"/>
                      </w:rPr>
                      <w:t>3-Month</w:t>
                    </w:r>
                    <w:r>
                      <w:rPr>
                        <w:rFonts w:ascii="Helvetica"/>
                        <w:b/>
                        <w:color w:val="113D38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16"/>
                      </w:rPr>
                      <w:t>Interbank</w:t>
                    </w:r>
                    <w:r>
                      <w:rPr>
                        <w:rFonts w:ascii="Helvetica"/>
                        <w:b/>
                        <w:color w:val="113D38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16"/>
                      </w:rPr>
                      <w:t>Offered</w:t>
                    </w:r>
                    <w:r>
                      <w:rPr>
                        <w:rFonts w:ascii="Helvetica"/>
                        <w:b/>
                        <w:color w:val="113D38"/>
                        <w:spacing w:val="-42"/>
                        <w:sz w:val="16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16"/>
                      </w:rPr>
                      <w:t>Rates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16"/>
                      </w:rPr>
                      <w:t>and Overnight Index Swaps*</w:t>
                    </w:r>
                  </w:p>
                  <w:p>
                    <w:pPr>
                      <w:spacing w:before="116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Basis points</w:t>
                    </w:r>
                  </w:p>
                  <w:p>
                    <w:pPr>
                      <w:tabs>
                        <w:tab w:pos="4144" w:val="left" w:leader="none"/>
                      </w:tabs>
                      <w:spacing w:line="151" w:lineRule="exact" w:before="63"/>
                      <w:ind w:left="24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position w:val="1"/>
                        <w:sz w:val="12"/>
                      </w:rPr>
                      <w:t>120</w:t>
                      <w:tab/>
                    </w: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120</w:t>
                    </w:r>
                  </w:p>
                </w:txbxContent>
              </v:textbox>
              <w10:wrap type="none"/>
            </v:shape>
            <v:shape style="position:absolute;left:6560;top:-857;width:221;height:135" type="#_x0000_t202" id="docshape194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100</w:t>
                    </w:r>
                  </w:p>
                </w:txbxContent>
              </v:textbox>
              <w10:wrap type="none"/>
            </v:shape>
            <v:shape style="position:absolute;left:10680;top:-843;width:221;height:135" type="#_x0000_t202" id="docshape195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100</w:t>
                    </w:r>
                  </w:p>
                </w:txbxContent>
              </v:textbox>
              <w10:wrap type="none"/>
            </v:shape>
            <v:shape style="position:absolute;left:6623;top:-528;width:154;height:135" type="#_x0000_t202" id="docshape196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80</w:t>
                    </w:r>
                  </w:p>
                </w:txbxContent>
              </v:textbox>
              <w10:wrap type="none"/>
            </v:shape>
            <v:shape style="position:absolute;left:7532;top:-715;width:741;height:415" type="#_x0000_t202" id="docshape197" filled="false" stroked="false">
              <v:textbox inset="0,0,0,0">
                <w:txbxContent>
                  <w:p>
                    <w:pPr>
                      <w:spacing w:line="237" w:lineRule="auto" w:before="0"/>
                      <w:ind w:left="0" w:right="13" w:firstLine="0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z w:val="12"/>
                      </w:rPr>
                      <w:t>Canada</w:t>
                    </w:r>
                    <w:r>
                      <w:rPr>
                        <w:rFonts w:ascii="Helvetica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pacing w:val="-1"/>
                        <w:sz w:val="12"/>
                      </w:rPr>
                      <w:t>United States</w:t>
                    </w:r>
                    <w:r>
                      <w:rPr>
                        <w:rFonts w:ascii="Helvetica"/>
                        <w:spacing w:val="-3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Euro</w:t>
                    </w:r>
                    <w:r>
                      <w:rPr>
                        <w:rFonts w:asci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zone</w:t>
                    </w:r>
                  </w:p>
                </w:txbxContent>
              </v:textbox>
              <w10:wrap type="none"/>
            </v:shape>
            <v:shape style="position:absolute;left:10743;top:-514;width:154;height:135" type="#_x0000_t202" id="docshape198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80</w:t>
                    </w:r>
                  </w:p>
                </w:txbxContent>
              </v:textbox>
              <w10:wrap type="none"/>
            </v:shape>
            <v:shape style="position:absolute;left:6623;top:-191;width:4274;height:148" type="#_x0000_t202" id="docshape199" filled="false" stroked="false">
              <v:textbox inset="0,0,0,0">
                <w:txbxContent>
                  <w:p>
                    <w:pPr>
                      <w:tabs>
                        <w:tab w:pos="4119" w:val="left" w:leader="none"/>
                      </w:tabs>
                      <w:spacing w:line="147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position w:val="1"/>
                        <w:sz w:val="12"/>
                      </w:rPr>
                      <w:t>60</w:t>
                      <w:tab/>
                    </w: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60</w:t>
                    </w:r>
                  </w:p>
                </w:txbxContent>
              </v:textbox>
              <w10:wrap type="none"/>
            </v:shape>
            <v:shape style="position:absolute;left:6623;top:146;width:154;height:135" type="#_x0000_t202" id="docshape200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40</w:t>
                    </w:r>
                  </w:p>
                </w:txbxContent>
              </v:textbox>
              <w10:wrap type="none"/>
            </v:shape>
            <v:shape style="position:absolute;left:10743;top:159;width:154;height:135" type="#_x0000_t202" id="docshape201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40</w:t>
                    </w:r>
                  </w:p>
                </w:txbxContent>
              </v:textbox>
              <w10:wrap type="none"/>
            </v:shape>
            <v:shape style="position:absolute;left:6623;top:482;width:154;height:135" type="#_x0000_t202" id="docshape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10743;top:496;width:154;height:135" type="#_x0000_t202" id="docshape203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6684;top:827;width:87;height:135" type="#_x0000_t202" id="docshape204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0804;top:841;width:87;height:135" type="#_x0000_t202" id="docshape205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839;top:962;width:3903;height:608" type="#_x0000_t202" id="docshape206" filled="false" stroked="false">
              <v:textbox inset="0,0,0,0">
                <w:txbxContent>
                  <w:p>
                    <w:pPr>
                      <w:tabs>
                        <w:tab w:pos="3279" w:val="left" w:leader="none"/>
                      </w:tabs>
                      <w:spacing w:line="136" w:lineRule="exact" w:before="0"/>
                      <w:ind w:left="1379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2007</w:t>
                      <w:tab/>
                      <w:t>2008</w:t>
                    </w:r>
                  </w:p>
                  <w:p>
                    <w:pPr>
                      <w:spacing w:before="47"/>
                      <w:ind w:left="86" w:right="17" w:hanging="87"/>
                      <w:jc w:val="left"/>
                      <w:rPr>
                        <w:rFonts w:ascii="Helvetica" w:hAnsi="Helvetica"/>
                        <w:sz w:val="12"/>
                      </w:rPr>
                    </w:pPr>
                    <w:r>
                      <w:rPr>
                        <w:rFonts w:ascii="Helvetica" w:hAnsi="Helvetica"/>
                        <w:sz w:val="12"/>
                      </w:rPr>
                      <w:t>*</w:t>
                    </w:r>
                    <w:r>
                      <w:rPr>
                        <w:rFonts w:ascii="Helvetica" w:hAnsi="Helvetica"/>
                        <w:spacing w:val="5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For</w:t>
                    </w:r>
                    <w:r>
                      <w:rPr>
                        <w:rFonts w:ascii="Helvetica" w:hAns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the United</w:t>
                    </w:r>
                    <w:r>
                      <w:rPr>
                        <w:rFonts w:ascii="Helvetica" w:hAns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States and</w:t>
                    </w:r>
                    <w:r>
                      <w:rPr>
                        <w:rFonts w:ascii="Helvetica" w:hAns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the euro zone,</w:t>
                    </w:r>
                    <w:r>
                      <w:rPr>
                        <w:rFonts w:ascii="Helvetica" w:hAns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LIBOR (London</w:t>
                    </w:r>
                    <w:r>
                      <w:rPr>
                        <w:rFonts w:ascii="Helvetica" w:hAns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Interbank</w:t>
                    </w:r>
                    <w:r>
                      <w:rPr>
                        <w:rFonts w:ascii="Helvetica" w:hAnsi="Helvetica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Offered</w:t>
                    </w:r>
                    <w:r>
                      <w:rPr>
                        <w:rFonts w:ascii="Helvetica" w:hAnsi="Helvetica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Rate)</w:t>
                    </w:r>
                    <w:r>
                      <w:rPr>
                        <w:rFonts w:ascii="Helvetica" w:hAnsi="Helvetica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is</w:t>
                    </w:r>
                    <w:r>
                      <w:rPr>
                        <w:rFonts w:ascii="Helvetica" w:hAnsi="Helvetica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published</w:t>
                    </w:r>
                    <w:r>
                      <w:rPr>
                        <w:rFonts w:ascii="Helvetica" w:hAnsi="Helvetica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by</w:t>
                    </w:r>
                    <w:r>
                      <w:rPr>
                        <w:rFonts w:ascii="Helvetica" w:hAnsi="Helvetica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the</w:t>
                    </w:r>
                    <w:r>
                      <w:rPr>
                        <w:rFonts w:ascii="Helvetica" w:hAnsi="Helvetica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British</w:t>
                    </w:r>
                    <w:r>
                      <w:rPr>
                        <w:rFonts w:ascii="Helvetica" w:hAnsi="Helvetica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Bankers’</w:t>
                    </w:r>
                    <w:r>
                      <w:rPr>
                        <w:rFonts w:ascii="Helvetica" w:hAnsi="Helvetica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Association.</w:t>
                    </w:r>
                    <w:r>
                      <w:rPr>
                        <w:rFonts w:ascii="Helvetica" w:hAnsi="Helvetica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For</w:t>
                    </w:r>
                    <w:r>
                      <w:rPr>
                        <w:rFonts w:ascii="Helvetica" w:hAnsi="Helvetica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Can-</w:t>
                    </w:r>
                    <w:r>
                      <w:rPr>
                        <w:rFonts w:ascii="Helvetica" w:hAnsi="Helvetica"/>
                        <w:spacing w:val="-30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ada,</w:t>
                    </w:r>
                    <w:r>
                      <w:rPr>
                        <w:rFonts w:ascii="Helvetica" w:hAns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CDOR</w:t>
                    </w:r>
                    <w:r>
                      <w:rPr>
                        <w:rFonts w:ascii="Helvetica" w:hAns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(Canadian</w:t>
                    </w:r>
                    <w:r>
                      <w:rPr>
                        <w:rFonts w:ascii="Helvetica" w:hAns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Dollar</w:t>
                    </w:r>
                    <w:r>
                      <w:rPr>
                        <w:rFonts w:ascii="Helvetica" w:hAns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Offered</w:t>
                    </w:r>
                    <w:r>
                      <w:rPr>
                        <w:rFonts w:ascii="Helvetica" w:hAns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Rate) is</w:t>
                    </w:r>
                    <w:r>
                      <w:rPr>
                        <w:rFonts w:ascii="Helvetica" w:hAns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published</w:t>
                    </w:r>
                    <w:r>
                      <w:rPr>
                        <w:rFonts w:ascii="Helvetica" w:hAns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by</w:t>
                    </w:r>
                    <w:r>
                      <w:rPr>
                        <w:rFonts w:ascii="Helvetica" w:hAns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Reuters.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4"/>
        </w:rPr>
        <w:t>The upward pressure on gasoline prices coming from the</w:t>
      </w:r>
      <w:r>
        <w:rPr>
          <w:spacing w:val="1"/>
          <w:sz w:val="14"/>
        </w:rPr>
        <w:t> </w:t>
      </w:r>
      <w:r>
        <w:rPr>
          <w:spacing w:val="-2"/>
          <w:sz w:val="14"/>
        </w:rPr>
        <w:t>recent</w:t>
      </w:r>
      <w:r>
        <w:rPr>
          <w:spacing w:val="-8"/>
          <w:sz w:val="14"/>
        </w:rPr>
        <w:t> </w:t>
      </w:r>
      <w:r>
        <w:rPr>
          <w:spacing w:val="-2"/>
          <w:sz w:val="14"/>
        </w:rPr>
        <w:t>rise</w:t>
      </w:r>
      <w:r>
        <w:rPr>
          <w:spacing w:val="-8"/>
          <w:sz w:val="14"/>
        </w:rPr>
        <w:t> </w:t>
      </w:r>
      <w:r>
        <w:rPr>
          <w:spacing w:val="-2"/>
          <w:sz w:val="14"/>
        </w:rPr>
        <w:t>in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spot</w:t>
      </w:r>
      <w:r>
        <w:rPr>
          <w:spacing w:val="-8"/>
          <w:sz w:val="14"/>
        </w:rPr>
        <w:t> </w:t>
      </w:r>
      <w:r>
        <w:rPr>
          <w:spacing w:val="-2"/>
          <w:sz w:val="14"/>
        </w:rPr>
        <w:t>prices</w:t>
      </w:r>
      <w:r>
        <w:rPr>
          <w:spacing w:val="-8"/>
          <w:sz w:val="14"/>
        </w:rPr>
        <w:t> </w:t>
      </w:r>
      <w:r>
        <w:rPr>
          <w:spacing w:val="-2"/>
          <w:sz w:val="14"/>
        </w:rPr>
        <w:t>for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crude</w:t>
      </w:r>
      <w:r>
        <w:rPr>
          <w:spacing w:val="-8"/>
          <w:sz w:val="14"/>
        </w:rPr>
        <w:t> </w:t>
      </w:r>
      <w:r>
        <w:rPr>
          <w:spacing w:val="-2"/>
          <w:sz w:val="14"/>
        </w:rPr>
        <w:t>oil</w:t>
      </w:r>
      <w:r>
        <w:rPr>
          <w:spacing w:val="-8"/>
          <w:sz w:val="14"/>
        </w:rPr>
        <w:t> </w:t>
      </w:r>
      <w:r>
        <w:rPr>
          <w:spacing w:val="-2"/>
          <w:sz w:val="14"/>
        </w:rPr>
        <w:t>was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largely</w:t>
      </w:r>
      <w:r>
        <w:rPr>
          <w:spacing w:val="-8"/>
          <w:sz w:val="14"/>
        </w:rPr>
        <w:t> </w:t>
      </w:r>
      <w:r>
        <w:rPr>
          <w:spacing w:val="-2"/>
          <w:sz w:val="14"/>
        </w:rPr>
        <w:t>offset</w:t>
      </w:r>
      <w:r>
        <w:rPr>
          <w:spacing w:val="-8"/>
          <w:sz w:val="14"/>
        </w:rPr>
        <w:t> </w:t>
      </w:r>
      <w:r>
        <w:rPr>
          <w:spacing w:val="-1"/>
          <w:sz w:val="14"/>
        </w:rPr>
        <w:t>by</w:t>
      </w:r>
      <w:r>
        <w:rPr>
          <w:spacing w:val="-7"/>
          <w:sz w:val="14"/>
        </w:rPr>
        <w:t> </w:t>
      </w:r>
      <w:r>
        <w:rPr>
          <w:spacing w:val="-1"/>
          <w:sz w:val="14"/>
        </w:rPr>
        <w:t>the</w:t>
      </w:r>
      <w:r>
        <w:rPr>
          <w:spacing w:val="-8"/>
          <w:sz w:val="14"/>
        </w:rPr>
        <w:t> </w:t>
      </w:r>
      <w:r>
        <w:rPr>
          <w:spacing w:val="-1"/>
          <w:sz w:val="14"/>
        </w:rPr>
        <w:t>effect</w:t>
      </w:r>
      <w:r>
        <w:rPr>
          <w:spacing w:val="-32"/>
          <w:sz w:val="14"/>
        </w:rPr>
        <w:t> </w:t>
      </w:r>
      <w:r>
        <w:rPr>
          <w:sz w:val="14"/>
        </w:rPr>
        <w:t>of</w:t>
      </w:r>
      <w:r>
        <w:rPr>
          <w:spacing w:val="-7"/>
          <w:sz w:val="14"/>
        </w:rPr>
        <w:t> </w:t>
      </w:r>
      <w:r>
        <w:rPr>
          <w:sz w:val="14"/>
        </w:rPr>
        <w:t>the</w:t>
      </w:r>
      <w:r>
        <w:rPr>
          <w:spacing w:val="-6"/>
          <w:sz w:val="14"/>
        </w:rPr>
        <w:t> </w:t>
      </w:r>
      <w:r>
        <w:rPr>
          <w:sz w:val="14"/>
        </w:rPr>
        <w:t>exchange</w:t>
      </w:r>
      <w:r>
        <w:rPr>
          <w:spacing w:val="-6"/>
          <w:sz w:val="14"/>
        </w:rPr>
        <w:t> </w:t>
      </w:r>
      <w:r>
        <w:rPr>
          <w:sz w:val="14"/>
        </w:rPr>
        <w:t>rate</w:t>
      </w:r>
      <w:r>
        <w:rPr>
          <w:spacing w:val="-7"/>
          <w:sz w:val="14"/>
        </w:rPr>
        <w:t> </w:t>
      </w:r>
      <w:r>
        <w:rPr>
          <w:sz w:val="14"/>
        </w:rPr>
        <w:t>appreciation</w:t>
      </w:r>
      <w:r>
        <w:rPr>
          <w:spacing w:val="-6"/>
          <w:sz w:val="14"/>
        </w:rPr>
        <w:t> </w:t>
      </w:r>
      <w:r>
        <w:rPr>
          <w:sz w:val="14"/>
        </w:rPr>
        <w:t>and</w:t>
      </w:r>
      <w:r>
        <w:rPr>
          <w:spacing w:val="-6"/>
          <w:sz w:val="14"/>
        </w:rPr>
        <w:t> </w:t>
      </w:r>
      <w:r>
        <w:rPr>
          <w:sz w:val="14"/>
        </w:rPr>
        <w:t>narrower</w:t>
      </w:r>
      <w:r>
        <w:rPr>
          <w:spacing w:val="-7"/>
          <w:sz w:val="14"/>
        </w:rPr>
        <w:t> </w:t>
      </w:r>
      <w:r>
        <w:rPr>
          <w:sz w:val="14"/>
        </w:rPr>
        <w:t>margins.</w:t>
      </w:r>
    </w:p>
    <w:p>
      <w:pPr>
        <w:pStyle w:val="ListParagraph"/>
        <w:numPr>
          <w:ilvl w:val="2"/>
          <w:numId w:val="2"/>
        </w:numPr>
        <w:tabs>
          <w:tab w:pos="1699" w:val="left" w:leader="none"/>
        </w:tabs>
        <w:spacing w:line="187" w:lineRule="auto" w:before="97" w:after="0"/>
        <w:ind w:left="1468" w:right="5623" w:firstLine="0"/>
        <w:jc w:val="left"/>
        <w:rPr>
          <w:sz w:val="14"/>
        </w:rPr>
      </w:pPr>
      <w:r>
        <w:rPr>
          <w:sz w:val="14"/>
        </w:rPr>
        <w:t>The Bank’s conventional measure indicates that the economy</w:t>
      </w:r>
      <w:r>
        <w:rPr>
          <w:spacing w:val="-32"/>
          <w:sz w:val="14"/>
        </w:rPr>
        <w:t> </w:t>
      </w:r>
      <w:r>
        <w:rPr>
          <w:sz w:val="14"/>
        </w:rPr>
        <w:t>was</w:t>
      </w:r>
      <w:r>
        <w:rPr>
          <w:spacing w:val="-6"/>
          <w:sz w:val="14"/>
        </w:rPr>
        <w:t> </w:t>
      </w:r>
      <w:r>
        <w:rPr>
          <w:sz w:val="14"/>
        </w:rPr>
        <w:t>operating</w:t>
      </w:r>
      <w:r>
        <w:rPr>
          <w:spacing w:val="-5"/>
          <w:sz w:val="14"/>
        </w:rPr>
        <w:t> </w:t>
      </w:r>
      <w:r>
        <w:rPr>
          <w:sz w:val="14"/>
        </w:rPr>
        <w:t>about</w:t>
      </w:r>
      <w:r>
        <w:rPr>
          <w:spacing w:val="-4"/>
          <w:sz w:val="14"/>
        </w:rPr>
        <w:t> </w:t>
      </w:r>
      <w:r>
        <w:rPr>
          <w:sz w:val="14"/>
        </w:rPr>
        <w:t>0.6</w:t>
      </w:r>
      <w:r>
        <w:rPr>
          <w:spacing w:val="-6"/>
          <w:sz w:val="14"/>
        </w:rPr>
        <w:t> </w:t>
      </w:r>
      <w:r>
        <w:rPr>
          <w:sz w:val="14"/>
        </w:rPr>
        <w:t>per</w:t>
      </w:r>
      <w:r>
        <w:rPr>
          <w:spacing w:val="-5"/>
          <w:sz w:val="14"/>
        </w:rPr>
        <w:t> </w:t>
      </w:r>
      <w:r>
        <w:rPr>
          <w:sz w:val="14"/>
        </w:rPr>
        <w:t>cent</w:t>
      </w:r>
      <w:r>
        <w:rPr>
          <w:spacing w:val="-4"/>
          <w:sz w:val="14"/>
        </w:rPr>
        <w:t> </w:t>
      </w:r>
      <w:r>
        <w:rPr>
          <w:sz w:val="14"/>
        </w:rPr>
        <w:t>above</w:t>
      </w:r>
      <w:r>
        <w:rPr>
          <w:spacing w:val="-6"/>
          <w:sz w:val="14"/>
        </w:rPr>
        <w:t> </w:t>
      </w:r>
      <w:r>
        <w:rPr>
          <w:sz w:val="14"/>
        </w:rPr>
        <w:t>its</w:t>
      </w:r>
      <w:r>
        <w:rPr>
          <w:spacing w:val="-4"/>
          <w:sz w:val="14"/>
        </w:rPr>
        <w:t> </w:t>
      </w:r>
      <w:r>
        <w:rPr>
          <w:sz w:val="14"/>
        </w:rPr>
        <w:t>production</w:t>
      </w:r>
      <w:r>
        <w:rPr>
          <w:spacing w:val="-5"/>
          <w:sz w:val="14"/>
        </w:rPr>
        <w:t> </w:t>
      </w:r>
      <w:r>
        <w:rPr>
          <w:sz w:val="14"/>
        </w:rPr>
        <w:t>potential</w:t>
      </w:r>
      <w:r>
        <w:rPr>
          <w:spacing w:val="-5"/>
          <w:sz w:val="14"/>
        </w:rPr>
        <w:t> </w:t>
      </w:r>
      <w:r>
        <w:rPr>
          <w:sz w:val="14"/>
        </w:rPr>
        <w:t>in</w:t>
      </w:r>
      <w:r>
        <w:rPr>
          <w:spacing w:val="-32"/>
          <w:sz w:val="14"/>
        </w:rPr>
        <w:t> </w:t>
      </w:r>
      <w:r>
        <w:rPr>
          <w:sz w:val="14"/>
        </w:rPr>
        <w:t>the fourth quarter of 2007. The estimated level of excess demand</w:t>
      </w:r>
      <w:r>
        <w:rPr>
          <w:spacing w:val="1"/>
          <w:sz w:val="14"/>
        </w:rPr>
        <w:t> </w:t>
      </w:r>
      <w:r>
        <w:rPr>
          <w:sz w:val="14"/>
        </w:rPr>
        <w:t>in</w:t>
      </w:r>
      <w:r>
        <w:rPr>
          <w:spacing w:val="-3"/>
          <w:sz w:val="14"/>
        </w:rPr>
        <w:t> </w:t>
      </w:r>
      <w:r>
        <w:rPr>
          <w:sz w:val="14"/>
        </w:rPr>
        <w:t>the</w:t>
      </w:r>
      <w:r>
        <w:rPr>
          <w:spacing w:val="-3"/>
          <w:sz w:val="14"/>
        </w:rPr>
        <w:t> </w:t>
      </w:r>
      <w:r>
        <w:rPr>
          <w:sz w:val="14"/>
        </w:rPr>
        <w:t>fourth</w:t>
      </w:r>
      <w:r>
        <w:rPr>
          <w:spacing w:val="-4"/>
          <w:sz w:val="14"/>
        </w:rPr>
        <w:t> </w:t>
      </w:r>
      <w:r>
        <w:rPr>
          <w:sz w:val="14"/>
        </w:rPr>
        <w:t>quarter</w:t>
      </w:r>
      <w:r>
        <w:rPr>
          <w:spacing w:val="-3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2007</w:t>
      </w:r>
      <w:r>
        <w:rPr>
          <w:spacing w:val="-2"/>
          <w:sz w:val="14"/>
        </w:rPr>
        <w:t> </w:t>
      </w:r>
      <w:r>
        <w:rPr>
          <w:sz w:val="14"/>
        </w:rPr>
        <w:t>is</w:t>
      </w:r>
      <w:r>
        <w:rPr>
          <w:spacing w:val="-4"/>
          <w:sz w:val="14"/>
        </w:rPr>
        <w:t> </w:t>
      </w:r>
      <w:r>
        <w:rPr>
          <w:sz w:val="14"/>
        </w:rPr>
        <w:t>about</w:t>
      </w:r>
      <w:r>
        <w:rPr>
          <w:spacing w:val="-3"/>
          <w:sz w:val="14"/>
        </w:rPr>
        <w:t> </w:t>
      </w:r>
      <w:r>
        <w:rPr>
          <w:sz w:val="14"/>
        </w:rPr>
        <w:t>0.1</w:t>
      </w:r>
      <w:r>
        <w:rPr>
          <w:spacing w:val="-2"/>
          <w:sz w:val="14"/>
        </w:rPr>
        <w:t> </w:t>
      </w:r>
      <w:r>
        <w:rPr>
          <w:sz w:val="14"/>
        </w:rPr>
        <w:t>percentage</w:t>
      </w:r>
      <w:r>
        <w:rPr>
          <w:spacing w:val="-4"/>
          <w:sz w:val="14"/>
        </w:rPr>
        <w:t> </w:t>
      </w:r>
      <w:r>
        <w:rPr>
          <w:sz w:val="14"/>
        </w:rPr>
        <w:t>points</w:t>
      </w:r>
      <w:r>
        <w:rPr>
          <w:spacing w:val="-3"/>
          <w:sz w:val="14"/>
        </w:rPr>
        <w:t> </w:t>
      </w:r>
      <w:r>
        <w:rPr>
          <w:sz w:val="14"/>
        </w:rPr>
        <w:t>higher</w:t>
      </w:r>
      <w:r>
        <w:rPr>
          <w:spacing w:val="-32"/>
          <w:sz w:val="14"/>
        </w:rPr>
        <w:t> </w:t>
      </w:r>
      <w:r>
        <w:rPr>
          <w:sz w:val="14"/>
        </w:rPr>
        <w:t>than was projected in the October </w:t>
      </w:r>
      <w:r>
        <w:rPr>
          <w:i/>
          <w:sz w:val="14"/>
        </w:rPr>
        <w:t>Report</w:t>
      </w:r>
      <w:r>
        <w:rPr>
          <w:sz w:val="14"/>
        </w:rPr>
        <w:t>. This rise is mainly the</w:t>
      </w:r>
      <w:r>
        <w:rPr>
          <w:spacing w:val="1"/>
          <w:sz w:val="14"/>
        </w:rPr>
        <w:t> </w:t>
      </w:r>
      <w:r>
        <w:rPr>
          <w:sz w:val="14"/>
        </w:rPr>
        <w:t>result of a marginal decrease in the estimated level of production</w:t>
      </w:r>
      <w:r>
        <w:rPr>
          <w:spacing w:val="-32"/>
          <w:sz w:val="14"/>
        </w:rPr>
        <w:t> </w:t>
      </w:r>
      <w:r>
        <w:rPr>
          <w:sz w:val="14"/>
        </w:rPr>
        <w:t>capacity.</w:t>
      </w:r>
    </w:p>
    <w:p>
      <w:pPr>
        <w:spacing w:after="0" w:line="187" w:lineRule="auto"/>
        <w:jc w:val="left"/>
        <w:rPr>
          <w:sz w:val="14"/>
        </w:rPr>
        <w:sectPr>
          <w:type w:val="continuous"/>
          <w:pgSz w:w="12240" w:h="15840"/>
          <w:pgMar w:header="661" w:footer="764" w:top="360" w:bottom="280" w:left="260" w:right="8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661" w:footer="764" w:top="860" w:bottom="960" w:left="260" w:right="860"/>
        </w:sectPr>
      </w:pPr>
    </w:p>
    <w:p>
      <w:pPr>
        <w:pStyle w:val="BodyText"/>
        <w:spacing w:line="187" w:lineRule="auto" w:before="155"/>
        <w:ind w:left="1539" w:firstLine="360"/>
        <w:jc w:val="both"/>
      </w:pPr>
      <w:r>
        <w:rPr/>
        <w:t>At the same time, however, there 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considerable</w:t>
      </w:r>
      <w:r>
        <w:rPr>
          <w:spacing w:val="1"/>
        </w:rPr>
        <w:t> </w:t>
      </w:r>
      <w:r>
        <w:rPr/>
        <w:t>widening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credit</w:t>
      </w:r>
      <w:r>
        <w:rPr>
          <w:spacing w:val="1"/>
        </w:rPr>
        <w:t> </w:t>
      </w:r>
      <w:r>
        <w:rPr/>
        <w:t>spreads in Canadian and global bond mar-</w:t>
      </w:r>
      <w:r>
        <w:rPr>
          <w:spacing w:val="1"/>
        </w:rPr>
        <w:t> </w:t>
      </w:r>
      <w:r>
        <w:rPr/>
        <w:t>kets for financial and non-financial institu-</w:t>
      </w:r>
      <w:r>
        <w:rPr>
          <w:spacing w:val="1"/>
        </w:rPr>
        <w:t> </w:t>
      </w:r>
      <w:r>
        <w:rPr/>
        <w:t>tions. For example, for 10-year bonds, the</w:t>
      </w:r>
      <w:r>
        <w:rPr>
          <w:spacing w:val="1"/>
        </w:rPr>
        <w:t> </w:t>
      </w:r>
      <w:r>
        <w:rPr/>
        <w:t>spreads for “A”-rated Canadian borrowers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yields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Canada</w:t>
      </w:r>
      <w:r>
        <w:rPr>
          <w:spacing w:val="1"/>
        </w:rPr>
        <w:t> </w:t>
      </w:r>
      <w:r>
        <w:rPr/>
        <w:t>bonds have widened from about 100 basis</w:t>
      </w:r>
      <w:r>
        <w:rPr>
          <w:spacing w:val="1"/>
        </w:rPr>
        <w:t> </w:t>
      </w:r>
      <w:r>
        <w:rPr/>
        <w:t>points to around 140 basis points since the</w:t>
      </w:r>
      <w:r>
        <w:rPr>
          <w:spacing w:val="1"/>
        </w:rPr>
        <w:t> </w:t>
      </w:r>
      <w:r>
        <w:rPr/>
        <w:t>October</w:t>
      </w:r>
      <w:r>
        <w:rPr>
          <w:spacing w:val="-1"/>
        </w:rPr>
        <w:t> </w:t>
      </w:r>
      <w:r>
        <w:rPr>
          <w:i/>
        </w:rPr>
        <w:t>Report</w:t>
      </w:r>
      <w:r>
        <w:rPr/>
        <w:t>.</w:t>
      </w:r>
    </w:p>
    <w:p>
      <w:pPr>
        <w:pStyle w:val="BodyText"/>
        <w:spacing w:line="187" w:lineRule="auto"/>
        <w:ind w:left="1539" w:firstLine="360"/>
        <w:jc w:val="right"/>
      </w:pPr>
      <w:r>
        <w:rPr/>
        <w:t>The</w:t>
      </w:r>
      <w:r>
        <w:rPr>
          <w:spacing w:val="6"/>
        </w:rPr>
        <w:t> </w:t>
      </w:r>
      <w:r>
        <w:rPr/>
        <w:t>spread</w:t>
      </w:r>
      <w:r>
        <w:rPr>
          <w:spacing w:val="6"/>
        </w:rPr>
        <w:t> </w:t>
      </w:r>
      <w:r>
        <w:rPr/>
        <w:t>between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effective</w:t>
      </w:r>
      <w:r>
        <w:rPr>
          <w:spacing w:val="7"/>
        </w:rPr>
        <w:t> </w:t>
      </w:r>
      <w:r>
        <w:rPr>
          <w:i/>
        </w:rPr>
        <w:t>house-</w:t>
      </w:r>
      <w:r>
        <w:rPr>
          <w:i/>
          <w:spacing w:val="-50"/>
        </w:rPr>
        <w:t> </w:t>
      </w:r>
      <w:r>
        <w:rPr>
          <w:i/>
        </w:rPr>
        <w:t>hold </w:t>
      </w:r>
      <w:r>
        <w:rPr/>
        <w:t>borrowing rate</w:t>
      </w:r>
      <w:r>
        <w:rPr>
          <w:spacing w:val="1"/>
        </w:rPr>
        <w:t> </w:t>
      </w:r>
      <w:r>
        <w:rPr/>
        <w:t>and the</w:t>
      </w:r>
      <w:r>
        <w:rPr>
          <w:spacing w:val="1"/>
        </w:rPr>
        <w:t> </w:t>
      </w:r>
      <w:r>
        <w:rPr/>
        <w:t>expected target</w:t>
      </w:r>
      <w:r>
        <w:rPr>
          <w:spacing w:val="-49"/>
        </w:rPr>
        <w:t> </w:t>
      </w:r>
      <w:r>
        <w:rPr>
          <w:spacing w:val="-2"/>
        </w:rPr>
        <w:t>overnight</w:t>
      </w:r>
      <w:r>
        <w:rPr>
          <w:spacing w:val="-11"/>
        </w:rPr>
        <w:t> </w:t>
      </w:r>
      <w:r>
        <w:rPr>
          <w:spacing w:val="-2"/>
        </w:rPr>
        <w:t>rate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estimated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9"/>
        </w:rPr>
        <w:t> </w:t>
      </w:r>
      <w:r>
        <w:rPr>
          <w:spacing w:val="-1"/>
        </w:rPr>
        <w:t>have</w:t>
      </w:r>
      <w:r>
        <w:rPr>
          <w:spacing w:val="-10"/>
        </w:rPr>
        <w:t> </w:t>
      </w:r>
      <w:r>
        <w:rPr>
          <w:spacing w:val="-1"/>
        </w:rPr>
        <w:t>increased</w:t>
      </w:r>
      <w:r>
        <w:rPr>
          <w:spacing w:val="-50"/>
        </w:rPr>
        <w:t> </w:t>
      </w:r>
      <w:r>
        <w:rPr/>
        <w:t>by</w:t>
      </w:r>
      <w:r>
        <w:rPr>
          <w:spacing w:val="-12"/>
        </w:rPr>
        <w:t> </w:t>
      </w:r>
      <w:r>
        <w:rPr/>
        <w:t>about</w:t>
      </w:r>
      <w:r>
        <w:rPr>
          <w:spacing w:val="-11"/>
        </w:rPr>
        <w:t> </w:t>
      </w:r>
      <w:r>
        <w:rPr/>
        <w:t>20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25</w:t>
      </w:r>
      <w:r>
        <w:rPr>
          <w:spacing w:val="-12"/>
        </w:rPr>
        <w:t> </w:t>
      </w:r>
      <w:r>
        <w:rPr/>
        <w:t>basis</w:t>
      </w:r>
      <w:r>
        <w:rPr>
          <w:spacing w:val="-11"/>
        </w:rPr>
        <w:t> </w:t>
      </w:r>
      <w:r>
        <w:rPr/>
        <w:t>points</w:t>
      </w:r>
      <w:r>
        <w:rPr>
          <w:spacing w:val="-12"/>
        </w:rPr>
        <w:t> </w:t>
      </w:r>
      <w:r>
        <w:rPr/>
        <w:t>since</w:t>
      </w:r>
      <w:r>
        <w:rPr>
          <w:spacing w:val="-11"/>
        </w:rPr>
        <w:t> </w:t>
      </w:r>
      <w:r>
        <w:rPr/>
        <w:t>October.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spread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>
          <w:i/>
        </w:rPr>
        <w:t>non-financial</w:t>
      </w:r>
      <w:r>
        <w:rPr>
          <w:i/>
          <w:spacing w:val="30"/>
        </w:rPr>
        <w:t> </w:t>
      </w:r>
      <w:r>
        <w:rPr>
          <w:i/>
        </w:rPr>
        <w:t>firms</w:t>
      </w:r>
      <w:r>
        <w:rPr>
          <w:i/>
          <w:spacing w:val="30"/>
        </w:rPr>
        <w:t> </w:t>
      </w:r>
      <w:r>
        <w:rPr/>
        <w:t>can</w:t>
      </w:r>
      <w:r>
        <w:rPr>
          <w:spacing w:val="42"/>
        </w:rPr>
        <w:t> </w:t>
      </w:r>
      <w:r>
        <w:rPr/>
        <w:t>borrow</w:t>
      </w:r>
      <w:r>
        <w:rPr>
          <w:spacing w:val="42"/>
        </w:rPr>
        <w:t> </w:t>
      </w:r>
      <w:r>
        <w:rPr/>
        <w:t>from</w:t>
      </w:r>
      <w:r>
        <w:rPr>
          <w:spacing w:val="41"/>
        </w:rPr>
        <w:t> </w:t>
      </w:r>
      <w:r>
        <w:rPr/>
        <w:t>finan-</w:t>
      </w:r>
      <w:r>
        <w:rPr>
          <w:spacing w:val="-50"/>
        </w:rPr>
        <w:t> </w:t>
      </w:r>
      <w:r>
        <w:rPr/>
        <w:t>cial</w:t>
      </w:r>
      <w:r>
        <w:rPr>
          <w:spacing w:val="11"/>
        </w:rPr>
        <w:t> </w:t>
      </w:r>
      <w:r>
        <w:rPr/>
        <w:t>institutions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expected</w:t>
      </w:r>
      <w:r>
        <w:rPr>
          <w:spacing w:val="2"/>
        </w:rPr>
        <w:t> </w:t>
      </w:r>
      <w:r>
        <w:rPr/>
        <w:t>overnight</w:t>
      </w:r>
      <w:r>
        <w:rPr>
          <w:spacing w:val="-49"/>
        </w:rPr>
        <w:t> </w:t>
      </w:r>
      <w:r>
        <w:rPr/>
        <w:t>rate</w:t>
      </w:r>
      <w:r>
        <w:rPr>
          <w:spacing w:val="24"/>
        </w:rPr>
        <w:t> </w:t>
      </w:r>
      <w:r>
        <w:rPr/>
        <w:t>has</w:t>
      </w:r>
      <w:r>
        <w:rPr>
          <w:spacing w:val="24"/>
        </w:rPr>
        <w:t> </w:t>
      </w:r>
      <w:r>
        <w:rPr/>
        <w:t>increased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/>
        <w:t>about</w:t>
      </w:r>
      <w:r>
        <w:rPr>
          <w:spacing w:val="34"/>
        </w:rPr>
        <w:t> </w:t>
      </w:r>
      <w:r>
        <w:rPr/>
        <w:t>15</w:t>
      </w:r>
      <w:r>
        <w:rPr>
          <w:spacing w:val="34"/>
        </w:rPr>
        <w:t> </w:t>
      </w:r>
      <w:r>
        <w:rPr/>
        <w:t>to</w:t>
      </w:r>
      <w:r>
        <w:rPr>
          <w:spacing w:val="35"/>
        </w:rPr>
        <w:t> </w:t>
      </w:r>
      <w:r>
        <w:rPr/>
        <w:t>20</w:t>
      </w:r>
      <w:r>
        <w:rPr>
          <w:spacing w:val="34"/>
        </w:rPr>
        <w:t> </w:t>
      </w:r>
      <w:r>
        <w:rPr/>
        <w:t>basis</w:t>
      </w:r>
      <w:r>
        <w:rPr>
          <w:spacing w:val="-50"/>
        </w:rPr>
        <w:t> </w:t>
      </w:r>
      <w:r>
        <w:rPr/>
        <w:t>points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October. Given the increase in</w:t>
      </w:r>
      <w:r>
        <w:rPr>
          <w:spacing w:val="-50"/>
        </w:rPr>
        <w:t> </w:t>
      </w:r>
      <w:r>
        <w:rPr/>
        <w:t>spreads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/>
        <w:t>bond</w:t>
      </w:r>
      <w:r>
        <w:rPr>
          <w:spacing w:val="20"/>
        </w:rPr>
        <w:t> </w:t>
      </w:r>
      <w:r>
        <w:rPr/>
        <w:t>markets,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tightening</w:t>
      </w:r>
      <w:r>
        <w:rPr>
          <w:spacing w:val="-49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terms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conditions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bank</w:t>
      </w:r>
      <w:r>
        <w:rPr>
          <w:spacing w:val="18"/>
        </w:rPr>
        <w:t> </w:t>
      </w:r>
      <w:r>
        <w:rPr/>
        <w:t>loans</w:t>
      </w:r>
      <w:r>
        <w:rPr>
          <w:spacing w:val="-50"/>
        </w:rPr>
        <w:t> </w:t>
      </w:r>
      <w:r>
        <w:rPr/>
        <w:t>and</w:t>
      </w:r>
      <w:r>
        <w:rPr>
          <w:spacing w:val="30"/>
        </w:rPr>
        <w:t> </w:t>
      </w:r>
      <w:r>
        <w:rPr/>
        <w:t>market</w:t>
      </w:r>
      <w:r>
        <w:rPr>
          <w:spacing w:val="31"/>
        </w:rPr>
        <w:t> </w:t>
      </w:r>
      <w:r>
        <w:rPr/>
        <w:t>debt,</w:t>
      </w:r>
      <w:r>
        <w:rPr>
          <w:spacing w:val="30"/>
        </w:rPr>
        <w:t> </w:t>
      </w:r>
      <w:r>
        <w:rPr/>
        <w:t>there</w:t>
      </w:r>
      <w:r>
        <w:rPr>
          <w:spacing w:val="30"/>
        </w:rPr>
        <w:t> </w:t>
      </w:r>
      <w:r>
        <w:rPr/>
        <w:t>has</w:t>
      </w:r>
      <w:r>
        <w:rPr>
          <w:spacing w:val="30"/>
        </w:rPr>
        <w:t> </w:t>
      </w:r>
      <w:r>
        <w:rPr/>
        <w:t>been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/>
        <w:t>signifi-</w:t>
      </w:r>
      <w:r>
        <w:rPr>
          <w:spacing w:val="-49"/>
        </w:rPr>
        <w:t> </w:t>
      </w:r>
      <w:r>
        <w:rPr/>
        <w:t>cant</w:t>
      </w:r>
      <w:r>
        <w:rPr>
          <w:spacing w:val="-8"/>
        </w:rPr>
        <w:t> </w:t>
      </w:r>
      <w:r>
        <w:rPr/>
        <w:t>tightening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credit</w:t>
      </w:r>
      <w:r>
        <w:rPr>
          <w:spacing w:val="-7"/>
        </w:rPr>
        <w:t> </w:t>
      </w:r>
      <w:r>
        <w:rPr/>
        <w:t>conditions</w:t>
      </w:r>
      <w:r>
        <w:rPr>
          <w:spacing w:val="-8"/>
        </w:rPr>
        <w:t> </w:t>
      </w:r>
      <w:r>
        <w:rPr/>
        <w:t>faced</w:t>
      </w:r>
      <w:r>
        <w:rPr>
          <w:spacing w:val="-8"/>
        </w:rPr>
        <w:t> </w:t>
      </w:r>
      <w:r>
        <w:rPr/>
        <w:t>by</w:t>
      </w:r>
    </w:p>
    <w:p>
      <w:pPr>
        <w:pStyle w:val="BodyText"/>
        <w:spacing w:line="277" w:lineRule="exact"/>
        <w:ind w:left="1539"/>
      </w:pPr>
      <w:r>
        <w:rPr/>
        <w:t>firms.</w:t>
      </w:r>
    </w:p>
    <w:p>
      <w:pPr>
        <w:pStyle w:val="Heading2"/>
        <w:ind w:left="1540"/>
        <w:jc w:val="left"/>
      </w:pPr>
      <w:bookmarkStart w:name="Policy Rates" w:id="9"/>
      <w:bookmarkEnd w:id="9"/>
      <w:r>
        <w:rPr>
          <w:b w:val="0"/>
          <w:i w:val="0"/>
        </w:rPr>
      </w:r>
      <w:r>
        <w:rPr/>
        <w:t>Policy</w:t>
      </w:r>
      <w:r>
        <w:rPr>
          <w:spacing w:val="-5"/>
        </w:rPr>
        <w:t> </w:t>
      </w:r>
      <w:r>
        <w:rPr/>
        <w:t>Rates</w:t>
      </w:r>
    </w:p>
    <w:p>
      <w:pPr>
        <w:pStyle w:val="BodyText"/>
        <w:spacing w:line="187" w:lineRule="auto" w:before="14"/>
        <w:ind w:left="1540"/>
        <w:jc w:val="both"/>
      </w:pPr>
      <w:r>
        <w:rPr/>
        <w:t>Since the October </w:t>
      </w:r>
      <w:r>
        <w:rPr>
          <w:i/>
        </w:rPr>
        <w:t>Report</w:t>
      </w:r>
      <w:r>
        <w:rPr/>
        <w:t>, policy rates have</w:t>
      </w:r>
      <w:r>
        <w:rPr>
          <w:spacing w:val="1"/>
        </w:rPr>
        <w:t> </w:t>
      </w:r>
      <w:r>
        <w:rPr/>
        <w:t>been reduced in both the United States and</w:t>
      </w:r>
      <w:r>
        <w:rPr>
          <w:spacing w:val="1"/>
        </w:rPr>
        <w:t> </w:t>
      </w:r>
      <w:r>
        <w:rPr/>
        <w:t>Canada.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weaker</w:t>
      </w:r>
      <w:r>
        <w:rPr>
          <w:spacing w:val="-5"/>
        </w:rPr>
        <w:t> </w:t>
      </w:r>
      <w:r>
        <w:rPr/>
        <w:t>economic</w:t>
      </w:r>
      <w:r>
        <w:rPr>
          <w:spacing w:val="-6"/>
        </w:rPr>
        <w:t> </w:t>
      </w:r>
      <w:r>
        <w:rPr/>
        <w:t>outlook</w:t>
      </w:r>
      <w:r>
        <w:rPr>
          <w:spacing w:val="-50"/>
        </w:rPr>
        <w:t> </w:t>
      </w:r>
      <w:r>
        <w:rPr/>
        <w:t>and further tightening of credit conditions,</w:t>
      </w:r>
      <w:r>
        <w:rPr>
          <w:spacing w:val="1"/>
        </w:rPr>
        <w:t> </w:t>
      </w:r>
      <w:r>
        <w:rPr/>
        <w:t>market expectations in a number of indus-</w:t>
      </w:r>
      <w:r>
        <w:rPr>
          <w:spacing w:val="1"/>
        </w:rPr>
        <w:t> </w:t>
      </w:r>
      <w:r>
        <w:rPr/>
        <w:t>trialized countries, including Canada and</w:t>
      </w:r>
      <w:r>
        <w:rPr>
          <w:spacing w:val="1"/>
        </w:rPr>
        <w:t> </w:t>
      </w:r>
      <w:r>
        <w:rPr/>
        <w:t>the United States, now reflect significantly</w:t>
      </w:r>
      <w:r>
        <w:rPr>
          <w:spacing w:val="1"/>
        </w:rPr>
        <w:t> </w:t>
      </w:r>
      <w:r>
        <w:rPr/>
        <w:t>lower policy rates for 2008 than at the time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October </w:t>
      </w:r>
      <w:r>
        <w:rPr>
          <w:i/>
        </w:rPr>
        <w:t>Report</w:t>
      </w:r>
      <w:r>
        <w:rPr/>
        <w:t>.</w:t>
      </w:r>
    </w:p>
    <w:p>
      <w:pPr>
        <w:pStyle w:val="Heading2"/>
        <w:spacing w:before="128"/>
        <w:ind w:left="1540"/>
      </w:pPr>
      <w:bookmarkStart w:name="Exchange Rates" w:id="10"/>
      <w:bookmarkEnd w:id="10"/>
      <w:r>
        <w:rPr>
          <w:b w:val="0"/>
          <w:i w:val="0"/>
        </w:rPr>
      </w:r>
      <w:r>
        <w:rPr/>
        <w:t>Exchange</w:t>
      </w:r>
      <w:r>
        <w:rPr>
          <w:spacing w:val="-5"/>
        </w:rPr>
        <w:t> </w:t>
      </w:r>
      <w:r>
        <w:rPr/>
        <w:t>Rates</w:t>
      </w:r>
    </w:p>
    <w:p>
      <w:pPr>
        <w:pStyle w:val="BodyText"/>
        <w:spacing w:line="187" w:lineRule="auto" w:before="14"/>
        <w:ind w:left="1539"/>
        <w:jc w:val="both"/>
      </w:pPr>
      <w:r>
        <w:rPr/>
        <w:t>Against a background of significant volatil-</w:t>
      </w:r>
      <w:r>
        <w:rPr>
          <w:spacing w:val="-50"/>
        </w:rPr>
        <w:t> </w:t>
      </w:r>
      <w:r>
        <w:rPr/>
        <w:t>ity in currencies, commodity prices, and in-</w:t>
      </w:r>
      <w:r>
        <w:rPr>
          <w:spacing w:val="-50"/>
        </w:rPr>
        <w:t> </w:t>
      </w:r>
      <w:r>
        <w:rPr/>
        <w:t>terest rates since the October </w:t>
      </w:r>
      <w:r>
        <w:rPr>
          <w:i/>
        </w:rPr>
        <w:t>Report</w:t>
      </w:r>
      <w:r>
        <w:rPr/>
        <w:t>, and a</w:t>
      </w:r>
      <w:r>
        <w:rPr>
          <w:spacing w:val="1"/>
        </w:rPr>
        <w:t> </w:t>
      </w:r>
      <w:r>
        <w:rPr/>
        <w:t>generally weakening U.S. dollar, the Cana-</w:t>
      </w:r>
      <w:r>
        <w:rPr>
          <w:spacing w:val="1"/>
        </w:rPr>
        <w:t> </w:t>
      </w:r>
      <w:r>
        <w:rPr/>
        <w:t>dian dollar has exhibited exceptional vola-</w:t>
      </w:r>
      <w:r>
        <w:rPr>
          <w:spacing w:val="1"/>
        </w:rPr>
        <w:t> </w:t>
      </w:r>
      <w:r>
        <w:rPr/>
        <w:t>tility.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spiking</w:t>
      </w:r>
      <w:r>
        <w:rPr>
          <w:spacing w:val="1"/>
        </w:rPr>
        <w:t> </w:t>
      </w:r>
      <w:r>
        <w:rPr/>
        <w:t>sharply</w:t>
      </w:r>
      <w:r>
        <w:rPr>
          <w:spacing w:val="1"/>
        </w:rPr>
        <w:t> </w:t>
      </w:r>
      <w:r>
        <w:rPr/>
        <w:t>early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November,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dollar</w:t>
      </w:r>
      <w:r>
        <w:rPr>
          <w:spacing w:val="13"/>
        </w:rPr>
        <w:t> </w:t>
      </w:r>
      <w:r>
        <w:rPr/>
        <w:t>has</w:t>
      </w:r>
      <w:r>
        <w:rPr>
          <w:spacing w:val="11"/>
        </w:rPr>
        <w:t> </w:t>
      </w:r>
      <w:r>
        <w:rPr/>
        <w:t>since</w:t>
      </w:r>
      <w:r>
        <w:rPr>
          <w:spacing w:val="13"/>
        </w:rPr>
        <w:t> </w:t>
      </w:r>
      <w:r>
        <w:rPr/>
        <w:t>declined</w:t>
      </w:r>
      <w:r>
        <w:rPr>
          <w:spacing w:val="12"/>
        </w:rPr>
        <w:t> </w:t>
      </w:r>
      <w:r>
        <w:rPr/>
        <w:t>to</w:t>
      </w:r>
    </w:p>
    <w:p>
      <w:pPr>
        <w:spacing w:line="240" w:lineRule="auto" w:before="13" w:after="24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ind w:left="482"/>
        <w:rPr>
          <w:sz w:val="20"/>
        </w:rPr>
      </w:pPr>
      <w:r>
        <w:rPr>
          <w:sz w:val="20"/>
        </w:rPr>
        <w:pict>
          <v:group style="width:233.2pt;height:219.85pt;mso-position-horizontal-relative:char;mso-position-vertical-relative:line" id="docshapegroup207" coordorigin="0,0" coordsize="4664,4397">
            <v:rect style="position:absolute;left:13;top:13;width:4637;height:4370" id="docshape208" filled="false" stroked="true" strokeweight="1.32pt" strokecolor="#b29933">
              <v:stroke dashstyle="solid"/>
            </v:rect>
            <v:rect style="position:absolute;left:456;top:1056;width:3751;height:2016" id="docshape209" filled="true" fillcolor="#f4f2e5" stroked="false">
              <v:fill type="solid"/>
            </v:rect>
            <v:line style="position:absolute" from="679,3444" to="466,3444" stroked="true" strokeweight="1.08pt" strokecolor="#41635f">
              <v:stroke dashstyle="solid"/>
            </v:line>
            <v:line style="position:absolute" from="679,3577" to="466,3577" stroked="true" strokeweight="1.08pt" strokecolor="#660000">
              <v:stroke dashstyle="solid"/>
            </v:line>
            <v:line style="position:absolute" from="679,3701" to="466,3701" stroked="true" strokeweight="1.08pt" strokecolor="#b29933">
              <v:stroke dashstyle="solid"/>
            </v:line>
            <v:shape style="position:absolute;left:446;top:1040;width:3785;height:2047" id="docshape210" coordorigin="447,1040" coordsize="3785,2047" path="m3845,2939l3845,3084m3468,2939l3468,3084m3085,2939l3085,3084m2708,2939l2708,3084m2331,2939l2331,3084m1954,2939l1954,3084m1577,2939l1577,3084m1200,2939l1200,3084m824,2939l824,3084m1954,1046l1954,3087m3468,1046l3468,3087m4232,2669l447,2669m4232,2263l447,2263m4232,1858l447,1858m4232,1453l447,1453m3845,1040l3845,1185m3468,1040l3468,1185m3085,1040l3085,1185m2708,1040l2708,1185m2331,1040l2331,1185m1954,1040l1954,1185m1577,1040l1577,1185m1200,1040l1200,1185m824,1040l824,1185e" filled="false" stroked="true" strokeweight="1.08pt" strokecolor="#ffffff">
              <v:path arrowok="t"/>
              <v:stroke dashstyle="solid"/>
            </v:shape>
            <v:shape style="position:absolute;left:438;top:1432;width:3125;height:1354" type="#_x0000_t75" id="docshape211" stroked="false">
              <v:imagedata r:id="rId12" o:title=""/>
            </v:shape>
            <v:shape style="position:absolute;left:330;top:214;width:3479;height:611" type="#_x0000_t202" id="docshape21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6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z w:val="16"/>
                      </w:rPr>
                      <w:t>Chart 5  </w:t>
                    </w:r>
                    <w:r>
                      <w:rPr>
                        <w:rFonts w:ascii="Helvetica"/>
                        <w:b/>
                        <w:color w:val="113D38"/>
                        <w:spacing w:val="32"/>
                        <w:sz w:val="16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16"/>
                      </w:rPr>
                      <w:t>Canadian Dollar Exchange</w:t>
                    </w:r>
                    <w:r>
                      <w:rPr>
                        <w:rFonts w:ascii="Helvetica"/>
                        <w:b/>
                        <w:color w:val="113D38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16"/>
                      </w:rPr>
                      <w:t>Rate and</w:t>
                    </w:r>
                  </w:p>
                  <w:p>
                    <w:pPr>
                      <w:spacing w:line="185" w:lineRule="exact" w:before="0"/>
                      <w:ind w:left="720" w:right="0" w:firstLine="0"/>
                      <w:jc w:val="left"/>
                      <w:rPr>
                        <w:rFonts w:ascii="Helvetica"/>
                        <w:b/>
                        <w:sz w:val="16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z w:val="16"/>
                      </w:rPr>
                      <w:t>U.S.</w:t>
                    </w:r>
                    <w:r>
                      <w:rPr>
                        <w:rFonts w:ascii="Helvetica"/>
                        <w:b/>
                        <w:color w:val="113D38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16"/>
                      </w:rPr>
                      <w:t>Trade-Weighted</w:t>
                    </w:r>
                    <w:r>
                      <w:rPr>
                        <w:rFonts w:ascii="Helvetica"/>
                        <w:b/>
                        <w:color w:val="113D38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16"/>
                      </w:rPr>
                      <w:t>Index</w:t>
                    </w:r>
                  </w:p>
                  <w:p>
                    <w:pPr>
                      <w:spacing w:line="174" w:lineRule="exact" w:before="73"/>
                      <w:ind w:left="720" w:right="0" w:firstLine="0"/>
                      <w:jc w:val="left"/>
                      <w:rPr>
                        <w:rFonts w:ascii="Helvetica"/>
                        <w:sz w:val="15"/>
                      </w:rPr>
                    </w:pPr>
                    <w:r>
                      <w:rPr>
                        <w:rFonts w:ascii="Helvetica"/>
                        <w:sz w:val="15"/>
                      </w:rPr>
                      <w:t>Wednesdays</w:t>
                    </w:r>
                  </w:p>
                </w:txbxContent>
              </v:textbox>
              <w10:wrap type="none"/>
            </v:shape>
            <v:shape style="position:absolute;left:146;top:776;width:4414;height:339" type="#_x0000_t202" id="docshape213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18" w:firstLine="0"/>
                      <w:jc w:val="righ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US$</w:t>
                    </w:r>
                  </w:p>
                  <w:p>
                    <w:pPr>
                      <w:tabs>
                        <w:tab w:pos="4155" w:val="left" w:leader="none"/>
                      </w:tabs>
                      <w:spacing w:line="151" w:lineRule="exact" w:before="51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position w:val="1"/>
                        <w:sz w:val="12"/>
                      </w:rPr>
                      <w:t>140</w:t>
                      <w:tab/>
                    </w: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1.25</w:t>
                    </w:r>
                  </w:p>
                </w:txbxContent>
              </v:textbox>
              <w10:wrap type="none"/>
            </v:shape>
            <v:shape style="position:absolute;left:146;top:1379;width:221;height:135" type="#_x0000_t202" id="docshape214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130</w:t>
                    </w:r>
                  </w:p>
                </w:txbxContent>
              </v:textbox>
              <w10:wrap type="none"/>
            </v:shape>
            <v:shape style="position:absolute;left:4302;top:1360;width:254;height:135" type="#_x0000_t202" id="docshape215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1.15</w:t>
                    </w:r>
                  </w:p>
                </w:txbxContent>
              </v:textbox>
              <w10:wrap type="none"/>
            </v:shape>
            <v:shape style="position:absolute;left:146;top:1784;width:221;height:135" type="#_x0000_t202" id="docshape216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120</w:t>
                    </w:r>
                  </w:p>
                </w:txbxContent>
              </v:textbox>
              <w10:wrap type="none"/>
            </v:shape>
            <v:shape style="position:absolute;left:4302;top:1766;width:254;height:135" type="#_x0000_t202" id="docshape217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1.05</w:t>
                    </w:r>
                  </w:p>
                </w:txbxContent>
              </v:textbox>
              <w10:wrap type="none"/>
            </v:shape>
            <v:shape style="position:absolute;left:146;top:2189;width:221;height:135" type="#_x0000_t202" id="docshape218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110</w:t>
                    </w:r>
                  </w:p>
                </w:txbxContent>
              </v:textbox>
              <w10:wrap type="none"/>
            </v:shape>
            <v:shape style="position:absolute;left:4302;top:2171;width:254;height:135" type="#_x0000_t202" id="docshape219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0.95</w:t>
                    </w:r>
                  </w:p>
                </w:txbxContent>
              </v:textbox>
              <w10:wrap type="none"/>
            </v:shape>
            <v:shape style="position:absolute;left:146;top:2595;width:221;height:135" type="#_x0000_t202" id="docshape220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100</w:t>
                    </w:r>
                  </w:p>
                </w:txbxContent>
              </v:textbox>
              <w10:wrap type="none"/>
            </v:shape>
            <v:shape style="position:absolute;left:4302;top:2576;width:254;height:135" type="#_x0000_t202" id="docshape221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0.85</w:t>
                    </w:r>
                  </w:p>
                </w:txbxContent>
              </v:textbox>
              <w10:wrap type="none"/>
            </v:shape>
            <v:shape style="position:absolute;left:213;top:2982;width:154;height:135" type="#_x0000_t202" id="docshape22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90</w:t>
                    </w:r>
                  </w:p>
                </w:txbxContent>
              </v:textbox>
              <w10:wrap type="none"/>
            </v:shape>
            <v:shape style="position:absolute;left:4302;top:2982;width:254;height:135" type="#_x0000_t202" id="docshape223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0.75</w:t>
                    </w:r>
                  </w:p>
                </w:txbxContent>
              </v:textbox>
              <w10:wrap type="none"/>
            </v:shape>
            <v:shape style="position:absolute;left:447;top:3152;width:3772;height:1103" type="#_x0000_t202" id="docshape224" filled="false" stroked="false">
              <v:textbox inset="0,0,0,0">
                <w:txbxContent>
                  <w:p>
                    <w:pPr>
                      <w:tabs>
                        <w:tab w:pos="2122" w:val="left" w:leader="none"/>
                        <w:tab w:pos="3266" w:val="left" w:leader="none"/>
                      </w:tabs>
                      <w:spacing w:line="136" w:lineRule="exact" w:before="0"/>
                      <w:ind w:left="617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2006</w:t>
                      <w:tab/>
                      <w:t>2007</w:t>
                      <w:tab/>
                      <w:t>2008</w:t>
                    </w:r>
                  </w:p>
                  <w:p>
                    <w:pPr>
                      <w:spacing w:before="73"/>
                      <w:ind w:left="318" w:right="277" w:firstLine="0"/>
                      <w:jc w:val="left"/>
                      <w:rPr>
                        <w:rFonts w:ascii="Helvetica" w:hAnsi="Helvetica"/>
                        <w:sz w:val="12"/>
                      </w:rPr>
                    </w:pPr>
                    <w:r>
                      <w:rPr>
                        <w:rFonts w:ascii="Helvetica" w:hAnsi="Helvetica"/>
                        <w:sz w:val="12"/>
                      </w:rPr>
                      <w:t>Closing</w:t>
                    </w:r>
                    <w:r>
                      <w:rPr>
                        <w:rFonts w:ascii="Helvetica" w:hAnsi="Helvetica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spot</w:t>
                    </w:r>
                    <w:r>
                      <w:rPr>
                        <w:rFonts w:ascii="Helvetica" w:hAnsi="Helvetica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exchange</w:t>
                    </w:r>
                    <w:r>
                      <w:rPr>
                        <w:rFonts w:ascii="Helvetica" w:hAnsi="Helvetica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rate</w:t>
                    </w:r>
                    <w:r>
                      <w:rPr>
                        <w:rFonts w:ascii="Helvetica" w:hAnsi="Helvetica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vis-à-vis</w:t>
                    </w:r>
                    <w:r>
                      <w:rPr>
                        <w:rFonts w:ascii="Helvetica" w:hAnsi="Helvetica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U.S.</w:t>
                    </w:r>
                    <w:r>
                      <w:rPr>
                        <w:rFonts w:ascii="Helvetica" w:hAnsi="Helvetica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dollar</w:t>
                    </w:r>
                    <w:r>
                      <w:rPr>
                        <w:rFonts w:ascii="Helvetica" w:hAnsi="Helvetica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(right</w:t>
                    </w:r>
                    <w:r>
                      <w:rPr>
                        <w:rFonts w:ascii="Helvetica" w:hAnsi="Helvetica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scale)</w:t>
                    </w:r>
                    <w:r>
                      <w:rPr>
                        <w:rFonts w:ascii="Helvetica" w:hAnsi="Helvetica"/>
                        <w:spacing w:val="-31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CERI</w:t>
                    </w:r>
                    <w:r>
                      <w:rPr>
                        <w:rFonts w:ascii="Helvetica" w:hAns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excluding</w:t>
                    </w:r>
                    <w:r>
                      <w:rPr>
                        <w:rFonts w:ascii="Helvetica" w:hAns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U.S. dollar</w:t>
                    </w:r>
                    <w:r>
                      <w:rPr>
                        <w:rFonts w:ascii="Helvetica" w:hAns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(left</w:t>
                    </w:r>
                    <w:r>
                      <w:rPr>
                        <w:rFonts w:ascii="Helvetica" w:hAns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 w:hAnsi="Helvetica"/>
                        <w:sz w:val="12"/>
                      </w:rPr>
                      <w:t>scale, 1992=100)</w:t>
                    </w:r>
                  </w:p>
                  <w:p>
                    <w:pPr>
                      <w:spacing w:line="139" w:lineRule="exact" w:before="0"/>
                      <w:ind w:left="318" w:right="0" w:firstLine="0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z w:val="12"/>
                      </w:rPr>
                      <w:t>U.S.</w:t>
                    </w:r>
                    <w:r>
                      <w:rPr>
                        <w:rFonts w:ascii="Helvetica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broad</w:t>
                    </w:r>
                    <w:r>
                      <w:rPr>
                        <w:rFonts w:ascii="Helvetica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dollar</w:t>
                    </w:r>
                    <w:r>
                      <w:rPr>
                        <w:rFonts w:ascii="Helvetica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trade-weighted</w:t>
                    </w:r>
                    <w:r>
                      <w:rPr>
                        <w:rFonts w:ascii="Helvetica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index</w:t>
                    </w:r>
                    <w:r>
                      <w:rPr>
                        <w:rFonts w:ascii="Helvetica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(left</w:t>
                    </w:r>
                    <w:r>
                      <w:rPr>
                        <w:rFonts w:ascii="Helvetica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scale,</w:t>
                    </w:r>
                    <w:r>
                      <w:rPr>
                        <w:rFonts w:ascii="Helvetica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1997=100)</w:t>
                    </w:r>
                  </w:p>
                  <w:p>
                    <w:pPr>
                      <w:spacing w:before="52"/>
                      <w:ind w:left="335" w:right="16" w:hanging="336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z w:val="12"/>
                      </w:rPr>
                      <w:t>Note:</w:t>
                    </w:r>
                    <w:r>
                      <w:rPr>
                        <w:rFonts w:ascii="Helvetica"/>
                        <w:spacing w:val="8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CERI:</w:t>
                    </w:r>
                    <w:r>
                      <w:rPr>
                        <w:rFonts w:ascii="Helvetica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Canadian-dollar</w:t>
                    </w:r>
                    <w:r>
                      <w:rPr>
                        <w:rFonts w:ascii="Helvetica"/>
                        <w:spacing w:val="-5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trade-weighted</w:t>
                    </w:r>
                    <w:r>
                      <w:rPr>
                        <w:rFonts w:ascii="Helvetica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index</w:t>
                    </w:r>
                    <w:r>
                      <w:rPr>
                        <w:rFonts w:ascii="Helvetica"/>
                        <w:spacing w:val="-5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(against</w:t>
                    </w:r>
                    <w:r>
                      <w:rPr>
                        <w:rFonts w:ascii="Helvetica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U.S.</w:t>
                    </w:r>
                    <w:r>
                      <w:rPr>
                        <w:rFonts w:ascii="Helvetica"/>
                        <w:spacing w:val="-5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dollar,</w:t>
                    </w:r>
                    <w:r>
                      <w:rPr>
                        <w:rFonts w:ascii="Helvetica"/>
                        <w:spacing w:val="-3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euro,</w:t>
                    </w:r>
                    <w:r>
                      <w:rPr>
                        <w:rFonts w:ascii="Helvetica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yen,</w:t>
                    </w:r>
                    <w:r>
                      <w:rPr>
                        <w:rFonts w:ascii="Helvetica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U.K.</w:t>
                    </w:r>
                    <w:r>
                      <w:rPr>
                        <w:rFonts w:asci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pound,</w:t>
                    </w:r>
                    <w:r>
                      <w:rPr>
                        <w:rFonts w:ascii="Helvetica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Mexican</w:t>
                    </w:r>
                    <w:r>
                      <w:rPr>
                        <w:rFonts w:asci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peso,</w:t>
                    </w:r>
                    <w:r>
                      <w:rPr>
                        <w:rFonts w:ascii="Helvetica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and</w:t>
                    </w:r>
                    <w:r>
                      <w:rPr>
                        <w:rFonts w:ascii="Helvetica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Chinese</w:t>
                    </w:r>
                    <w:r>
                      <w:rPr>
                        <w:rFonts w:asci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renminbi)</w:t>
                    </w:r>
                  </w:p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z w:val="12"/>
                      </w:rPr>
                      <w:t>Sources:</w:t>
                    </w:r>
                    <w:r>
                      <w:rPr>
                        <w:rFonts w:asci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Bank</w:t>
                    </w:r>
                    <w:r>
                      <w:rPr>
                        <w:rFonts w:asci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of Canada</w:t>
                    </w:r>
                    <w:r>
                      <w:rPr>
                        <w:rFonts w:asci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and Federal</w:t>
                    </w:r>
                    <w:r>
                      <w:rPr>
                        <w:rFonts w:asci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Reserve Bank</w:t>
                    </w:r>
                    <w:r>
                      <w:rPr>
                        <w:rFonts w:asci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of St.</w:t>
                    </w:r>
                    <w:r>
                      <w:rPr>
                        <w:rFonts w:asci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Louis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187" w:lineRule="auto"/>
        <w:ind w:left="486" w:right="937"/>
        <w:jc w:val="both"/>
      </w:pPr>
      <w:r>
        <w:rPr/>
        <w:t>trade around the level of 98 cents U.S. as-</w:t>
      </w:r>
      <w:r>
        <w:rPr>
          <w:spacing w:val="1"/>
        </w:rPr>
        <w:t> </w:t>
      </w:r>
      <w:r>
        <w:rPr/>
        <w:t>sumed in the October </w:t>
      </w:r>
      <w:r>
        <w:rPr>
          <w:i/>
        </w:rPr>
        <w:t>Report </w:t>
      </w:r>
      <w:r>
        <w:rPr/>
        <w:t>(Chart 5). This</w:t>
      </w:r>
      <w:r>
        <w:rPr>
          <w:spacing w:val="-50"/>
        </w:rPr>
        <w:t> </w:t>
      </w:r>
      <w:r>
        <w:rPr/>
        <w:t>level is not inconsistent with fundamental</w:t>
      </w:r>
      <w:r>
        <w:rPr>
          <w:spacing w:val="1"/>
        </w:rPr>
        <w:t> </w:t>
      </w:r>
      <w:r>
        <w:rPr/>
        <w:t>factors.</w:t>
      </w:r>
    </w:p>
    <w:p>
      <w:pPr>
        <w:pStyle w:val="Heading1"/>
        <w:spacing w:before="140"/>
        <w:ind w:left="486"/>
      </w:pPr>
      <w:bookmarkStart w:name="The Economic Outlook" w:id="11"/>
      <w:bookmarkEnd w:id="11"/>
      <w:r>
        <w:rPr>
          <w:b w:val="0"/>
        </w:rPr>
      </w:r>
      <w:r>
        <w:rPr/>
        <w:t>The Economic Outlook</w:t>
      </w:r>
    </w:p>
    <w:p>
      <w:pPr>
        <w:pStyle w:val="BodyText"/>
        <w:spacing w:line="187" w:lineRule="auto" w:before="32"/>
        <w:ind w:left="486" w:right="937"/>
        <w:jc w:val="both"/>
      </w:pPr>
      <w:r>
        <w:rPr/>
        <w:t>The</w:t>
      </w:r>
      <w:r>
        <w:rPr>
          <w:spacing w:val="1"/>
        </w:rPr>
        <w:t> </w:t>
      </w:r>
      <w:r>
        <w:rPr/>
        <w:t>Bank’s</w:t>
      </w:r>
      <w:r>
        <w:rPr>
          <w:spacing w:val="1"/>
        </w:rPr>
        <w:t> </w:t>
      </w:r>
      <w:r>
        <w:rPr/>
        <w:t>base-case</w:t>
      </w:r>
      <w:r>
        <w:rPr>
          <w:spacing w:val="1"/>
        </w:rPr>
        <w:t> </w:t>
      </w:r>
      <w:r>
        <w:rPr/>
        <w:t>projection</w:t>
      </w:r>
      <w:r>
        <w:rPr>
          <w:spacing w:val="1"/>
        </w:rPr>
        <w:t> </w:t>
      </w:r>
      <w:r>
        <w:rPr/>
        <w:t>incorpo-</w:t>
      </w:r>
      <w:r>
        <w:rPr>
          <w:spacing w:val="1"/>
        </w:rPr>
        <w:t> </w:t>
      </w:r>
      <w:r>
        <w:rPr/>
        <w:t>rates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key</w:t>
      </w:r>
      <w:r>
        <w:rPr>
          <w:spacing w:val="-12"/>
        </w:rPr>
        <w:t> </w:t>
      </w:r>
      <w:r>
        <w:rPr/>
        <w:t>assumptions:</w:t>
      </w:r>
      <w:r>
        <w:rPr>
          <w:spacing w:val="-11"/>
        </w:rPr>
        <w:t> </w:t>
      </w:r>
      <w:r>
        <w:rPr/>
        <w:t>energy</w:t>
      </w:r>
      <w:r>
        <w:rPr>
          <w:spacing w:val="-50"/>
        </w:rPr>
        <w:t> </w:t>
      </w:r>
      <w:r>
        <w:rPr/>
        <w:t>prices evolving in line with current futures</w:t>
      </w:r>
      <w:r>
        <w:rPr>
          <w:spacing w:val="1"/>
        </w:rPr>
        <w:t> </w:t>
      </w:r>
      <w:r>
        <w:rPr/>
        <w:t>prices;</w:t>
      </w:r>
      <w:r>
        <w:rPr>
          <w:spacing w:val="12"/>
        </w:rPr>
        <w:t> </w:t>
      </w:r>
      <w:r>
        <w:rPr/>
        <w:t>as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October</w:t>
      </w:r>
      <w:r>
        <w:rPr>
          <w:spacing w:val="13"/>
        </w:rPr>
        <w:t> </w:t>
      </w:r>
      <w:r>
        <w:rPr>
          <w:i/>
        </w:rPr>
        <w:t>Report,</w:t>
      </w:r>
      <w:r>
        <w:rPr>
          <w:i/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Canada/</w:t>
      </w:r>
    </w:p>
    <w:p>
      <w:pPr>
        <w:pStyle w:val="BodyText"/>
        <w:spacing w:line="187" w:lineRule="auto"/>
        <w:ind w:left="486" w:right="937"/>
        <w:jc w:val="both"/>
      </w:pPr>
      <w:r>
        <w:rPr/>
        <w:t>U.S. exchange rate averaging 98 cents U.S.;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gradual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orderly</w:t>
      </w:r>
      <w:r>
        <w:rPr>
          <w:spacing w:val="1"/>
        </w:rPr>
        <w:t> </w:t>
      </w:r>
      <w:r>
        <w:rPr/>
        <w:t>resolution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global</w:t>
      </w:r>
      <w:r>
        <w:rPr>
          <w:spacing w:val="-2"/>
        </w:rPr>
        <w:t> </w:t>
      </w:r>
      <w:r>
        <w:rPr/>
        <w:t>imbalances.</w:t>
      </w:r>
    </w:p>
    <w:p>
      <w:pPr>
        <w:pStyle w:val="BodyText"/>
        <w:spacing w:line="187" w:lineRule="auto"/>
        <w:ind w:left="486" w:right="937" w:firstLine="360"/>
        <w:jc w:val="both"/>
      </w:pPr>
      <w:r>
        <w:rPr/>
        <w:t>The</w:t>
      </w:r>
      <w:r>
        <w:rPr>
          <w:spacing w:val="-14"/>
        </w:rPr>
        <w:t> </w:t>
      </w:r>
      <w:r>
        <w:rPr/>
        <w:t>robust</w:t>
      </w:r>
      <w:r>
        <w:rPr>
          <w:spacing w:val="-13"/>
        </w:rPr>
        <w:t> </w:t>
      </w:r>
      <w:r>
        <w:rPr/>
        <w:t>expansion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global</w:t>
      </w:r>
      <w:r>
        <w:rPr>
          <w:spacing w:val="-13"/>
        </w:rPr>
        <w:t> </w:t>
      </w:r>
      <w:r>
        <w:rPr/>
        <w:t>econ-</w:t>
      </w:r>
      <w:r>
        <w:rPr>
          <w:spacing w:val="-50"/>
        </w:rPr>
        <w:t> </w:t>
      </w:r>
      <w:r>
        <w:rPr/>
        <w:t>omy</w:t>
      </w:r>
      <w:r>
        <w:rPr>
          <w:spacing w:val="-11"/>
        </w:rPr>
        <w:t> </w:t>
      </w:r>
      <w:r>
        <w:rPr/>
        <w:t>experienced</w:t>
      </w:r>
      <w:r>
        <w:rPr>
          <w:spacing w:val="-9"/>
        </w:rPr>
        <w:t> </w:t>
      </w:r>
      <w:r>
        <w:rPr/>
        <w:t>over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past</w:t>
      </w:r>
      <w:r>
        <w:rPr>
          <w:spacing w:val="-10"/>
        </w:rPr>
        <w:t> </w:t>
      </w:r>
      <w:r>
        <w:rPr/>
        <w:t>several</w:t>
      </w:r>
      <w:r>
        <w:rPr>
          <w:spacing w:val="-10"/>
        </w:rPr>
        <w:t> </w:t>
      </w:r>
      <w:r>
        <w:rPr/>
        <w:t>years</w:t>
      </w:r>
      <w:r>
        <w:rPr>
          <w:spacing w:val="-50"/>
        </w:rPr>
        <w:t> </w:t>
      </w:r>
      <w:r>
        <w:rPr/>
        <w:t>is expected to moderate over 2008–09. The</w:t>
      </w:r>
      <w:r>
        <w:rPr>
          <w:spacing w:val="1"/>
        </w:rPr>
        <w:t> </w:t>
      </w:r>
      <w:r>
        <w:rPr/>
        <w:t>adverse impact of the tightening of credit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industrialized</w:t>
      </w:r>
      <w:r>
        <w:rPr>
          <w:spacing w:val="1"/>
        </w:rPr>
        <w:t> </w:t>
      </w:r>
      <w:r>
        <w:rPr/>
        <w:t>countries</w:t>
      </w:r>
      <w:r>
        <w:rPr>
          <w:spacing w:val="1"/>
        </w:rPr>
        <w:t> </w:t>
      </w:r>
      <w:r>
        <w:rPr/>
        <w:t>should be partially offset by more accom-</w:t>
      </w:r>
      <w:r>
        <w:rPr>
          <w:spacing w:val="1"/>
        </w:rPr>
        <w:t> </w:t>
      </w:r>
      <w:r>
        <w:rPr/>
        <w:t>modative monetary policy than previously</w:t>
      </w:r>
      <w:r>
        <w:rPr>
          <w:spacing w:val="1"/>
        </w:rPr>
        <w:t> </w:t>
      </w:r>
      <w:r>
        <w:rPr/>
        <w:t>expected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continued</w:t>
      </w:r>
      <w:r>
        <w:rPr>
          <w:spacing w:val="1"/>
        </w:rPr>
        <w:t> </w:t>
      </w:r>
      <w:r>
        <w:rPr/>
        <w:t>strength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emerging-market economies. Nevertheless,</w:t>
      </w:r>
      <w:r>
        <w:rPr>
          <w:spacing w:val="-50"/>
        </w:rPr>
        <w:t> </w:t>
      </w:r>
      <w:r>
        <w:rPr/>
        <w:t>global economic growth is expected to slow</w:t>
      </w:r>
      <w:r>
        <w:rPr>
          <w:spacing w:val="-50"/>
        </w:rPr>
        <w:t> </w:t>
      </w:r>
      <w:r>
        <w:rPr/>
        <w:t>somewhat</w:t>
      </w:r>
      <w:r>
        <w:rPr>
          <w:spacing w:val="1"/>
        </w:rPr>
        <w:t> </w:t>
      </w:r>
      <w:r>
        <w:rPr/>
        <w:t>faster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projected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50"/>
        </w:rPr>
        <w:t> </w:t>
      </w:r>
      <w:r>
        <w:rPr/>
        <w:t>October</w:t>
      </w:r>
      <w:r>
        <w:rPr>
          <w:spacing w:val="5"/>
        </w:rPr>
        <w:t> </w:t>
      </w:r>
      <w:r>
        <w:rPr>
          <w:i/>
        </w:rPr>
        <w:t>Report</w:t>
      </w:r>
      <w:r>
        <w:rPr>
          <w:i/>
          <w:spacing w:val="2"/>
        </w:rPr>
        <w:t> </w:t>
      </w:r>
      <w:r>
        <w:rPr/>
        <w:t>(Table</w:t>
      </w:r>
      <w:r>
        <w:rPr>
          <w:spacing w:val="-1"/>
        </w:rPr>
        <w:t> </w:t>
      </w:r>
      <w:r>
        <w:rPr/>
        <w:t>1).</w:t>
      </w:r>
    </w:p>
    <w:p>
      <w:pPr>
        <w:spacing w:after="0" w:line="187" w:lineRule="auto"/>
        <w:jc w:val="both"/>
        <w:sectPr>
          <w:type w:val="continuous"/>
          <w:pgSz w:w="12240" w:h="15840"/>
          <w:pgMar w:header="661" w:footer="764" w:top="360" w:bottom="280" w:left="260" w:right="860"/>
          <w:cols w:num="2" w:equalWidth="0">
            <w:col w:w="5598" w:space="40"/>
            <w:col w:w="548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661" w:footer="764" w:top="860" w:bottom="960" w:left="260" w:right="86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"/>
      </w:pPr>
    </w:p>
    <w:p>
      <w:pPr>
        <w:pStyle w:val="ListParagraph"/>
        <w:numPr>
          <w:ilvl w:val="0"/>
          <w:numId w:val="3"/>
        </w:numPr>
        <w:tabs>
          <w:tab w:pos="1343" w:val="left" w:leader="none"/>
        </w:tabs>
        <w:spacing w:line="204" w:lineRule="auto" w:before="0" w:after="0"/>
        <w:ind w:left="1342" w:right="171" w:hanging="216"/>
        <w:jc w:val="left"/>
        <w:rPr>
          <w:rFonts w:ascii="Helvetica"/>
          <w:sz w:val="15"/>
        </w:rPr>
      </w:pPr>
      <w:r>
        <w:rPr>
          <w:rFonts w:ascii="Helvetica"/>
          <w:sz w:val="15"/>
        </w:rPr>
        <w:t>GDP shares are based on IMF estimates of the purchasing-</w:t>
      </w:r>
      <w:r>
        <w:rPr>
          <w:rFonts w:ascii="Helvetica"/>
          <w:spacing w:val="1"/>
          <w:sz w:val="15"/>
        </w:rPr>
        <w:t> </w:t>
      </w:r>
      <w:r>
        <w:rPr>
          <w:rFonts w:ascii="Helvetica"/>
          <w:sz w:val="15"/>
        </w:rPr>
        <w:t>power-parity (PPP) valuation of country GDPs for 2006.</w:t>
      </w:r>
      <w:r>
        <w:rPr>
          <w:rFonts w:ascii="Helvetica"/>
          <w:spacing w:val="1"/>
          <w:sz w:val="15"/>
        </w:rPr>
        <w:t> </w:t>
      </w:r>
      <w:r>
        <w:rPr>
          <w:rFonts w:ascii="Helvetica"/>
          <w:sz w:val="15"/>
        </w:rPr>
        <w:t>Source: IMF, WEO Database, April 2007. The World Bank</w:t>
      </w:r>
      <w:r>
        <w:rPr>
          <w:rFonts w:ascii="Helvetica"/>
          <w:spacing w:val="1"/>
          <w:sz w:val="15"/>
        </w:rPr>
        <w:t> </w:t>
      </w:r>
      <w:r>
        <w:rPr>
          <w:rFonts w:ascii="Helvetica"/>
          <w:sz w:val="15"/>
        </w:rPr>
        <w:t>recently published comprehensive revised estimates of</w:t>
      </w:r>
      <w:r>
        <w:rPr>
          <w:rFonts w:ascii="Helvetica"/>
          <w:spacing w:val="1"/>
          <w:sz w:val="15"/>
        </w:rPr>
        <w:t> </w:t>
      </w:r>
      <w:r>
        <w:rPr>
          <w:rFonts w:ascii="Helvetica"/>
          <w:sz w:val="15"/>
        </w:rPr>
        <w:t>purchasing-power parities, which will be reflected in the April</w:t>
      </w:r>
      <w:r>
        <w:rPr>
          <w:rFonts w:ascii="Helvetica"/>
          <w:spacing w:val="-40"/>
          <w:sz w:val="15"/>
        </w:rPr>
        <w:t> </w:t>
      </w:r>
      <w:r>
        <w:rPr>
          <w:rFonts w:ascii="Helvetica"/>
          <w:sz w:val="15"/>
        </w:rPr>
        <w:t>2008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i/>
          <w:sz w:val="15"/>
        </w:rPr>
        <w:t>Monetary Policy Report</w:t>
      </w:r>
      <w:r>
        <w:rPr>
          <w:rFonts w:ascii="Helvetica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1343" w:val="left" w:leader="none"/>
        </w:tabs>
        <w:spacing w:line="204" w:lineRule="auto" w:before="1" w:after="0"/>
        <w:ind w:left="1342" w:right="116" w:hanging="216"/>
        <w:jc w:val="left"/>
        <w:rPr>
          <w:rFonts w:ascii="Helvetica"/>
          <w:sz w:val="15"/>
        </w:rPr>
      </w:pPr>
      <w:r>
        <w:rPr>
          <w:rFonts w:ascii="Helvetica"/>
          <w:sz w:val="15"/>
        </w:rPr>
        <w:t>Numbers</w:t>
      </w:r>
      <w:r>
        <w:rPr>
          <w:rFonts w:ascii="Helvetica"/>
          <w:spacing w:val="-3"/>
          <w:sz w:val="15"/>
        </w:rPr>
        <w:t> </w:t>
      </w:r>
      <w:r>
        <w:rPr>
          <w:rFonts w:ascii="Helvetica"/>
          <w:sz w:val="15"/>
        </w:rPr>
        <w:t>in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parentheses</w:t>
      </w:r>
      <w:r>
        <w:rPr>
          <w:rFonts w:ascii="Helvetica"/>
          <w:spacing w:val="-3"/>
          <w:sz w:val="15"/>
        </w:rPr>
        <w:t> </w:t>
      </w:r>
      <w:r>
        <w:rPr>
          <w:rFonts w:ascii="Helvetica"/>
          <w:sz w:val="15"/>
        </w:rPr>
        <w:t>are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projections</w:t>
      </w:r>
      <w:r>
        <w:rPr>
          <w:rFonts w:ascii="Helvetica"/>
          <w:spacing w:val="-3"/>
          <w:sz w:val="15"/>
        </w:rPr>
        <w:t> </w:t>
      </w:r>
      <w:r>
        <w:rPr>
          <w:rFonts w:ascii="Helvetica"/>
          <w:sz w:val="15"/>
        </w:rPr>
        <w:t>used</w:t>
      </w:r>
      <w:r>
        <w:rPr>
          <w:rFonts w:ascii="Helvetica"/>
          <w:spacing w:val="-3"/>
          <w:sz w:val="15"/>
        </w:rPr>
        <w:t> </w:t>
      </w:r>
      <w:r>
        <w:rPr>
          <w:rFonts w:ascii="Helvetica"/>
          <w:sz w:val="15"/>
        </w:rPr>
        <w:t>for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the</w:t>
      </w:r>
      <w:r>
        <w:rPr>
          <w:rFonts w:ascii="Helvetica"/>
          <w:spacing w:val="-3"/>
          <w:sz w:val="15"/>
        </w:rPr>
        <w:t> </w:t>
      </w:r>
      <w:r>
        <w:rPr>
          <w:rFonts w:ascii="Helvetica"/>
          <w:sz w:val="15"/>
        </w:rPr>
        <w:t>October</w:t>
      </w:r>
      <w:r>
        <w:rPr>
          <w:rFonts w:ascii="Helvetica"/>
          <w:spacing w:val="-38"/>
          <w:sz w:val="15"/>
        </w:rPr>
        <w:t> </w:t>
      </w:r>
      <w:r>
        <w:rPr>
          <w:rFonts w:ascii="Helvetica"/>
          <w:sz w:val="15"/>
        </w:rPr>
        <w:t>2007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i/>
          <w:sz w:val="15"/>
        </w:rPr>
        <w:t>Report</w:t>
      </w:r>
      <w:r>
        <w:rPr>
          <w:rFonts w:ascii="Helvetica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1343" w:val="left" w:leader="none"/>
        </w:tabs>
        <w:spacing w:line="204" w:lineRule="auto" w:before="0" w:after="0"/>
        <w:ind w:left="1342" w:right="117" w:hanging="216"/>
        <w:jc w:val="left"/>
        <w:rPr>
          <w:rFonts w:ascii="Helvetica"/>
          <w:sz w:val="15"/>
        </w:rPr>
      </w:pPr>
      <w:r>
        <w:rPr>
          <w:rFonts w:ascii="Helvetica"/>
          <w:sz w:val="15"/>
        </w:rPr>
        <w:t>NIEs</w:t>
      </w:r>
      <w:r>
        <w:rPr>
          <w:rFonts w:ascii="Helvetica"/>
          <w:spacing w:val="-4"/>
          <w:sz w:val="15"/>
        </w:rPr>
        <w:t> </w:t>
      </w:r>
      <w:r>
        <w:rPr>
          <w:rFonts w:ascii="Helvetica"/>
          <w:sz w:val="15"/>
        </w:rPr>
        <w:t>are</w:t>
      </w:r>
      <w:r>
        <w:rPr>
          <w:rFonts w:ascii="Helvetica"/>
          <w:spacing w:val="-3"/>
          <w:sz w:val="15"/>
        </w:rPr>
        <w:t> </w:t>
      </w:r>
      <w:r>
        <w:rPr>
          <w:rFonts w:ascii="Helvetica"/>
          <w:sz w:val="15"/>
        </w:rPr>
        <w:t>newly</w:t>
      </w:r>
      <w:r>
        <w:rPr>
          <w:rFonts w:ascii="Helvetica"/>
          <w:spacing w:val="-4"/>
          <w:sz w:val="15"/>
        </w:rPr>
        <w:t> </w:t>
      </w:r>
      <w:r>
        <w:rPr>
          <w:rFonts w:ascii="Helvetica"/>
          <w:sz w:val="15"/>
        </w:rPr>
        <w:t>industrialized</w:t>
      </w:r>
      <w:r>
        <w:rPr>
          <w:rFonts w:ascii="Helvetica"/>
          <w:spacing w:val="-3"/>
          <w:sz w:val="15"/>
        </w:rPr>
        <w:t> </w:t>
      </w:r>
      <w:r>
        <w:rPr>
          <w:rFonts w:ascii="Helvetica"/>
          <w:sz w:val="15"/>
        </w:rPr>
        <w:t>economies.These</w:t>
      </w:r>
      <w:r>
        <w:rPr>
          <w:rFonts w:ascii="Helvetica"/>
          <w:spacing w:val="-3"/>
          <w:sz w:val="15"/>
        </w:rPr>
        <w:t> </w:t>
      </w:r>
      <w:r>
        <w:rPr>
          <w:rFonts w:ascii="Helvetica"/>
          <w:sz w:val="15"/>
        </w:rPr>
        <w:t>include</w:t>
      </w:r>
      <w:r>
        <w:rPr>
          <w:rFonts w:ascii="Helvetica"/>
          <w:spacing w:val="-4"/>
          <w:sz w:val="15"/>
        </w:rPr>
        <w:t> </w:t>
      </w:r>
      <w:r>
        <w:rPr>
          <w:rFonts w:ascii="Helvetica"/>
          <w:sz w:val="15"/>
        </w:rPr>
        <w:t>Hong</w:t>
      </w:r>
      <w:r>
        <w:rPr>
          <w:rFonts w:ascii="Helvetica"/>
          <w:spacing w:val="-38"/>
          <w:sz w:val="15"/>
        </w:rPr>
        <w:t> </w:t>
      </w:r>
      <w:r>
        <w:rPr>
          <w:rFonts w:ascii="Helvetica"/>
          <w:sz w:val="15"/>
        </w:rPr>
        <w:t>Kong (Special Administrative Region), South Korea, Taiwan</w:t>
      </w:r>
      <w:r>
        <w:rPr>
          <w:rFonts w:ascii="Helvetica"/>
          <w:spacing w:val="1"/>
          <w:sz w:val="15"/>
        </w:rPr>
        <w:t> </w:t>
      </w:r>
      <w:r>
        <w:rPr>
          <w:rFonts w:ascii="Helvetica"/>
          <w:sz w:val="15"/>
        </w:rPr>
        <w:t>(Province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of China), and Singapore.</w:t>
      </w:r>
    </w:p>
    <w:p>
      <w:pPr>
        <w:spacing w:line="155" w:lineRule="exact" w:before="0"/>
        <w:ind w:left="1126" w:right="0" w:firstLine="0"/>
        <w:jc w:val="left"/>
        <w:rPr>
          <w:rFonts w:ascii="Helvetica"/>
          <w:sz w:val="15"/>
        </w:rPr>
      </w:pPr>
      <w:r>
        <w:rPr>
          <w:rFonts w:ascii="Helvetica"/>
          <w:sz w:val="15"/>
        </w:rPr>
        <w:t>Source: Bank of Canada</w:t>
      </w:r>
    </w:p>
    <w:p>
      <w:pPr>
        <w:pStyle w:val="BodyText"/>
        <w:rPr>
          <w:rFonts w:ascii="Helvetica"/>
          <w:sz w:val="16"/>
        </w:rPr>
      </w:pPr>
    </w:p>
    <w:p>
      <w:pPr>
        <w:pStyle w:val="BodyText"/>
        <w:rPr>
          <w:rFonts w:ascii="Helvetica"/>
          <w:sz w:val="16"/>
        </w:rPr>
      </w:pPr>
    </w:p>
    <w:p>
      <w:pPr>
        <w:pStyle w:val="BodyText"/>
        <w:spacing w:before="8"/>
        <w:rPr>
          <w:rFonts w:ascii="Helvetica"/>
        </w:rPr>
      </w:pPr>
    </w:p>
    <w:p>
      <w:pPr>
        <w:pStyle w:val="BodyText"/>
        <w:spacing w:line="187" w:lineRule="auto"/>
        <w:ind w:left="1467" w:firstLine="360"/>
        <w:jc w:val="both"/>
      </w:pPr>
      <w:r>
        <w:rPr/>
        <w:t>Futures prices for crude oil are higher</w:t>
      </w:r>
      <w:r>
        <w:rPr>
          <w:spacing w:val="1"/>
        </w:rPr>
        <w:t> </w:t>
      </w:r>
      <w:r>
        <w:rPr/>
        <w:t>than</w:t>
      </w:r>
      <w:r>
        <w:rPr>
          <w:spacing w:val="-9"/>
        </w:rPr>
        <w:t> </w:t>
      </w:r>
      <w:r>
        <w:rPr/>
        <w:t>those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October</w:t>
      </w:r>
      <w:r>
        <w:rPr>
          <w:spacing w:val="-8"/>
        </w:rPr>
        <w:t> </w:t>
      </w:r>
      <w:r>
        <w:rPr>
          <w:i/>
        </w:rPr>
        <w:t>Report,</w:t>
      </w:r>
      <w:r>
        <w:rPr>
          <w:i/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futures</w:t>
      </w:r>
      <w:r>
        <w:rPr>
          <w:spacing w:val="-51"/>
        </w:rPr>
        <w:t> </w:t>
      </w:r>
      <w:r>
        <w:rPr/>
        <w:t>prices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gas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largely</w:t>
      </w:r>
      <w:r>
        <w:rPr>
          <w:spacing w:val="1"/>
        </w:rPr>
        <w:t> </w:t>
      </w:r>
      <w:r>
        <w:rPr/>
        <w:t>un-</w:t>
      </w:r>
      <w:r>
        <w:rPr>
          <w:spacing w:val="1"/>
        </w:rPr>
        <w:t> </w:t>
      </w:r>
      <w:r>
        <w:rPr/>
        <w:t>changed.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price</w:t>
      </w:r>
      <w:r>
        <w:rPr>
          <w:spacing w:val="1"/>
        </w:rPr>
        <w:t> </w:t>
      </w:r>
      <w:r>
        <w:rPr/>
        <w:t>index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non-energy</w:t>
      </w:r>
      <w:r>
        <w:rPr>
          <w:spacing w:val="-50"/>
        </w:rPr>
        <w:t> </w:t>
      </w:r>
      <w:r>
        <w:rPr/>
        <w:t>commodities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expected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remain</w:t>
      </w:r>
      <w:r>
        <w:rPr>
          <w:spacing w:val="1"/>
        </w:rPr>
        <w:t> </w:t>
      </w:r>
      <w:r>
        <w:rPr/>
        <w:t>firm,</w:t>
      </w:r>
      <w:r>
        <w:rPr>
          <w:spacing w:val="1"/>
        </w:rPr>
        <w:t> </w:t>
      </w:r>
      <w:r>
        <w:rPr>
          <w:spacing w:val="10"/>
        </w:rPr>
        <w:t>easing</w:t>
      </w:r>
      <w:r>
        <w:rPr>
          <w:spacing w:val="11"/>
        </w:rPr>
        <w:t> </w:t>
      </w:r>
      <w:r>
        <w:rPr>
          <w:spacing w:val="10"/>
        </w:rPr>
        <w:t>somewhat</w:t>
      </w:r>
      <w:r>
        <w:rPr>
          <w:spacing w:val="11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10"/>
        </w:rPr>
        <w:t>global</w:t>
      </w:r>
      <w:r>
        <w:rPr>
          <w:spacing w:val="11"/>
        </w:rPr>
        <w:t> </w:t>
      </w:r>
      <w:r>
        <w:rPr>
          <w:spacing w:val="12"/>
        </w:rPr>
        <w:t>growth</w:t>
      </w:r>
      <w:r>
        <w:rPr>
          <w:spacing w:val="-50"/>
        </w:rPr>
        <w:t> </w:t>
      </w:r>
      <w:r>
        <w:rPr/>
        <w:t>moderates.</w:t>
      </w:r>
    </w:p>
    <w:p>
      <w:pPr>
        <w:pStyle w:val="Heading2"/>
        <w:spacing w:before="130"/>
        <w:ind w:left="1468"/>
      </w:pPr>
      <w:bookmarkStart w:name="The U.S. Outlook" w:id="12"/>
      <w:bookmarkEnd w:id="12"/>
      <w:r>
        <w:rPr>
          <w:b w:val="0"/>
          <w:i w:val="0"/>
        </w:rPr>
      </w:r>
      <w:r>
        <w:rPr/>
        <w:t>The U.S. Outlook</w:t>
      </w:r>
    </w:p>
    <w:p>
      <w:pPr>
        <w:pStyle w:val="BodyText"/>
        <w:spacing w:line="187" w:lineRule="auto" w:before="14"/>
        <w:ind w:left="1468"/>
        <w:jc w:val="both"/>
      </w:pPr>
      <w:r>
        <w:rPr/>
        <w:t>The</w:t>
      </w:r>
      <w:r>
        <w:rPr>
          <w:spacing w:val="1"/>
        </w:rPr>
        <w:t> </w:t>
      </w:r>
      <w:r>
        <w:rPr/>
        <w:t>projection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U.S.</w:t>
      </w:r>
      <w:r>
        <w:rPr>
          <w:spacing w:val="1"/>
        </w:rPr>
        <w:t> </w:t>
      </w:r>
      <w:r>
        <w:rPr/>
        <w:t>GDP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has</w:t>
      </w:r>
      <w:r>
        <w:rPr>
          <w:spacing w:val="-50"/>
        </w:rPr>
        <w:t> </w:t>
      </w:r>
      <w:r>
        <w:rPr/>
        <w:t>been</w:t>
      </w:r>
      <w:r>
        <w:rPr>
          <w:spacing w:val="-13"/>
        </w:rPr>
        <w:t> </w:t>
      </w:r>
      <w:r>
        <w:rPr/>
        <w:t>revised</w:t>
      </w:r>
      <w:r>
        <w:rPr>
          <w:spacing w:val="-13"/>
        </w:rPr>
        <w:t> </w:t>
      </w:r>
      <w:r>
        <w:rPr/>
        <w:t>down</w:t>
      </w:r>
      <w:r>
        <w:rPr>
          <w:spacing w:val="-13"/>
        </w:rPr>
        <w:t> </w:t>
      </w:r>
      <w:r>
        <w:rPr/>
        <w:t>significantly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in</w:t>
      </w:r>
      <w:r>
        <w:rPr>
          <w:spacing w:val="-50"/>
        </w:rPr>
        <w:t> </w:t>
      </w:r>
      <w:r>
        <w:rPr/>
        <w:t>the October </w:t>
      </w:r>
      <w:r>
        <w:rPr>
          <w:i/>
        </w:rPr>
        <w:t>Report</w:t>
      </w:r>
      <w:r>
        <w:rPr/>
        <w:t>. Declining activity in the</w:t>
      </w:r>
    </w:p>
    <w:p>
      <w:pPr>
        <w:pStyle w:val="BodyText"/>
        <w:spacing w:line="187" w:lineRule="auto"/>
        <w:ind w:left="1468"/>
        <w:jc w:val="both"/>
      </w:pPr>
      <w:r>
        <w:rPr/>
        <w:t>U.S. housing sector suggests a deeper and</w:t>
      </w:r>
      <w:r>
        <w:rPr>
          <w:spacing w:val="1"/>
        </w:rPr>
        <w:t> </w:t>
      </w:r>
      <w:r>
        <w:rPr/>
        <w:t>more</w:t>
      </w:r>
      <w:r>
        <w:rPr>
          <w:spacing w:val="-7"/>
        </w:rPr>
        <w:t> </w:t>
      </w:r>
      <w:r>
        <w:rPr/>
        <w:t>prolonged</w:t>
      </w:r>
      <w:r>
        <w:rPr>
          <w:spacing w:val="-7"/>
        </w:rPr>
        <w:t> </w:t>
      </w:r>
      <w:r>
        <w:rPr/>
        <w:t>adjustment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U.S.</w:t>
      </w:r>
      <w:r>
        <w:rPr>
          <w:spacing w:val="-7"/>
        </w:rPr>
        <w:t> </w:t>
      </w:r>
      <w:r>
        <w:rPr/>
        <w:t>residen-</w:t>
      </w:r>
      <w:r>
        <w:rPr>
          <w:spacing w:val="-50"/>
        </w:rPr>
        <w:t> </w:t>
      </w:r>
      <w:r>
        <w:rPr/>
        <w:t>tial investment and a reduction in home eq-</w:t>
      </w:r>
      <w:r>
        <w:rPr>
          <w:spacing w:val="-50"/>
        </w:rPr>
        <w:t> </w:t>
      </w:r>
      <w:r>
        <w:rPr/>
        <w:t>uity values. Credit conditions are expected</w:t>
      </w:r>
      <w:r>
        <w:rPr>
          <w:spacing w:val="1"/>
        </w:rPr>
        <w:t> </w:t>
      </w:r>
      <w:r>
        <w:rPr/>
        <w:t>to tighten further, reflecting continuing fi-</w:t>
      </w:r>
      <w:r>
        <w:rPr>
          <w:spacing w:val="1"/>
        </w:rPr>
        <w:t> </w:t>
      </w:r>
      <w:r>
        <w:rPr/>
        <w:t>nancial</w:t>
      </w:r>
      <w:r>
        <w:rPr>
          <w:spacing w:val="59"/>
        </w:rPr>
        <w:t> </w:t>
      </w:r>
      <w:r>
        <w:rPr/>
        <w:t>market</w:t>
      </w:r>
      <w:r>
        <w:rPr>
          <w:spacing w:val="60"/>
        </w:rPr>
        <w:t> </w:t>
      </w:r>
      <w:r>
        <w:rPr/>
        <w:t>concerns</w:t>
      </w:r>
      <w:r>
        <w:rPr>
          <w:spacing w:val="60"/>
        </w:rPr>
        <w:t> </w:t>
      </w:r>
      <w:r>
        <w:rPr/>
        <w:t>and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weaker</w:t>
      </w:r>
    </w:p>
    <w:p>
      <w:pPr>
        <w:pStyle w:val="BodyText"/>
        <w:spacing w:line="187" w:lineRule="auto" w:before="155"/>
        <w:ind w:left="558" w:right="937"/>
        <w:jc w:val="both"/>
      </w:pPr>
      <w:r>
        <w:rPr/>
        <w:br w:type="column"/>
      </w:r>
      <w:r>
        <w:rPr/>
        <w:t>economic outlook. These factors, together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declines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household</w:t>
      </w:r>
      <w:r>
        <w:rPr>
          <w:spacing w:val="1"/>
        </w:rPr>
        <w:t> </w:t>
      </w:r>
      <w:r>
        <w:rPr/>
        <w:t>wealth,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expected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reduce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growth</w:t>
      </w:r>
      <w:r>
        <w:rPr>
          <w:spacing w:val="-13"/>
        </w:rPr>
        <w:t> </w:t>
      </w:r>
      <w:r>
        <w:rPr/>
        <w:t>of</w:t>
      </w:r>
      <w:r>
        <w:rPr>
          <w:spacing w:val="-50"/>
        </w:rPr>
        <w:t> </w:t>
      </w:r>
      <w:r>
        <w:rPr/>
        <w:t>domestic demand relative to earlier projec-</w:t>
      </w:r>
      <w:r>
        <w:rPr>
          <w:spacing w:val="1"/>
        </w:rPr>
        <w:t> </w:t>
      </w:r>
      <w:r>
        <w:rPr/>
        <w:t>tions. In this </w:t>
      </w:r>
      <w:r>
        <w:rPr>
          <w:i/>
        </w:rPr>
        <w:t>Update</w:t>
      </w:r>
      <w:r>
        <w:rPr/>
        <w:t>, which incorporates the</w:t>
      </w:r>
      <w:r>
        <w:rPr>
          <w:spacing w:val="-50"/>
        </w:rPr>
        <w:t> </w:t>
      </w:r>
      <w:r>
        <w:rPr/>
        <w:t>effect of a significant easing in U.S. mone-</w:t>
      </w:r>
      <w:r>
        <w:rPr>
          <w:spacing w:val="1"/>
        </w:rPr>
        <w:t> </w:t>
      </w:r>
      <w:r>
        <w:rPr/>
        <w:t>tary</w:t>
      </w:r>
      <w:r>
        <w:rPr>
          <w:spacing w:val="-7"/>
        </w:rPr>
        <w:t> </w:t>
      </w:r>
      <w:r>
        <w:rPr/>
        <w:t>policy</w:t>
      </w:r>
      <w:r>
        <w:rPr>
          <w:spacing w:val="-7"/>
        </w:rPr>
        <w:t> </w:t>
      </w:r>
      <w:r>
        <w:rPr/>
        <w:t>(including</w:t>
      </w:r>
      <w:r>
        <w:rPr>
          <w:spacing w:val="-6"/>
        </w:rPr>
        <w:t> </w:t>
      </w:r>
      <w:r>
        <w:rPr/>
        <w:t>some</w:t>
      </w:r>
      <w:r>
        <w:rPr>
          <w:spacing w:val="-7"/>
        </w:rPr>
        <w:t> </w:t>
      </w:r>
      <w:r>
        <w:rPr/>
        <w:t>reduction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0"/>
        </w:rPr>
        <w:t> </w:t>
      </w:r>
      <w:r>
        <w:rPr/>
        <w:t>policy</w:t>
      </w:r>
      <w:r>
        <w:rPr>
          <w:spacing w:val="53"/>
        </w:rPr>
        <w:t> </w:t>
      </w:r>
      <w:r>
        <w:rPr/>
        <w:t>rate</w:t>
      </w:r>
      <w:r>
        <w:rPr>
          <w:spacing w:val="53"/>
        </w:rPr>
        <w:t> </w:t>
      </w:r>
      <w:r>
        <w:rPr/>
        <w:t>beyond</w:t>
      </w:r>
      <w:r>
        <w:rPr>
          <w:spacing w:val="53"/>
        </w:rPr>
        <w:t> </w:t>
      </w:r>
      <w:r>
        <w:rPr/>
        <w:t>that   announced   on</w:t>
      </w:r>
      <w:r>
        <w:rPr>
          <w:spacing w:val="-50"/>
        </w:rPr>
        <w:t> </w:t>
      </w:r>
      <w:r>
        <w:rPr/>
        <w:t>22 January), the U.S. economy is projected</w:t>
      </w:r>
      <w:r>
        <w:rPr>
          <w:spacing w:val="1"/>
        </w:rPr>
        <w:t> </w:t>
      </w:r>
      <w:r>
        <w:rPr/>
        <w:t>to</w:t>
      </w:r>
      <w:r>
        <w:rPr>
          <w:spacing w:val="-8"/>
        </w:rPr>
        <w:t> </w:t>
      </w:r>
      <w:r>
        <w:rPr/>
        <w:t>grow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rate</w:t>
      </w:r>
      <w:r>
        <w:rPr>
          <w:spacing w:val="-7"/>
        </w:rPr>
        <w:t> </w:t>
      </w:r>
      <w:r>
        <w:rPr/>
        <w:t>below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potential</w:t>
      </w:r>
      <w:r>
        <w:rPr>
          <w:spacing w:val="-7"/>
        </w:rPr>
        <w:t> </w:t>
      </w:r>
      <w:r>
        <w:rPr/>
        <w:t>out-</w:t>
      </w:r>
      <w:r>
        <w:rPr>
          <w:spacing w:val="-50"/>
        </w:rPr>
        <w:t> </w:t>
      </w:r>
      <w:r>
        <w:rPr/>
        <w:t>put in 2008, before recovering gradually in</w:t>
      </w:r>
      <w:r>
        <w:rPr>
          <w:spacing w:val="1"/>
        </w:rPr>
        <w:t> </w:t>
      </w:r>
      <w:r>
        <w:rPr/>
        <w:t>2009. Growth in 2008 is expected to be par-</w:t>
      </w:r>
      <w:r>
        <w:rPr>
          <w:spacing w:val="1"/>
        </w:rPr>
        <w:t> </w:t>
      </w:r>
      <w:r>
        <w:rPr/>
        <w:t>ticularly weak in the first half of the year,</w:t>
      </w:r>
      <w:r>
        <w:rPr>
          <w:spacing w:val="1"/>
        </w:rPr>
        <w:t> </w:t>
      </w:r>
      <w:r>
        <w:rPr/>
        <w:t>averaging 0.5 per cent at an annual rate, be-</w:t>
      </w:r>
      <w:r>
        <w:rPr>
          <w:spacing w:val="-50"/>
        </w:rPr>
        <w:t> </w:t>
      </w:r>
      <w:r>
        <w:rPr/>
        <w:t>cause of weakness in household spending</w:t>
      </w:r>
      <w:r>
        <w:rPr>
          <w:spacing w:val="1"/>
        </w:rPr>
        <w:t> </w:t>
      </w:r>
      <w:r>
        <w:rPr>
          <w:spacing w:val="-4"/>
        </w:rPr>
        <w:t>and residential investment. Annual </w:t>
      </w:r>
      <w:r>
        <w:rPr>
          <w:spacing w:val="-3"/>
        </w:rPr>
        <w:t>U.S. GDP</w:t>
      </w:r>
      <w:r>
        <w:rPr>
          <w:spacing w:val="-50"/>
        </w:rPr>
        <w:t> </w:t>
      </w:r>
      <w:r>
        <w:rPr/>
        <w:t>growth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projected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1.5</w:t>
      </w:r>
      <w:r>
        <w:rPr>
          <w:spacing w:val="-9"/>
        </w:rPr>
        <w:t> </w:t>
      </w:r>
      <w:r>
        <w:rPr/>
        <w:t>per</w:t>
      </w:r>
      <w:r>
        <w:rPr>
          <w:spacing w:val="-9"/>
        </w:rPr>
        <w:t> </w:t>
      </w:r>
      <w:r>
        <w:rPr/>
        <w:t>cent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2008</w:t>
      </w:r>
      <w:r>
        <w:rPr>
          <w:spacing w:val="-50"/>
        </w:rPr>
        <w:t> </w:t>
      </w:r>
      <w:r>
        <w:rPr/>
        <w:t>and</w:t>
      </w:r>
      <w:r>
        <w:rPr>
          <w:spacing w:val="-1"/>
        </w:rPr>
        <w:t> </w:t>
      </w:r>
      <w:r>
        <w:rPr/>
        <w:t>2.5 per</w:t>
      </w:r>
      <w:r>
        <w:rPr>
          <w:spacing w:val="-1"/>
        </w:rPr>
        <w:t> </w:t>
      </w:r>
      <w:r>
        <w:rPr/>
        <w:t>cent in 2009.</w:t>
      </w:r>
    </w:p>
    <w:p>
      <w:pPr>
        <w:pStyle w:val="Heading2"/>
        <w:spacing w:before="116"/>
      </w:pPr>
      <w:r>
        <w:rPr/>
        <w:pict>
          <v:shape style="position:absolute;margin-left:65.010002pt;margin-top:-238.516937pt;width:228.45pt;height:240.5pt;mso-position-horizontal-relative:page;mso-position-vertical-relative:paragraph;z-index:15734272" type="#_x0000_t202" id="docshape22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double" w:sz="6" w:space="0" w:color="B29933"/>
                      <w:left w:val="double" w:sz="6" w:space="0" w:color="B29933"/>
                      <w:bottom w:val="double" w:sz="6" w:space="0" w:color="B29933"/>
                      <w:right w:val="double" w:sz="6" w:space="0" w:color="B29933"/>
                      <w:insideH w:val="double" w:sz="6" w:space="0" w:color="B29933"/>
                      <w:insideV w:val="double" w:sz="6" w:space="0" w:color="B29933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68"/>
                    <w:gridCol w:w="1051"/>
                    <w:gridCol w:w="533"/>
                    <w:gridCol w:w="533"/>
                    <w:gridCol w:w="533"/>
                    <w:gridCol w:w="533"/>
                  </w:tblGrid>
                  <w:tr>
                    <w:trPr>
                      <w:trHeight w:val="485" w:hRule="atLeast"/>
                    </w:trPr>
                    <w:tc>
                      <w:tcPr>
                        <w:tcW w:w="4551" w:type="dxa"/>
                        <w:gridSpan w:val="6"/>
                      </w:tcPr>
                      <w:p>
                        <w:pPr>
                          <w:pStyle w:val="TableParagraph"/>
                          <w:spacing w:before="33"/>
                          <w:ind w:left="121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13D38"/>
                            <w:spacing w:val="-2"/>
                            <w:sz w:val="15"/>
                          </w:rPr>
                          <w:t>Table</w:t>
                        </w:r>
                        <w:r>
                          <w:rPr>
                            <w:b/>
                            <w:color w:val="113D38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13D38"/>
                            <w:spacing w:val="-1"/>
                            <w:sz w:val="15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before="3"/>
                          <w:ind w:left="12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113D38"/>
                            <w:spacing w:val="-2"/>
                            <w:sz w:val="18"/>
                          </w:rPr>
                          <w:t>Projection</w:t>
                        </w:r>
                        <w:r>
                          <w:rPr>
                            <w:b/>
                            <w:color w:val="113D38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113D38"/>
                            <w:spacing w:val="-1"/>
                            <w:sz w:val="18"/>
                          </w:rPr>
                          <w:t>for</w:t>
                        </w:r>
                        <w:r>
                          <w:rPr>
                            <w:b/>
                            <w:color w:val="113D38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113D38"/>
                            <w:spacing w:val="-1"/>
                            <w:sz w:val="18"/>
                          </w:rPr>
                          <w:t>Global</w:t>
                        </w:r>
                        <w:r>
                          <w:rPr>
                            <w:b/>
                            <w:color w:val="113D38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113D38"/>
                            <w:spacing w:val="-1"/>
                            <w:sz w:val="18"/>
                          </w:rPr>
                          <w:t>Economic</w:t>
                        </w:r>
                        <w:r>
                          <w:rPr>
                            <w:b/>
                            <w:color w:val="113D38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113D38"/>
                            <w:spacing w:val="-1"/>
                            <w:sz w:val="18"/>
                          </w:rPr>
                          <w:t>Growth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1368" w:type="dxa"/>
                        <w:vMerge w:val="restart"/>
                        <w:tcBorders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51" w:type="dxa"/>
                        <w:vMerge w:val="restart"/>
                        <w:tcBorders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12"/>
                          <w:rPr>
                            <w:rFonts w:ascii="Palatino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235" w:lineRule="auto" w:before="1"/>
                          <w:ind w:left="78" w:right="57" w:hanging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Share</w:t>
                        </w:r>
                        <w:r>
                          <w:rPr>
                            <w:spacing w:val="-1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1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real</w:t>
                        </w:r>
                        <w:r>
                          <w:rPr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global GDP</w:t>
                        </w:r>
                        <w:r>
                          <w:rPr>
                            <w:position w:val="6"/>
                            <w:sz w:val="13"/>
                          </w:rPr>
                          <w:t>a</w:t>
                        </w:r>
                        <w:r>
                          <w:rPr>
                            <w:spacing w:val="-34"/>
                            <w:position w:val="6"/>
                            <w:sz w:val="13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(per cent)</w:t>
                        </w:r>
                      </w:p>
                    </w:tc>
                    <w:tc>
                      <w:tcPr>
                        <w:tcW w:w="2132" w:type="dxa"/>
                        <w:gridSpan w:val="4"/>
                        <w:tcBorders>
                          <w:left w:val="single" w:sz="6" w:space="0" w:color="B29933"/>
                          <w:bottom w:val="single" w:sz="6" w:space="0" w:color="B29933"/>
                        </w:tcBorders>
                      </w:tcPr>
                      <w:p>
                        <w:pPr>
                          <w:pStyle w:val="TableParagraph"/>
                          <w:ind w:left="65"/>
                          <w:rPr>
                            <w:sz w:val="13"/>
                          </w:rPr>
                        </w:pPr>
                        <w:r>
                          <w:rPr>
                            <w:sz w:val="16"/>
                          </w:rPr>
                          <w:t>Expected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growth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(per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cent)</w:t>
                        </w:r>
                        <w:r>
                          <w:rPr>
                            <w:position w:val="6"/>
                            <w:sz w:val="13"/>
                          </w:rPr>
                          <w:t>b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1368" w:type="dxa"/>
                        <w:vMerge/>
                        <w:tcBorders>
                          <w:top w:val="nil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51" w:type="dxa"/>
                        <w:vMerge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132" w:type="dxa"/>
                        <w:gridSpan w:val="4"/>
                        <w:tcBorders>
                          <w:top w:val="single" w:sz="6" w:space="0" w:color="B29933"/>
                          <w:left w:val="single" w:sz="6" w:space="0" w:color="B29933"/>
                          <w:bottom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7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Projection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1368" w:type="dxa"/>
                        <w:vMerge/>
                        <w:tcBorders>
                          <w:top w:val="nil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51" w:type="dxa"/>
                        <w:vMerge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3" w:type="dxa"/>
                        <w:tcBorders>
                          <w:top w:val="single" w:sz="6" w:space="0" w:color="B29933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76" w:right="4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2006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6" w:space="0" w:color="B29933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76" w:right="4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2007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6" w:space="0" w:color="B29933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right="63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2008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6" w:space="0" w:color="B29933"/>
                          <w:left w:val="single" w:sz="6" w:space="0" w:color="B29933"/>
                          <w:bottom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69" w:right="3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2009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1368" w:type="dxa"/>
                        <w:tcBorders>
                          <w:top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171" w:lineRule="exact" w:before="47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United States</w:t>
                        </w:r>
                      </w:p>
                    </w:tc>
                    <w:tc>
                      <w:tcPr>
                        <w:tcW w:w="1051" w:type="dxa"/>
                        <w:vMerge w:val="restart"/>
                        <w:tcBorders>
                          <w:top w:val="single" w:sz="6" w:space="0" w:color="B29933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94" w:right="362"/>
                          <w:jc w:val="center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20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10" w:lineRule="exact" w:before="8"/>
                          <w:ind w:left="76" w:right="44"/>
                          <w:jc w:val="center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2.9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10" w:lineRule="exact" w:before="8"/>
                          <w:ind w:left="76" w:right="45"/>
                          <w:jc w:val="center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2.2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10" w:lineRule="exact" w:before="8"/>
                          <w:ind w:right="141"/>
                          <w:jc w:val="right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1.5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0" w:lineRule="exact" w:before="8"/>
                          <w:ind w:left="69" w:right="38"/>
                          <w:jc w:val="center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2.5</w:t>
                        </w:r>
                      </w:p>
                    </w:tc>
                  </w:tr>
                  <w:tr>
                    <w:trPr>
                      <w:trHeight w:val="252" w:hRule="atLeast"/>
                    </w:trPr>
                    <w:tc>
                      <w:tcPr>
                        <w:tcW w:w="1368" w:type="dxa"/>
                        <w:tcBorders>
                          <w:top w:val="nil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51" w:type="dxa"/>
                        <w:vMerge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3" w:type="dxa"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76" w:right="44"/>
                          <w:jc w:val="center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(2.9)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76" w:right="45"/>
                          <w:jc w:val="center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(1.9)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right="87"/>
                          <w:jc w:val="right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(2.1)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69" w:right="38"/>
                          <w:jc w:val="center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(3.0)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1368" w:type="dxa"/>
                        <w:tcBorders>
                          <w:top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171" w:lineRule="exact" w:before="47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European Union</w:t>
                        </w:r>
                      </w:p>
                    </w:tc>
                    <w:tc>
                      <w:tcPr>
                        <w:tcW w:w="1051" w:type="dxa"/>
                        <w:vMerge w:val="restart"/>
                        <w:tcBorders>
                          <w:top w:val="single" w:sz="6" w:space="0" w:color="B29933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94" w:right="362"/>
                          <w:jc w:val="center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19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10" w:lineRule="exact" w:before="8"/>
                          <w:ind w:left="76" w:right="44"/>
                          <w:jc w:val="center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2.9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10" w:lineRule="exact" w:before="8"/>
                          <w:ind w:left="76" w:right="45"/>
                          <w:jc w:val="center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2.7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10" w:lineRule="exact" w:before="8"/>
                          <w:ind w:right="141"/>
                          <w:jc w:val="right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1.8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0" w:lineRule="exact" w:before="8"/>
                          <w:ind w:left="69" w:right="38"/>
                          <w:jc w:val="center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1.9</w:t>
                        </w:r>
                      </w:p>
                    </w:tc>
                  </w:tr>
                  <w:tr>
                    <w:trPr>
                      <w:trHeight w:val="252" w:hRule="atLeast"/>
                    </w:trPr>
                    <w:tc>
                      <w:tcPr>
                        <w:tcW w:w="1368" w:type="dxa"/>
                        <w:tcBorders>
                          <w:top w:val="nil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51" w:type="dxa"/>
                        <w:vMerge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3" w:type="dxa"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76" w:right="44"/>
                          <w:jc w:val="center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(2.9)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76" w:right="45"/>
                          <w:jc w:val="center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(2.6)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right="87"/>
                          <w:jc w:val="right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(2.0)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69" w:right="38"/>
                          <w:jc w:val="center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(2.2)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1368" w:type="dxa"/>
                        <w:tcBorders>
                          <w:top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171" w:lineRule="exact" w:before="47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Japan</w:t>
                        </w:r>
                      </w:p>
                    </w:tc>
                    <w:tc>
                      <w:tcPr>
                        <w:tcW w:w="1051" w:type="dxa"/>
                        <w:vMerge w:val="restart"/>
                        <w:tcBorders>
                          <w:top w:val="single" w:sz="6" w:space="0" w:color="B29933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2"/>
                          <w:jc w:val="center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6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10" w:lineRule="exact" w:before="8"/>
                          <w:ind w:left="76" w:right="44"/>
                          <w:jc w:val="center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2.4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10" w:lineRule="exact" w:before="8"/>
                          <w:ind w:left="76" w:right="45"/>
                          <w:jc w:val="center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1.9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10" w:lineRule="exact" w:before="8"/>
                          <w:ind w:right="141"/>
                          <w:jc w:val="right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1.6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0" w:lineRule="exact" w:before="8"/>
                          <w:ind w:left="69" w:right="38"/>
                          <w:jc w:val="center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1.8</w:t>
                        </w:r>
                      </w:p>
                    </w:tc>
                  </w:tr>
                  <w:tr>
                    <w:trPr>
                      <w:trHeight w:val="252" w:hRule="atLeast"/>
                    </w:trPr>
                    <w:tc>
                      <w:tcPr>
                        <w:tcW w:w="1368" w:type="dxa"/>
                        <w:tcBorders>
                          <w:top w:val="nil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51" w:type="dxa"/>
                        <w:vMerge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3" w:type="dxa"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76" w:right="44"/>
                          <w:jc w:val="center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(2.2)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76" w:right="45"/>
                          <w:jc w:val="center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(2.0)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right="87"/>
                          <w:jc w:val="right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(1.7)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69" w:right="38"/>
                          <w:jc w:val="center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(1.8)</w:t>
                        </w:r>
                      </w:p>
                    </w:tc>
                  </w:tr>
                  <w:tr>
                    <w:trPr>
                      <w:trHeight w:val="545" w:hRule="atLeast"/>
                    </w:trPr>
                    <w:tc>
                      <w:tcPr>
                        <w:tcW w:w="1368" w:type="dxa"/>
                        <w:tcBorders>
                          <w:top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18" w:lineRule="auto" w:before="60"/>
                          <w:ind w:left="121" w:right="107"/>
                          <w:rPr>
                            <w:sz w:val="13"/>
                          </w:rPr>
                        </w:pPr>
                        <w:r>
                          <w:rPr>
                            <w:sz w:val="16"/>
                          </w:rPr>
                          <w:t>China and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Asian</w:t>
                        </w:r>
                        <w:r>
                          <w:rPr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NIEs</w:t>
                        </w:r>
                        <w:r>
                          <w:rPr>
                            <w:position w:val="6"/>
                            <w:sz w:val="13"/>
                          </w:rPr>
                          <w:t>c</w:t>
                        </w:r>
                      </w:p>
                    </w:tc>
                    <w:tc>
                      <w:tcPr>
                        <w:tcW w:w="1051" w:type="dxa"/>
                        <w:tcBorders>
                          <w:top w:val="single" w:sz="6" w:space="0" w:color="B29933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94" w:right="362"/>
                          <w:jc w:val="center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18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6" w:space="0" w:color="B29933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37" w:lineRule="exact" w:before="8"/>
                          <w:ind w:left="135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10.0</w:t>
                        </w:r>
                      </w:p>
                      <w:p>
                        <w:pPr>
                          <w:pStyle w:val="TableParagraph"/>
                          <w:spacing w:line="229" w:lineRule="exact"/>
                          <w:ind w:left="81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(10.0)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6" w:space="0" w:color="B29933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37" w:lineRule="exact" w:before="8"/>
                          <w:ind w:left="134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10.1</w:t>
                        </w:r>
                      </w:p>
                      <w:p>
                        <w:pPr>
                          <w:pStyle w:val="TableParagraph"/>
                          <w:spacing w:line="229" w:lineRule="exact"/>
                          <w:ind w:left="81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(10.0)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6" w:space="0" w:color="B29933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37" w:lineRule="exact" w:before="8"/>
                          <w:ind w:left="174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9.3</w:t>
                        </w:r>
                      </w:p>
                      <w:p>
                        <w:pPr>
                          <w:pStyle w:val="TableParagraph"/>
                          <w:spacing w:line="229" w:lineRule="exact"/>
                          <w:ind w:left="121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(9.4)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6" w:space="0" w:color="B29933"/>
                          <w:left w:val="single" w:sz="6" w:space="0" w:color="B29933"/>
                          <w:bottom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37" w:lineRule="exact" w:before="8"/>
                          <w:ind w:left="159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7.9</w:t>
                        </w:r>
                      </w:p>
                      <w:p>
                        <w:pPr>
                          <w:pStyle w:val="TableParagraph"/>
                          <w:spacing w:line="229" w:lineRule="exact"/>
                          <w:ind w:left="106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(8.0)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1368" w:type="dxa"/>
                        <w:tcBorders>
                          <w:top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156" w:lineRule="exact" w:before="47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Others</w:t>
                        </w:r>
                      </w:p>
                    </w:tc>
                    <w:tc>
                      <w:tcPr>
                        <w:tcW w:w="1051" w:type="dxa"/>
                        <w:vMerge w:val="restart"/>
                        <w:tcBorders>
                          <w:top w:val="single" w:sz="6" w:space="0" w:color="B29933"/>
                          <w:left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94" w:right="362"/>
                          <w:jc w:val="center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37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195" w:lineRule="exact" w:before="8"/>
                          <w:ind w:left="76" w:right="44"/>
                          <w:jc w:val="center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6.3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195" w:lineRule="exact" w:before="8"/>
                          <w:ind w:left="76" w:right="45"/>
                          <w:jc w:val="center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6.3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195" w:lineRule="exact" w:before="8"/>
                          <w:ind w:right="141"/>
                          <w:jc w:val="right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5.7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95" w:lineRule="exact" w:before="8"/>
                          <w:ind w:left="69" w:right="38"/>
                          <w:jc w:val="center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5.0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1368" w:type="dxa"/>
                        <w:tcBorders>
                          <w:top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51" w:type="dxa"/>
                        <w:vMerge/>
                        <w:tcBorders>
                          <w:top w:val="nil"/>
                          <w:left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3" w:type="dxa"/>
                        <w:tcBorders>
                          <w:top w:val="nil"/>
                          <w:left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76" w:right="44"/>
                          <w:jc w:val="center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(6.3)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nil"/>
                          <w:left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76" w:right="45"/>
                          <w:jc w:val="center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(6.3)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nil"/>
                          <w:left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right="87"/>
                          <w:jc w:val="right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(5.8)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nil"/>
                          <w:lef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69" w:right="38"/>
                          <w:jc w:val="center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(5.1)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1368" w:type="dxa"/>
                        <w:tcBorders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156" w:lineRule="exact" w:before="32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World</w:t>
                        </w:r>
                      </w:p>
                    </w:tc>
                    <w:tc>
                      <w:tcPr>
                        <w:tcW w:w="1051" w:type="dxa"/>
                        <w:vMerge w:val="restart"/>
                        <w:tcBorders>
                          <w:left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58" w:lineRule="exact"/>
                          <w:ind w:left="394" w:right="362"/>
                          <w:jc w:val="center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100</w:t>
                        </w:r>
                      </w:p>
                    </w:tc>
                    <w:tc>
                      <w:tcPr>
                        <w:tcW w:w="533" w:type="dxa"/>
                        <w:tcBorders>
                          <w:left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188" w:lineRule="exact"/>
                          <w:ind w:left="76" w:right="44"/>
                          <w:jc w:val="center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5.4</w:t>
                        </w:r>
                      </w:p>
                    </w:tc>
                    <w:tc>
                      <w:tcPr>
                        <w:tcW w:w="533" w:type="dxa"/>
                        <w:tcBorders>
                          <w:left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188" w:lineRule="exact"/>
                          <w:ind w:left="76" w:right="45"/>
                          <w:jc w:val="center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5.3</w:t>
                        </w:r>
                      </w:p>
                    </w:tc>
                    <w:tc>
                      <w:tcPr>
                        <w:tcW w:w="533" w:type="dxa"/>
                        <w:tcBorders>
                          <w:left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188" w:lineRule="exact"/>
                          <w:ind w:right="141"/>
                          <w:jc w:val="right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4.6</w:t>
                        </w:r>
                      </w:p>
                    </w:tc>
                    <w:tc>
                      <w:tcPr>
                        <w:tcW w:w="533" w:type="dxa"/>
                        <w:tcBorders>
                          <w:left w:val="single" w:sz="6" w:space="0" w:color="B29933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8" w:lineRule="exact"/>
                          <w:ind w:left="69" w:right="38"/>
                          <w:jc w:val="center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4.3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1368" w:type="dxa"/>
                        <w:tcBorders>
                          <w:top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51" w:type="dxa"/>
                        <w:vMerge/>
                        <w:tcBorders>
                          <w:top w:val="nil"/>
                          <w:left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3" w:type="dxa"/>
                        <w:tcBorders>
                          <w:top w:val="nil"/>
                          <w:left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76" w:right="44"/>
                          <w:jc w:val="center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(5.4)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nil"/>
                          <w:left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76" w:right="45"/>
                          <w:jc w:val="center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(5.2)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nil"/>
                          <w:left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right="87"/>
                          <w:jc w:val="right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(4.8)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nil"/>
                          <w:lef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69" w:right="38"/>
                          <w:jc w:val="center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(4.5)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bookmarkStart w:name="The Canadian Outlook" w:id="13"/>
      <w:bookmarkEnd w:id="13"/>
      <w:r>
        <w:rPr>
          <w:b w:val="0"/>
          <w:i w:val="0"/>
        </w:rPr>
      </w:r>
      <w:r>
        <w:rPr/>
        <w:t>The</w:t>
      </w:r>
      <w:r>
        <w:rPr>
          <w:spacing w:val="-4"/>
        </w:rPr>
        <w:t> </w:t>
      </w:r>
      <w:r>
        <w:rPr/>
        <w:t>Canadian</w:t>
      </w:r>
      <w:r>
        <w:rPr>
          <w:spacing w:val="-4"/>
        </w:rPr>
        <w:t> </w:t>
      </w:r>
      <w:r>
        <w:rPr/>
        <w:t>Outlook</w:t>
      </w:r>
    </w:p>
    <w:p>
      <w:pPr>
        <w:pStyle w:val="BodyText"/>
        <w:spacing w:line="187" w:lineRule="auto" w:before="14"/>
        <w:ind w:left="558" w:right="937"/>
        <w:jc w:val="both"/>
      </w:pPr>
      <w:r>
        <w:rPr/>
        <w:t>For Canada, the Bank’s base-case projection</w:t>
      </w:r>
      <w:r>
        <w:rPr>
          <w:spacing w:val="-51"/>
        </w:rPr>
        <w:t> </w:t>
      </w:r>
      <w:r>
        <w:rPr/>
        <w:t>is weaker for 2008 but somewhat stronger</w:t>
      </w:r>
      <w:r>
        <w:rPr>
          <w:spacing w:val="1"/>
        </w:rPr>
        <w:t> </w:t>
      </w:r>
      <w:r>
        <w:rPr/>
        <w:t>for</w:t>
      </w:r>
      <w:r>
        <w:rPr>
          <w:spacing w:val="-12"/>
        </w:rPr>
        <w:t> </w:t>
      </w:r>
      <w:r>
        <w:rPr/>
        <w:t>2009</w:t>
      </w:r>
      <w:r>
        <w:rPr>
          <w:spacing w:val="-12"/>
        </w:rPr>
        <w:t> </w:t>
      </w:r>
      <w:r>
        <w:rPr/>
        <w:t>than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October</w:t>
      </w:r>
      <w:r>
        <w:rPr>
          <w:spacing w:val="-11"/>
        </w:rPr>
        <w:t> </w:t>
      </w:r>
      <w:r>
        <w:rPr>
          <w:i/>
        </w:rPr>
        <w:t>Report</w:t>
      </w:r>
      <w:r>
        <w:rPr/>
        <w:t>.</w:t>
      </w:r>
      <w:r>
        <w:rPr>
          <w:spacing w:val="-12"/>
        </w:rPr>
        <w:t> </w:t>
      </w:r>
      <w:r>
        <w:rPr/>
        <w:t>Quarter-</w:t>
      </w:r>
      <w:r>
        <w:rPr>
          <w:spacing w:val="-50"/>
        </w:rPr>
        <w:t> </w:t>
      </w:r>
      <w:r>
        <w:rPr/>
        <w:t>ly growth at annual rates is expected to av-</w:t>
      </w:r>
      <w:r>
        <w:rPr>
          <w:spacing w:val="1"/>
        </w:rPr>
        <w:t> </w:t>
      </w:r>
      <w:r>
        <w:rPr/>
        <w:t>erage</w:t>
      </w:r>
      <w:r>
        <w:rPr>
          <w:spacing w:val="-12"/>
        </w:rPr>
        <w:t> </w:t>
      </w:r>
      <w:r>
        <w:rPr/>
        <w:t>1.3</w:t>
      </w:r>
      <w:r>
        <w:rPr>
          <w:spacing w:val="-11"/>
        </w:rPr>
        <w:t> </w:t>
      </w:r>
      <w:r>
        <w:rPr/>
        <w:t>per</w:t>
      </w:r>
      <w:r>
        <w:rPr>
          <w:spacing w:val="-11"/>
        </w:rPr>
        <w:t> </w:t>
      </w:r>
      <w:r>
        <w:rPr/>
        <w:t>cent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first</w:t>
      </w:r>
      <w:r>
        <w:rPr>
          <w:spacing w:val="-11"/>
        </w:rPr>
        <w:t> </w:t>
      </w:r>
      <w:r>
        <w:rPr/>
        <w:t>half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2008</w:t>
      </w:r>
      <w:r>
        <w:rPr>
          <w:spacing w:val="-11"/>
        </w:rPr>
        <w:t> </w:t>
      </w:r>
      <w:r>
        <w:rPr/>
        <w:t>and</w:t>
      </w:r>
      <w:r>
        <w:rPr>
          <w:spacing w:val="-50"/>
        </w:rPr>
        <w:t> </w:t>
      </w:r>
      <w:r>
        <w:rPr/>
        <w:t>then move up to 2.3 per cent in the second</w:t>
      </w:r>
      <w:r>
        <w:rPr>
          <w:spacing w:val="1"/>
        </w:rPr>
        <w:t> </w:t>
      </w:r>
      <w:r>
        <w:rPr/>
        <w:t>half of this year, and to just over 3 per cent</w:t>
      </w:r>
      <w:r>
        <w:rPr>
          <w:spacing w:val="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2009 (Table 2).</w:t>
      </w:r>
    </w:p>
    <w:p>
      <w:pPr>
        <w:pStyle w:val="BodyText"/>
        <w:spacing w:line="187" w:lineRule="auto"/>
        <w:ind w:left="558" w:right="937" w:firstLine="360"/>
        <w:jc w:val="both"/>
      </w:pPr>
      <w:r>
        <w:rPr/>
        <w:t>Final domestic demand is expected to</w:t>
      </w:r>
      <w:r>
        <w:rPr>
          <w:spacing w:val="1"/>
        </w:rPr>
        <w:t> </w:t>
      </w:r>
      <w:r>
        <w:rPr/>
        <w:t>remain the key driver of economic growth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projection</w:t>
      </w:r>
      <w:r>
        <w:rPr>
          <w:spacing w:val="1"/>
        </w:rPr>
        <w:t> </w:t>
      </w:r>
      <w:r>
        <w:rPr/>
        <w:t>period,</w:t>
      </w:r>
      <w:r>
        <w:rPr>
          <w:spacing w:val="1"/>
        </w:rPr>
        <w:t> </w:t>
      </w:r>
      <w:r>
        <w:rPr/>
        <w:t>supported</w:t>
      </w:r>
      <w:r>
        <w:rPr>
          <w:spacing w:val="1"/>
        </w:rPr>
        <w:t> </w:t>
      </w:r>
      <w:r>
        <w:rPr/>
        <w:t>by</w:t>
      </w:r>
      <w:r>
        <w:rPr>
          <w:spacing w:val="-50"/>
        </w:rPr>
        <w:t> </w:t>
      </w:r>
      <w:r>
        <w:rPr/>
        <w:t>high</w:t>
      </w:r>
      <w:r>
        <w:rPr>
          <w:spacing w:val="1"/>
        </w:rPr>
        <w:t> </w:t>
      </w:r>
      <w:r>
        <w:rPr/>
        <w:t>commodity</w:t>
      </w:r>
      <w:r>
        <w:rPr>
          <w:spacing w:val="1"/>
        </w:rPr>
        <w:t> </w:t>
      </w:r>
      <w:r>
        <w:rPr/>
        <w:t>prices,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robust</w:t>
      </w:r>
      <w:r>
        <w:rPr>
          <w:spacing w:val="1"/>
        </w:rPr>
        <w:t> </w:t>
      </w:r>
      <w:r>
        <w:rPr/>
        <w:t>growth in real incomes, and lower policy</w:t>
      </w:r>
      <w:r>
        <w:rPr>
          <w:spacing w:val="1"/>
        </w:rPr>
        <w:t> </w:t>
      </w:r>
      <w:r>
        <w:rPr/>
        <w:t>rates</w:t>
      </w:r>
      <w:r>
        <w:rPr>
          <w:spacing w:val="-7"/>
        </w:rPr>
        <w:t> </w:t>
      </w:r>
      <w:r>
        <w:rPr/>
        <w:t>(Table</w:t>
      </w:r>
      <w:r>
        <w:rPr>
          <w:spacing w:val="-2"/>
        </w:rPr>
        <w:t> </w:t>
      </w:r>
      <w:r>
        <w:rPr/>
        <w:t>3).</w:t>
      </w:r>
      <w:r>
        <w:rPr>
          <w:spacing w:val="-7"/>
        </w:rPr>
        <w:t> </w:t>
      </w:r>
      <w:r>
        <w:rPr/>
        <w:t>Growth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final</w:t>
      </w:r>
      <w:r>
        <w:rPr>
          <w:spacing w:val="-7"/>
        </w:rPr>
        <w:t> </w:t>
      </w:r>
      <w:r>
        <w:rPr/>
        <w:t>domestic</w:t>
      </w:r>
      <w:r>
        <w:rPr>
          <w:spacing w:val="-6"/>
        </w:rPr>
        <w:t> </w:t>
      </w:r>
      <w:r>
        <w:rPr/>
        <w:t>de-</w:t>
      </w:r>
      <w:r>
        <w:rPr>
          <w:spacing w:val="-50"/>
        </w:rPr>
        <w:t> </w:t>
      </w:r>
      <w:r>
        <w:rPr>
          <w:spacing w:val="-4"/>
        </w:rPr>
        <w:t>mand</w:t>
      </w:r>
      <w:r>
        <w:rPr>
          <w:spacing w:val="-13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>
          <w:spacing w:val="-4"/>
        </w:rPr>
        <w:t>a</w:t>
      </w:r>
      <w:r>
        <w:rPr>
          <w:spacing w:val="-12"/>
        </w:rPr>
        <w:t> </w:t>
      </w:r>
      <w:r>
        <w:rPr>
          <w:spacing w:val="-4"/>
        </w:rPr>
        <w:t>little</w:t>
      </w:r>
      <w:r>
        <w:rPr>
          <w:spacing w:val="-14"/>
        </w:rPr>
        <w:t> </w:t>
      </w:r>
      <w:r>
        <w:rPr>
          <w:spacing w:val="-4"/>
        </w:rPr>
        <w:t>stronger</w:t>
      </w:r>
      <w:r>
        <w:rPr>
          <w:spacing w:val="-12"/>
        </w:rPr>
        <w:t> </w:t>
      </w:r>
      <w:r>
        <w:rPr>
          <w:spacing w:val="-4"/>
        </w:rPr>
        <w:t>than</w:t>
      </w:r>
      <w:r>
        <w:rPr>
          <w:spacing w:val="-14"/>
        </w:rPr>
        <w:t> </w:t>
      </w:r>
      <w:r>
        <w:rPr>
          <w:spacing w:val="-4"/>
        </w:rPr>
        <w:t>in</w:t>
      </w:r>
      <w:r>
        <w:rPr>
          <w:spacing w:val="-14"/>
        </w:rPr>
        <w:t> </w:t>
      </w:r>
      <w:r>
        <w:rPr>
          <w:spacing w:val="-4"/>
        </w:rPr>
        <w:t>the</w:t>
      </w:r>
      <w:r>
        <w:rPr>
          <w:spacing w:val="-13"/>
        </w:rPr>
        <w:t> </w:t>
      </w:r>
      <w:r>
        <w:rPr>
          <w:spacing w:val="-4"/>
        </w:rPr>
        <w:t>last</w:t>
      </w:r>
      <w:r>
        <w:rPr>
          <w:spacing w:val="-14"/>
        </w:rPr>
        <w:t> </w:t>
      </w:r>
      <w:r>
        <w:rPr>
          <w:i/>
          <w:spacing w:val="-4"/>
        </w:rPr>
        <w:t>Report.</w:t>
      </w:r>
      <w:r>
        <w:rPr>
          <w:i/>
          <w:spacing w:val="-50"/>
        </w:rPr>
        <w:t> </w:t>
      </w:r>
      <w:r>
        <w:rPr>
          <w:spacing w:val="-1"/>
        </w:rPr>
        <w:t>But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major</w:t>
      </w:r>
      <w:r>
        <w:rPr>
          <w:spacing w:val="-12"/>
        </w:rPr>
        <w:t> </w:t>
      </w:r>
      <w:r>
        <w:rPr/>
        <w:t>change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much</w:t>
      </w:r>
      <w:r>
        <w:rPr>
          <w:spacing w:val="-13"/>
        </w:rPr>
        <w:t> </w:t>
      </w:r>
      <w:r>
        <w:rPr/>
        <w:t>weaker</w:t>
      </w:r>
      <w:r>
        <w:rPr>
          <w:spacing w:val="-12"/>
        </w:rPr>
        <w:t> </w:t>
      </w:r>
      <w:r>
        <w:rPr/>
        <w:t>net</w:t>
      </w:r>
      <w:r>
        <w:rPr>
          <w:spacing w:val="-13"/>
        </w:rPr>
        <w:t> </w:t>
      </w:r>
      <w:r>
        <w:rPr/>
        <w:t>ex-</w:t>
      </w:r>
      <w:r>
        <w:rPr>
          <w:spacing w:val="-50"/>
        </w:rPr>
        <w:t> </w:t>
      </w:r>
      <w:r>
        <w:rPr/>
        <w:t>ports. While import growth is expected to</w:t>
      </w:r>
      <w:r>
        <w:rPr>
          <w:spacing w:val="1"/>
        </w:rPr>
        <w:t> </w:t>
      </w:r>
      <w:r>
        <w:rPr/>
        <w:t>stay robust over the projection period, the</w:t>
      </w:r>
      <w:r>
        <w:rPr>
          <w:spacing w:val="1"/>
        </w:rPr>
        <w:t> </w:t>
      </w:r>
      <w:r>
        <w:rPr/>
        <w:t>outlook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Canadian</w:t>
      </w:r>
      <w:r>
        <w:rPr>
          <w:spacing w:val="1"/>
        </w:rPr>
        <w:t> </w:t>
      </w:r>
      <w:r>
        <w:rPr/>
        <w:t>exports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marked down, reflecting the weaker U.S.</w:t>
      </w:r>
      <w:r>
        <w:rPr>
          <w:spacing w:val="1"/>
        </w:rPr>
        <w:t> </w:t>
      </w:r>
      <w:r>
        <w:rPr/>
        <w:t>economic outlook. With the pickup in U.S.</w:t>
      </w:r>
      <w:r>
        <w:rPr>
          <w:spacing w:val="1"/>
        </w:rPr>
        <w:t> </w:t>
      </w:r>
      <w:r>
        <w:rPr/>
        <w:t>GDP growth in 2009, the drag on Canadian</w:t>
      </w:r>
      <w:r>
        <w:rPr>
          <w:spacing w:val="-50"/>
        </w:rPr>
        <w:t> </w:t>
      </w:r>
      <w:r>
        <w:rPr/>
        <w:t>economic activity coming from net exports</w:t>
      </w:r>
      <w:r>
        <w:rPr>
          <w:spacing w:val="1"/>
        </w:rPr>
        <w:t> </w:t>
      </w:r>
      <w:r>
        <w:rPr/>
        <w:t>diminishes.</w:t>
      </w:r>
    </w:p>
    <w:p>
      <w:pPr>
        <w:spacing w:after="0" w:line="187" w:lineRule="auto"/>
        <w:jc w:val="both"/>
        <w:sectPr>
          <w:type w:val="continuous"/>
          <w:pgSz w:w="12240" w:h="15840"/>
          <w:pgMar w:header="661" w:footer="764" w:top="360" w:bottom="280" w:left="260" w:right="860"/>
          <w:cols w:num="2" w:equalWidth="0">
            <w:col w:w="5526" w:space="40"/>
            <w:col w:w="555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661" w:footer="764" w:top="860" w:bottom="960" w:left="260" w:right="86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0"/>
        </w:rPr>
      </w:pPr>
    </w:p>
    <w:p>
      <w:pPr>
        <w:pStyle w:val="ListParagraph"/>
        <w:numPr>
          <w:ilvl w:val="0"/>
          <w:numId w:val="4"/>
        </w:numPr>
        <w:tabs>
          <w:tab w:pos="1334" w:val="left" w:leader="none"/>
        </w:tabs>
        <w:spacing w:line="204" w:lineRule="auto" w:before="0" w:after="0"/>
        <w:ind w:left="1333" w:right="130" w:hanging="216"/>
        <w:jc w:val="left"/>
        <w:rPr>
          <w:rFonts w:ascii="Helvetica"/>
          <w:i/>
          <w:sz w:val="15"/>
        </w:rPr>
      </w:pPr>
      <w:r>
        <w:rPr>
          <w:rFonts w:ascii="Helvetica"/>
          <w:sz w:val="15"/>
        </w:rPr>
        <w:t>Figures</w:t>
      </w:r>
      <w:r>
        <w:rPr>
          <w:rFonts w:ascii="Helvetica"/>
          <w:spacing w:val="-3"/>
          <w:sz w:val="15"/>
        </w:rPr>
        <w:t> </w:t>
      </w:r>
      <w:r>
        <w:rPr>
          <w:rFonts w:ascii="Helvetica"/>
          <w:sz w:val="15"/>
        </w:rPr>
        <w:t>in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parentheses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are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from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the</w:t>
      </w:r>
      <w:r>
        <w:rPr>
          <w:rFonts w:ascii="Helvetica"/>
          <w:spacing w:val="-3"/>
          <w:sz w:val="15"/>
        </w:rPr>
        <w:t> </w:t>
      </w:r>
      <w:r>
        <w:rPr>
          <w:rFonts w:ascii="Helvetica"/>
          <w:sz w:val="15"/>
        </w:rPr>
        <w:t>October</w:t>
      </w:r>
      <w:r>
        <w:rPr>
          <w:rFonts w:ascii="Helvetica"/>
          <w:spacing w:val="-3"/>
          <w:sz w:val="15"/>
        </w:rPr>
        <w:t> </w:t>
      </w:r>
      <w:r>
        <w:rPr>
          <w:rFonts w:ascii="Helvetica"/>
          <w:i/>
          <w:sz w:val="15"/>
        </w:rPr>
        <w:t>Monetary</w:t>
      </w:r>
      <w:r>
        <w:rPr>
          <w:rFonts w:ascii="Helvetica"/>
          <w:i/>
          <w:spacing w:val="-2"/>
          <w:sz w:val="15"/>
        </w:rPr>
        <w:t> </w:t>
      </w:r>
      <w:r>
        <w:rPr>
          <w:rFonts w:ascii="Helvetica"/>
          <w:i/>
          <w:sz w:val="15"/>
        </w:rPr>
        <w:t>Policy</w:t>
      </w:r>
      <w:r>
        <w:rPr>
          <w:rFonts w:ascii="Helvetica"/>
          <w:i/>
          <w:spacing w:val="-39"/>
          <w:sz w:val="15"/>
        </w:rPr>
        <w:t> </w:t>
      </w:r>
      <w:r>
        <w:rPr>
          <w:rFonts w:ascii="Helvetica"/>
          <w:i/>
          <w:sz w:val="15"/>
        </w:rPr>
        <w:t>Report.</w:t>
      </w:r>
    </w:p>
    <w:p>
      <w:pPr>
        <w:pStyle w:val="ListParagraph"/>
        <w:numPr>
          <w:ilvl w:val="0"/>
          <w:numId w:val="4"/>
        </w:numPr>
        <w:tabs>
          <w:tab w:pos="1334" w:val="left" w:leader="none"/>
        </w:tabs>
        <w:spacing w:line="204" w:lineRule="auto" w:before="1" w:after="0"/>
        <w:ind w:left="1333" w:right="90" w:hanging="216"/>
        <w:jc w:val="left"/>
        <w:rPr>
          <w:rFonts w:ascii="Helvetica"/>
          <w:sz w:val="15"/>
        </w:rPr>
      </w:pPr>
      <w:r>
        <w:rPr>
          <w:rFonts w:ascii="Helvetica"/>
          <w:sz w:val="15"/>
        </w:rPr>
        <w:t>For half and full years, the number reported is the average of</w:t>
      </w:r>
      <w:r>
        <w:rPr>
          <w:rFonts w:ascii="Helvetica"/>
          <w:spacing w:val="1"/>
          <w:sz w:val="15"/>
        </w:rPr>
        <w:t> </w:t>
      </w:r>
      <w:r>
        <w:rPr>
          <w:rFonts w:ascii="Helvetica"/>
          <w:sz w:val="15"/>
        </w:rPr>
        <w:t>the respective quarter-to-quarter percentage growth at annual</w:t>
      </w:r>
      <w:r>
        <w:rPr>
          <w:rFonts w:ascii="Helvetica"/>
          <w:spacing w:val="-39"/>
          <w:sz w:val="15"/>
        </w:rPr>
        <w:t> </w:t>
      </w:r>
      <w:r>
        <w:rPr>
          <w:rFonts w:ascii="Helvetica"/>
          <w:sz w:val="15"/>
        </w:rPr>
        <w:t>rates.</w:t>
      </w:r>
    </w:p>
    <w:p>
      <w:pPr>
        <w:pStyle w:val="ListParagraph"/>
        <w:numPr>
          <w:ilvl w:val="0"/>
          <w:numId w:val="4"/>
        </w:numPr>
        <w:tabs>
          <w:tab w:pos="1334" w:val="left" w:leader="none"/>
        </w:tabs>
        <w:spacing w:line="142" w:lineRule="exact" w:before="0" w:after="0"/>
        <w:ind w:left="1333" w:right="0" w:hanging="217"/>
        <w:jc w:val="left"/>
        <w:rPr>
          <w:rFonts w:ascii="Helvetica"/>
          <w:sz w:val="15"/>
        </w:rPr>
      </w:pPr>
      <w:r>
        <w:rPr>
          <w:rFonts w:ascii="Helvetica"/>
          <w:sz w:val="15"/>
        </w:rPr>
        <w:t>The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combined effect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of the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1 per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cent GST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reduction on</w:t>
      </w:r>
    </w:p>
    <w:p>
      <w:pPr>
        <w:spacing w:line="204" w:lineRule="auto" w:before="8"/>
        <w:ind w:left="1333" w:right="15" w:firstLine="0"/>
        <w:jc w:val="left"/>
        <w:rPr>
          <w:rFonts w:ascii="Helvetica"/>
          <w:sz w:val="15"/>
        </w:rPr>
      </w:pPr>
      <w:r>
        <w:rPr>
          <w:rFonts w:ascii="Helvetica"/>
          <w:sz w:val="15"/>
        </w:rPr>
        <w:t>1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January</w:t>
      </w:r>
      <w:r>
        <w:rPr>
          <w:rFonts w:ascii="Helvetica"/>
          <w:spacing w:val="-6"/>
          <w:sz w:val="15"/>
        </w:rPr>
        <w:t> </w:t>
      </w:r>
      <w:r>
        <w:rPr>
          <w:rFonts w:ascii="Helvetica"/>
          <w:sz w:val="15"/>
        </w:rPr>
        <w:t>2008</w:t>
      </w:r>
      <w:r>
        <w:rPr>
          <w:rFonts w:ascii="Helvetica"/>
          <w:spacing w:val="-5"/>
          <w:sz w:val="15"/>
        </w:rPr>
        <w:t> </w:t>
      </w:r>
      <w:r>
        <w:rPr>
          <w:rFonts w:ascii="Helvetica"/>
          <w:sz w:val="15"/>
        </w:rPr>
        <w:t>and</w:t>
      </w:r>
      <w:r>
        <w:rPr>
          <w:rFonts w:ascii="Helvetica"/>
          <w:spacing w:val="-6"/>
          <w:sz w:val="15"/>
        </w:rPr>
        <w:t> </w:t>
      </w:r>
      <w:r>
        <w:rPr>
          <w:rFonts w:ascii="Helvetica"/>
          <w:sz w:val="15"/>
        </w:rPr>
        <w:t>some</w:t>
      </w:r>
      <w:r>
        <w:rPr>
          <w:rFonts w:ascii="Helvetica"/>
          <w:spacing w:val="-5"/>
          <w:sz w:val="15"/>
        </w:rPr>
        <w:t> </w:t>
      </w:r>
      <w:r>
        <w:rPr>
          <w:rFonts w:ascii="Helvetica"/>
          <w:sz w:val="15"/>
        </w:rPr>
        <w:t>other</w:t>
      </w:r>
      <w:r>
        <w:rPr>
          <w:rFonts w:ascii="Helvetica"/>
          <w:spacing w:val="-6"/>
          <w:sz w:val="15"/>
        </w:rPr>
        <w:t> </w:t>
      </w:r>
      <w:r>
        <w:rPr>
          <w:rFonts w:ascii="Helvetica"/>
          <w:sz w:val="15"/>
        </w:rPr>
        <w:t>small</w:t>
      </w:r>
      <w:r>
        <w:rPr>
          <w:rFonts w:ascii="Helvetica"/>
          <w:spacing w:val="-5"/>
          <w:sz w:val="15"/>
        </w:rPr>
        <w:t> </w:t>
      </w:r>
      <w:r>
        <w:rPr>
          <w:rFonts w:ascii="Helvetica"/>
          <w:sz w:val="15"/>
        </w:rPr>
        <w:t>changes</w:t>
      </w:r>
      <w:r>
        <w:rPr>
          <w:rFonts w:ascii="Helvetica"/>
          <w:spacing w:val="-6"/>
          <w:sz w:val="15"/>
        </w:rPr>
        <w:t> </w:t>
      </w:r>
      <w:r>
        <w:rPr>
          <w:rFonts w:ascii="Helvetica"/>
          <w:sz w:val="15"/>
        </w:rPr>
        <w:t>in</w:t>
      </w:r>
      <w:r>
        <w:rPr>
          <w:rFonts w:ascii="Helvetica"/>
          <w:spacing w:val="-5"/>
          <w:sz w:val="15"/>
        </w:rPr>
        <w:t> </w:t>
      </w:r>
      <w:r>
        <w:rPr>
          <w:rFonts w:ascii="Helvetica"/>
          <w:sz w:val="15"/>
        </w:rPr>
        <w:t>indirect</w:t>
      </w:r>
      <w:r>
        <w:rPr>
          <w:rFonts w:ascii="Helvetica"/>
          <w:spacing w:val="-6"/>
          <w:sz w:val="15"/>
        </w:rPr>
        <w:t> </w:t>
      </w:r>
      <w:r>
        <w:rPr>
          <w:rFonts w:ascii="Helvetica"/>
          <w:sz w:val="15"/>
        </w:rPr>
        <w:t>taxes</w:t>
      </w:r>
      <w:r>
        <w:rPr>
          <w:rFonts w:ascii="Helvetica"/>
          <w:spacing w:val="-39"/>
          <w:sz w:val="15"/>
        </w:rPr>
        <w:t> </w:t>
      </w:r>
      <w:r>
        <w:rPr>
          <w:rFonts w:ascii="Helvetica"/>
          <w:sz w:val="15"/>
        </w:rPr>
        <w:t>is</w:t>
      </w:r>
      <w:r>
        <w:rPr>
          <w:rFonts w:ascii="Helvetica"/>
          <w:spacing w:val="-8"/>
          <w:sz w:val="15"/>
        </w:rPr>
        <w:t> </w:t>
      </w:r>
      <w:r>
        <w:rPr>
          <w:rFonts w:ascii="Helvetica"/>
          <w:sz w:val="15"/>
        </w:rPr>
        <w:t>estimated</w:t>
      </w:r>
      <w:r>
        <w:rPr>
          <w:rFonts w:ascii="Helvetica"/>
          <w:spacing w:val="-7"/>
          <w:sz w:val="15"/>
        </w:rPr>
        <w:t> </w:t>
      </w:r>
      <w:r>
        <w:rPr>
          <w:rFonts w:ascii="Helvetica"/>
          <w:sz w:val="15"/>
        </w:rPr>
        <w:t>to</w:t>
      </w:r>
      <w:r>
        <w:rPr>
          <w:rFonts w:ascii="Helvetica"/>
          <w:spacing w:val="-8"/>
          <w:sz w:val="15"/>
        </w:rPr>
        <w:t> </w:t>
      </w:r>
      <w:r>
        <w:rPr>
          <w:rFonts w:ascii="Helvetica"/>
          <w:sz w:val="15"/>
        </w:rPr>
        <w:t>reduce</w:t>
      </w:r>
      <w:r>
        <w:rPr>
          <w:rFonts w:ascii="Helvetica"/>
          <w:spacing w:val="-7"/>
          <w:sz w:val="15"/>
        </w:rPr>
        <w:t> </w:t>
      </w:r>
      <w:r>
        <w:rPr>
          <w:rFonts w:ascii="Helvetica"/>
          <w:sz w:val="15"/>
        </w:rPr>
        <w:t>total</w:t>
      </w:r>
      <w:r>
        <w:rPr>
          <w:rFonts w:ascii="Helvetica"/>
          <w:spacing w:val="-8"/>
          <w:sz w:val="15"/>
        </w:rPr>
        <w:t> </w:t>
      </w:r>
      <w:r>
        <w:rPr>
          <w:rFonts w:ascii="Helvetica"/>
          <w:sz w:val="15"/>
        </w:rPr>
        <w:t>CPI</w:t>
      </w:r>
      <w:r>
        <w:rPr>
          <w:rFonts w:ascii="Helvetica"/>
          <w:spacing w:val="-7"/>
          <w:sz w:val="15"/>
        </w:rPr>
        <w:t> </w:t>
      </w:r>
      <w:r>
        <w:rPr>
          <w:rFonts w:ascii="Helvetica"/>
          <w:sz w:val="15"/>
        </w:rPr>
        <w:t>by</w:t>
      </w:r>
      <w:r>
        <w:rPr>
          <w:rFonts w:ascii="Helvetica"/>
          <w:spacing w:val="-7"/>
          <w:sz w:val="15"/>
        </w:rPr>
        <w:t> </w:t>
      </w:r>
      <w:r>
        <w:rPr>
          <w:rFonts w:ascii="Helvetica"/>
          <w:sz w:val="15"/>
        </w:rPr>
        <w:t>about</w:t>
      </w:r>
      <w:r>
        <w:rPr>
          <w:rFonts w:ascii="Helvetica"/>
          <w:spacing w:val="-8"/>
          <w:sz w:val="15"/>
        </w:rPr>
        <w:t> </w:t>
      </w:r>
      <w:r>
        <w:rPr>
          <w:rFonts w:ascii="Helvetica"/>
          <w:sz w:val="15"/>
        </w:rPr>
        <w:t>0.5</w:t>
      </w:r>
      <w:r>
        <w:rPr>
          <w:rFonts w:ascii="Helvetica"/>
          <w:spacing w:val="-7"/>
          <w:sz w:val="15"/>
        </w:rPr>
        <w:t> </w:t>
      </w:r>
      <w:r>
        <w:rPr>
          <w:rFonts w:ascii="Helvetica"/>
          <w:sz w:val="15"/>
        </w:rPr>
        <w:t>per</w:t>
      </w:r>
      <w:r>
        <w:rPr>
          <w:rFonts w:ascii="Helvetica"/>
          <w:spacing w:val="-8"/>
          <w:sz w:val="15"/>
        </w:rPr>
        <w:t> </w:t>
      </w:r>
      <w:r>
        <w:rPr>
          <w:rFonts w:ascii="Helvetica"/>
          <w:sz w:val="15"/>
        </w:rPr>
        <w:t>cent</w:t>
      </w:r>
      <w:r>
        <w:rPr>
          <w:rFonts w:ascii="Helvetica"/>
          <w:spacing w:val="-7"/>
          <w:sz w:val="15"/>
        </w:rPr>
        <w:t> </w:t>
      </w:r>
      <w:r>
        <w:rPr>
          <w:rFonts w:ascii="Helvetica"/>
          <w:sz w:val="15"/>
        </w:rPr>
        <w:t>for</w:t>
      </w:r>
      <w:r>
        <w:rPr>
          <w:rFonts w:ascii="Helvetica"/>
          <w:spacing w:val="-7"/>
          <w:sz w:val="15"/>
        </w:rPr>
        <w:t> </w:t>
      </w:r>
      <w:r>
        <w:rPr>
          <w:rFonts w:ascii="Helvetica"/>
          <w:sz w:val="15"/>
        </w:rPr>
        <w:t>a</w:t>
      </w:r>
      <w:r>
        <w:rPr>
          <w:rFonts w:ascii="Helvetica"/>
          <w:spacing w:val="-8"/>
          <w:sz w:val="15"/>
        </w:rPr>
        <w:t> </w:t>
      </w:r>
      <w:r>
        <w:rPr>
          <w:rFonts w:ascii="Helvetica"/>
          <w:sz w:val="15"/>
        </w:rPr>
        <w:t>year.</w:t>
      </w:r>
    </w:p>
    <w:p>
      <w:pPr>
        <w:pStyle w:val="ListParagraph"/>
        <w:numPr>
          <w:ilvl w:val="0"/>
          <w:numId w:val="4"/>
        </w:numPr>
        <w:tabs>
          <w:tab w:pos="1334" w:val="left" w:leader="none"/>
        </w:tabs>
        <w:spacing w:line="204" w:lineRule="auto" w:before="0" w:after="0"/>
        <w:ind w:left="1333" w:right="21" w:hanging="216"/>
        <w:jc w:val="left"/>
        <w:rPr>
          <w:rFonts w:ascii="Helvetica"/>
          <w:sz w:val="15"/>
        </w:rPr>
      </w:pPr>
      <w:r>
        <w:rPr>
          <w:rFonts w:ascii="Helvetica"/>
          <w:sz w:val="15"/>
        </w:rPr>
        <w:t>Assumption for the price of West Texas Intermediate crude oil</w:t>
      </w:r>
      <w:r>
        <w:rPr>
          <w:rFonts w:ascii="Helvetica"/>
          <w:spacing w:val="1"/>
          <w:sz w:val="15"/>
        </w:rPr>
        <w:t> </w:t>
      </w:r>
      <w:r>
        <w:rPr>
          <w:rFonts w:ascii="Helvetica"/>
          <w:sz w:val="15"/>
        </w:rPr>
        <w:t>(US$</w:t>
      </w:r>
      <w:r>
        <w:rPr>
          <w:rFonts w:ascii="Helvetica"/>
          <w:spacing w:val="-7"/>
          <w:sz w:val="15"/>
        </w:rPr>
        <w:t> </w:t>
      </w:r>
      <w:r>
        <w:rPr>
          <w:rFonts w:ascii="Helvetica"/>
          <w:sz w:val="15"/>
        </w:rPr>
        <w:t>per</w:t>
      </w:r>
      <w:r>
        <w:rPr>
          <w:rFonts w:ascii="Helvetica"/>
          <w:spacing w:val="-7"/>
          <w:sz w:val="15"/>
        </w:rPr>
        <w:t> </w:t>
      </w:r>
      <w:r>
        <w:rPr>
          <w:rFonts w:ascii="Helvetica"/>
          <w:sz w:val="15"/>
        </w:rPr>
        <w:t>barrel),</w:t>
      </w:r>
      <w:r>
        <w:rPr>
          <w:rFonts w:ascii="Helvetica"/>
          <w:spacing w:val="-7"/>
          <w:sz w:val="15"/>
        </w:rPr>
        <w:t> </w:t>
      </w:r>
      <w:r>
        <w:rPr>
          <w:rFonts w:ascii="Helvetica"/>
          <w:sz w:val="15"/>
        </w:rPr>
        <w:t>based</w:t>
      </w:r>
      <w:r>
        <w:rPr>
          <w:rFonts w:ascii="Helvetica"/>
          <w:spacing w:val="-7"/>
          <w:sz w:val="15"/>
        </w:rPr>
        <w:t> </w:t>
      </w:r>
      <w:r>
        <w:rPr>
          <w:rFonts w:ascii="Helvetica"/>
          <w:sz w:val="15"/>
        </w:rPr>
        <w:t>on</w:t>
      </w:r>
      <w:r>
        <w:rPr>
          <w:rFonts w:ascii="Helvetica"/>
          <w:spacing w:val="-7"/>
          <w:sz w:val="15"/>
        </w:rPr>
        <w:t> </w:t>
      </w:r>
      <w:r>
        <w:rPr>
          <w:rFonts w:ascii="Helvetica"/>
          <w:sz w:val="15"/>
        </w:rPr>
        <w:t>an</w:t>
      </w:r>
      <w:r>
        <w:rPr>
          <w:rFonts w:ascii="Helvetica"/>
          <w:spacing w:val="-6"/>
          <w:sz w:val="15"/>
        </w:rPr>
        <w:t> </w:t>
      </w:r>
      <w:r>
        <w:rPr>
          <w:rFonts w:ascii="Helvetica"/>
          <w:sz w:val="15"/>
        </w:rPr>
        <w:t>average</w:t>
      </w:r>
      <w:r>
        <w:rPr>
          <w:rFonts w:ascii="Helvetica"/>
          <w:spacing w:val="-7"/>
          <w:sz w:val="15"/>
        </w:rPr>
        <w:t> </w:t>
      </w:r>
      <w:r>
        <w:rPr>
          <w:rFonts w:ascii="Helvetica"/>
          <w:sz w:val="15"/>
        </w:rPr>
        <w:t>of</w:t>
      </w:r>
      <w:r>
        <w:rPr>
          <w:rFonts w:ascii="Helvetica"/>
          <w:spacing w:val="-7"/>
          <w:sz w:val="15"/>
        </w:rPr>
        <w:t> </w:t>
      </w:r>
      <w:r>
        <w:rPr>
          <w:rFonts w:ascii="Helvetica"/>
          <w:sz w:val="15"/>
        </w:rPr>
        <w:t>futures</w:t>
      </w:r>
      <w:r>
        <w:rPr>
          <w:rFonts w:ascii="Helvetica"/>
          <w:spacing w:val="-7"/>
          <w:sz w:val="15"/>
        </w:rPr>
        <w:t> </w:t>
      </w:r>
      <w:r>
        <w:rPr>
          <w:rFonts w:ascii="Helvetica"/>
          <w:sz w:val="15"/>
        </w:rPr>
        <w:t>contracts</w:t>
      </w:r>
      <w:r>
        <w:rPr>
          <w:rFonts w:ascii="Helvetica"/>
          <w:spacing w:val="-7"/>
          <w:sz w:val="15"/>
        </w:rPr>
        <w:t> </w:t>
      </w:r>
      <w:r>
        <w:rPr>
          <w:rFonts w:ascii="Helvetica"/>
          <w:sz w:val="15"/>
        </w:rPr>
        <w:t>over</w:t>
      </w:r>
      <w:r>
        <w:rPr>
          <w:rFonts w:ascii="Helvetica"/>
          <w:spacing w:val="-38"/>
          <w:sz w:val="15"/>
        </w:rPr>
        <w:t> </w:t>
      </w:r>
      <w:r>
        <w:rPr>
          <w:rFonts w:ascii="Helvetica"/>
          <w:sz w:val="15"/>
        </w:rPr>
        <w:t>the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two weeks ending 18 January 2008</w:t>
      </w:r>
    </w:p>
    <w:p>
      <w:pPr>
        <w:pStyle w:val="BodyText"/>
        <w:rPr>
          <w:rFonts w:ascii="Helvetica"/>
          <w:sz w:val="16"/>
        </w:rPr>
      </w:pPr>
    </w:p>
    <w:p>
      <w:pPr>
        <w:pStyle w:val="BodyText"/>
        <w:rPr>
          <w:rFonts w:ascii="Helvetica"/>
          <w:sz w:val="16"/>
        </w:rPr>
      </w:pPr>
    </w:p>
    <w:p>
      <w:pPr>
        <w:pStyle w:val="BodyText"/>
        <w:spacing w:before="7"/>
        <w:rPr>
          <w:rFonts w:ascii="Helvetica"/>
        </w:rPr>
      </w:pPr>
    </w:p>
    <w:p>
      <w:pPr>
        <w:pStyle w:val="BodyText"/>
        <w:spacing w:line="184" w:lineRule="auto"/>
        <w:ind w:left="1467" w:firstLine="360"/>
        <w:jc w:val="both"/>
        <w:rPr>
          <w:sz w:val="17"/>
        </w:rPr>
      </w:pPr>
      <w:r>
        <w:rPr/>
        <w:t>With the weak near-term U.S. outlook</w:t>
      </w:r>
      <w:r>
        <w:rPr>
          <w:spacing w:val="1"/>
        </w:rPr>
        <w:t> </w:t>
      </w:r>
      <w:r>
        <w:rPr/>
        <w:t>and the tighter credit conditions in Canada,</w:t>
      </w:r>
      <w:r>
        <w:rPr>
          <w:spacing w:val="-50"/>
        </w:rPr>
        <w:t> </w:t>
      </w:r>
      <w:r>
        <w:rPr/>
        <w:t>the</w:t>
      </w:r>
      <w:r>
        <w:rPr>
          <w:spacing w:val="1"/>
        </w:rPr>
        <w:t> </w:t>
      </w:r>
      <w:r>
        <w:rPr/>
        <w:t>economy</w:t>
      </w:r>
      <w:r>
        <w:rPr>
          <w:spacing w:val="1"/>
        </w:rPr>
        <w:t> </w:t>
      </w:r>
      <w:r>
        <w:rPr/>
        <w:t>moves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modest</w:t>
      </w:r>
      <w:r>
        <w:rPr>
          <w:spacing w:val="1"/>
        </w:rPr>
        <w:t> </w:t>
      </w:r>
      <w:r>
        <w:rPr/>
        <w:t>excess</w:t>
      </w:r>
      <w:r>
        <w:rPr>
          <w:spacing w:val="1"/>
        </w:rPr>
        <w:t> </w:t>
      </w:r>
      <w:r>
        <w:rPr/>
        <w:t>supply in the second quarter of this year. In</w:t>
      </w:r>
      <w:r>
        <w:rPr>
          <w:spacing w:val="-50"/>
        </w:rPr>
        <w:t> </w:t>
      </w:r>
      <w:r>
        <w:rPr/>
        <w:t>this</w:t>
      </w:r>
      <w:r>
        <w:rPr>
          <w:spacing w:val="1"/>
        </w:rPr>
        <w:t> </w:t>
      </w:r>
      <w:r>
        <w:rPr/>
        <w:t>base-case</w:t>
      </w:r>
      <w:r>
        <w:rPr>
          <w:spacing w:val="1"/>
        </w:rPr>
        <w:t> </w:t>
      </w:r>
      <w:r>
        <w:rPr/>
        <w:t>projection,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subsequent</w:t>
      </w:r>
      <w:r>
        <w:rPr>
          <w:spacing w:val="1"/>
        </w:rPr>
        <w:t> </w:t>
      </w:r>
      <w:r>
        <w:rPr/>
        <w:t>strengthening of U.S. economic growth and</w:t>
      </w:r>
      <w:r>
        <w:rPr>
          <w:spacing w:val="-50"/>
        </w:rPr>
        <w:t> </w:t>
      </w:r>
      <w:r>
        <w:rPr>
          <w:spacing w:val="-3"/>
        </w:rPr>
        <w:t>further</w:t>
      </w:r>
      <w:r>
        <w:rPr>
          <w:spacing w:val="-11"/>
        </w:rPr>
        <w:t> </w:t>
      </w:r>
      <w:r>
        <w:rPr>
          <w:spacing w:val="-3"/>
        </w:rPr>
        <w:t>near-term</w:t>
      </w:r>
      <w:r>
        <w:rPr>
          <w:spacing w:val="-11"/>
        </w:rPr>
        <w:t> </w:t>
      </w:r>
      <w:r>
        <w:rPr>
          <w:spacing w:val="-3"/>
        </w:rPr>
        <w:t>reduction</w:t>
      </w:r>
      <w:r>
        <w:rPr>
          <w:spacing w:val="-11"/>
        </w:rPr>
        <w:t> </w:t>
      </w:r>
      <w:r>
        <w:rPr>
          <w:spacing w:val="-3"/>
        </w:rPr>
        <w:t>in</w:t>
      </w:r>
      <w:r>
        <w:rPr>
          <w:spacing w:val="-11"/>
        </w:rPr>
        <w:t> </w:t>
      </w:r>
      <w:r>
        <w:rPr>
          <w:spacing w:val="-2"/>
        </w:rPr>
        <w:t>policy</w:t>
      </w:r>
      <w:r>
        <w:rPr>
          <w:spacing w:val="-11"/>
        </w:rPr>
        <w:t> </w:t>
      </w:r>
      <w:r>
        <w:rPr>
          <w:spacing w:val="-2"/>
        </w:rPr>
        <w:t>interest</w:t>
      </w:r>
      <w:r>
        <w:rPr>
          <w:spacing w:val="-50"/>
        </w:rPr>
        <w:t> </w:t>
      </w:r>
      <w:r>
        <w:rPr/>
        <w:t>rates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Canada</w:t>
      </w:r>
      <w:r>
        <w:rPr>
          <w:spacing w:val="-7"/>
        </w:rPr>
        <w:t> </w:t>
      </w:r>
      <w:r>
        <w:rPr/>
        <w:t>bring</w:t>
      </w:r>
      <w:r>
        <w:rPr>
          <w:spacing w:val="-6"/>
        </w:rPr>
        <w:t> </w:t>
      </w:r>
      <w:r>
        <w:rPr/>
        <w:t>aggregate</w:t>
      </w:r>
      <w:r>
        <w:rPr>
          <w:spacing w:val="-7"/>
        </w:rPr>
        <w:t> </w:t>
      </w:r>
      <w:r>
        <w:rPr/>
        <w:t>supply</w:t>
      </w:r>
      <w:r>
        <w:rPr>
          <w:spacing w:val="-7"/>
        </w:rPr>
        <w:t> </w:t>
      </w:r>
      <w:r>
        <w:rPr/>
        <w:t>and</w:t>
      </w:r>
      <w:r>
        <w:rPr>
          <w:spacing w:val="-50"/>
        </w:rPr>
        <w:t> </w:t>
      </w:r>
      <w:r>
        <w:rPr/>
        <w:t>demand</w:t>
      </w:r>
      <w:r>
        <w:rPr>
          <w:spacing w:val="-11"/>
        </w:rPr>
        <w:t> </w:t>
      </w:r>
      <w:r>
        <w:rPr/>
        <w:t>back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balance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early</w:t>
      </w:r>
      <w:r>
        <w:rPr>
          <w:spacing w:val="-10"/>
        </w:rPr>
        <w:t> </w:t>
      </w:r>
      <w:r>
        <w:rPr/>
        <w:t>2010.</w:t>
      </w:r>
      <w:r>
        <w:rPr>
          <w:position w:val="8"/>
          <w:sz w:val="17"/>
        </w:rPr>
        <w:t>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  <w:r>
        <w:rPr/>
        <w:pict>
          <v:shape style="position:absolute;margin-left:86.400002pt;margin-top:12.04637pt;width:46.8pt;height:.1pt;mso-position-horizontal-relative:page;mso-position-vertical-relative:paragraph;z-index:-15722496;mso-wrap-distance-left:0;mso-wrap-distance-right:0" id="docshape226" coordorigin="1728,241" coordsize="936,0" path="m2664,241l1728,241e" filled="false" stroked="true" strokeweight=".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2"/>
          <w:numId w:val="2"/>
        </w:numPr>
        <w:tabs>
          <w:tab w:pos="1699" w:val="left" w:leader="none"/>
        </w:tabs>
        <w:spacing w:line="187" w:lineRule="auto" w:before="83" w:after="0"/>
        <w:ind w:left="1468" w:right="50" w:firstLine="0"/>
        <w:jc w:val="left"/>
        <w:rPr>
          <w:sz w:val="14"/>
        </w:rPr>
      </w:pPr>
      <w:r>
        <w:rPr>
          <w:sz w:val="14"/>
        </w:rPr>
        <w:t>The</w:t>
      </w:r>
      <w:r>
        <w:rPr>
          <w:spacing w:val="-2"/>
          <w:sz w:val="14"/>
        </w:rPr>
        <w:t> </w:t>
      </w:r>
      <w:r>
        <w:rPr>
          <w:sz w:val="14"/>
        </w:rPr>
        <w:t>assumption</w:t>
      </w:r>
      <w:r>
        <w:rPr>
          <w:spacing w:val="-1"/>
          <w:sz w:val="14"/>
        </w:rPr>
        <w:t> </w:t>
      </w:r>
      <w:r>
        <w:rPr>
          <w:sz w:val="14"/>
        </w:rPr>
        <w:t>for</w:t>
      </w:r>
      <w:r>
        <w:rPr>
          <w:spacing w:val="-2"/>
          <w:sz w:val="14"/>
        </w:rPr>
        <w:t> </w:t>
      </w:r>
      <w:r>
        <w:rPr>
          <w:sz w:val="14"/>
        </w:rPr>
        <w:t>potential</w:t>
      </w:r>
      <w:r>
        <w:rPr>
          <w:spacing w:val="-2"/>
          <w:sz w:val="14"/>
        </w:rPr>
        <w:t> </w:t>
      </w:r>
      <w:r>
        <w:rPr>
          <w:sz w:val="14"/>
        </w:rPr>
        <w:t>output</w:t>
      </w:r>
      <w:r>
        <w:rPr>
          <w:spacing w:val="-1"/>
          <w:sz w:val="14"/>
        </w:rPr>
        <w:t> </w:t>
      </w:r>
      <w:r>
        <w:rPr>
          <w:sz w:val="14"/>
        </w:rPr>
        <w:t>growth</w:t>
      </w:r>
      <w:r>
        <w:rPr>
          <w:spacing w:val="-1"/>
          <w:sz w:val="14"/>
        </w:rPr>
        <w:t> </w:t>
      </w:r>
      <w:r>
        <w:rPr>
          <w:sz w:val="14"/>
        </w:rPr>
        <w:t>is</w:t>
      </w:r>
      <w:r>
        <w:rPr>
          <w:spacing w:val="-2"/>
          <w:sz w:val="14"/>
        </w:rPr>
        <w:t> </w:t>
      </w:r>
      <w:r>
        <w:rPr>
          <w:sz w:val="14"/>
        </w:rPr>
        <w:t>2.8</w:t>
      </w:r>
      <w:r>
        <w:rPr>
          <w:spacing w:val="-1"/>
          <w:sz w:val="14"/>
        </w:rPr>
        <w:t> </w:t>
      </w:r>
      <w:r>
        <w:rPr>
          <w:sz w:val="14"/>
        </w:rPr>
        <w:t>per</w:t>
      </w:r>
      <w:r>
        <w:rPr>
          <w:spacing w:val="-2"/>
          <w:sz w:val="14"/>
        </w:rPr>
        <w:t> </w:t>
      </w:r>
      <w:r>
        <w:rPr>
          <w:sz w:val="14"/>
        </w:rPr>
        <w:t>cent</w:t>
      </w:r>
      <w:r>
        <w:rPr>
          <w:spacing w:val="-2"/>
          <w:sz w:val="14"/>
        </w:rPr>
        <w:t> </w:t>
      </w:r>
      <w:r>
        <w:rPr>
          <w:sz w:val="14"/>
        </w:rPr>
        <w:t>in</w:t>
      </w:r>
      <w:r>
        <w:rPr>
          <w:spacing w:val="-32"/>
          <w:sz w:val="14"/>
        </w:rPr>
        <w:t> </w:t>
      </w:r>
      <w:r>
        <w:rPr>
          <w:sz w:val="14"/>
        </w:rPr>
        <w:t>2008</w:t>
      </w:r>
      <w:r>
        <w:rPr>
          <w:spacing w:val="-1"/>
          <w:sz w:val="14"/>
        </w:rPr>
        <w:t> </w:t>
      </w:r>
      <w:r>
        <w:rPr>
          <w:sz w:val="14"/>
        </w:rPr>
        <w:t>and 2.7 per</w:t>
      </w:r>
      <w:r>
        <w:rPr>
          <w:spacing w:val="-2"/>
          <w:sz w:val="14"/>
        </w:rPr>
        <w:t> </w:t>
      </w:r>
      <w:r>
        <w:rPr>
          <w:sz w:val="14"/>
        </w:rPr>
        <w:t>cent in 2009,</w:t>
      </w:r>
      <w:r>
        <w:rPr>
          <w:spacing w:val="-1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same as in</w:t>
      </w:r>
      <w:r>
        <w:rPr>
          <w:spacing w:val="-1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last </w:t>
      </w:r>
      <w:r>
        <w:rPr>
          <w:i/>
          <w:sz w:val="14"/>
        </w:rPr>
        <w:t>Report</w:t>
      </w:r>
      <w:r>
        <w:rPr>
          <w:sz w:val="14"/>
        </w:rPr>
        <w:t>.</w:t>
      </w:r>
    </w:p>
    <w:p>
      <w:pPr>
        <w:pStyle w:val="BodyText"/>
        <w:spacing w:line="187" w:lineRule="auto" w:before="155"/>
        <w:ind w:left="416" w:right="1081" w:firstLine="360"/>
        <w:jc w:val="both"/>
      </w:pPr>
      <w:r>
        <w:rPr/>
        <w:br w:type="column"/>
      </w:r>
      <w:r>
        <w:rPr/>
        <w:t>The</w:t>
      </w:r>
      <w:r>
        <w:rPr>
          <w:spacing w:val="-9"/>
        </w:rPr>
        <w:t> </w:t>
      </w:r>
      <w:r>
        <w:rPr/>
        <w:t>projection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core</w:t>
      </w:r>
      <w:r>
        <w:rPr>
          <w:spacing w:val="-8"/>
        </w:rPr>
        <w:t> </w:t>
      </w:r>
      <w:r>
        <w:rPr/>
        <w:t>inflation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lower</w:t>
      </w:r>
      <w:r>
        <w:rPr>
          <w:spacing w:val="-50"/>
        </w:rPr>
        <w:t> </w:t>
      </w:r>
      <w:r>
        <w:rPr/>
        <w:t>than in the October </w:t>
      </w:r>
      <w:r>
        <w:rPr>
          <w:i/>
        </w:rPr>
        <w:t>Report</w:t>
      </w:r>
      <w:r>
        <w:rPr/>
        <w:t>. In 2008, this re-</w:t>
      </w:r>
      <w:r>
        <w:rPr>
          <w:spacing w:val="1"/>
        </w:rPr>
        <w:t> </w:t>
      </w:r>
      <w:r>
        <w:rPr/>
        <w:t>flects the modest excess supply in the econ-</w:t>
      </w:r>
      <w:r>
        <w:rPr>
          <w:spacing w:val="-50"/>
        </w:rPr>
        <w:t> </w:t>
      </w:r>
      <w:r>
        <w:rPr/>
        <w:t>omy for much of the year and continued</w:t>
      </w:r>
      <w:r>
        <w:rPr>
          <w:spacing w:val="1"/>
        </w:rPr>
        <w:t> </w:t>
      </w:r>
      <w:r>
        <w:rPr/>
        <w:t>pressures from lower-than-expected prices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selected</w:t>
      </w:r>
      <w:r>
        <w:rPr>
          <w:spacing w:val="1"/>
        </w:rPr>
        <w:t> </w:t>
      </w:r>
      <w:r>
        <w:rPr/>
        <w:t>tradable</w:t>
      </w:r>
      <w:r>
        <w:rPr>
          <w:spacing w:val="1"/>
        </w:rPr>
        <w:t> </w:t>
      </w:r>
      <w:r>
        <w:rPr/>
        <w:t>goods.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lower</w:t>
      </w:r>
      <w:r>
        <w:rPr>
          <w:spacing w:val="1"/>
        </w:rPr>
        <w:t> </w:t>
      </w:r>
      <w:r>
        <w:rPr/>
        <w:t>prices are driven by the increased competi-</w:t>
      </w:r>
      <w:r>
        <w:rPr>
          <w:spacing w:val="1"/>
        </w:rPr>
        <w:t> </w:t>
      </w:r>
      <w:r>
        <w:rPr/>
        <w:t>tion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Canadian</w:t>
      </w:r>
      <w:r>
        <w:rPr>
          <w:spacing w:val="1"/>
        </w:rPr>
        <w:t> </w:t>
      </w:r>
      <w:r>
        <w:rPr/>
        <w:t>dollar.</w:t>
      </w:r>
      <w:r>
        <w:rPr>
          <w:spacing w:val="-50"/>
        </w:rPr>
        <w:t> </w:t>
      </w:r>
      <w:r>
        <w:rPr/>
        <w:t>However, with the impact on measured in-</w:t>
      </w:r>
      <w:r>
        <w:rPr>
          <w:spacing w:val="1"/>
        </w:rPr>
        <w:t> </w:t>
      </w:r>
      <w:r>
        <w:rPr/>
        <w:t>flation from price-level adjustments dissi-</w:t>
      </w:r>
      <w:r>
        <w:rPr>
          <w:spacing w:val="1"/>
        </w:rPr>
        <w:t> </w:t>
      </w:r>
      <w:r>
        <w:rPr/>
        <w:t>pating,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well-anchored</w:t>
      </w:r>
      <w:r>
        <w:rPr>
          <w:spacing w:val="1"/>
        </w:rPr>
        <w:t> </w:t>
      </w:r>
      <w:r>
        <w:rPr/>
        <w:t>inflation</w:t>
      </w:r>
      <w:r>
        <w:rPr>
          <w:spacing w:val="1"/>
        </w:rPr>
        <w:t> </w:t>
      </w:r>
      <w:r>
        <w:rPr>
          <w:spacing w:val="-1"/>
        </w:rPr>
        <w:t>expectations,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economy</w:t>
      </w:r>
      <w:r>
        <w:rPr>
          <w:spacing w:val="-12"/>
        </w:rPr>
        <w:t> </w:t>
      </w:r>
      <w:r>
        <w:rPr/>
        <w:t>moving</w:t>
      </w:r>
      <w:r>
        <w:rPr>
          <w:spacing w:val="-50"/>
        </w:rPr>
        <w:t> </w:t>
      </w:r>
      <w:r>
        <w:rPr/>
        <w:t>back towards balance, core inflation should</w:t>
      </w:r>
      <w:r>
        <w:rPr>
          <w:spacing w:val="-50"/>
        </w:rPr>
        <w:t> </w:t>
      </w:r>
      <w:r>
        <w:rPr/>
        <w:t>move</w:t>
      </w:r>
      <w:r>
        <w:rPr>
          <w:spacing w:val="-1"/>
        </w:rPr>
        <w:t> </w:t>
      </w:r>
      <w:r>
        <w:rPr/>
        <w:t>up to</w:t>
      </w:r>
      <w:r>
        <w:rPr>
          <w:spacing w:val="-2"/>
        </w:rPr>
        <w:t> </w:t>
      </w:r>
      <w:r>
        <w:rPr/>
        <w:t>2 per</w:t>
      </w:r>
      <w:r>
        <w:rPr>
          <w:spacing w:val="-1"/>
        </w:rPr>
        <w:t> </w:t>
      </w:r>
      <w:r>
        <w:rPr/>
        <w:t>cent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end of</w:t>
      </w:r>
      <w:r>
        <w:rPr>
          <w:spacing w:val="-1"/>
        </w:rPr>
        <w:t> </w:t>
      </w:r>
      <w:r>
        <w:rPr/>
        <w:t>2009.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9"/>
        </w:rPr>
      </w:pPr>
    </w:p>
    <w:tbl>
      <w:tblPr>
        <w:tblW w:w="0" w:type="auto"/>
        <w:jc w:val="left"/>
        <w:tblInd w:w="440" w:type="dxa"/>
        <w:tblBorders>
          <w:top w:val="double" w:sz="6" w:space="0" w:color="B29933"/>
          <w:left w:val="double" w:sz="6" w:space="0" w:color="B29933"/>
          <w:bottom w:val="double" w:sz="6" w:space="0" w:color="B29933"/>
          <w:right w:val="double" w:sz="6" w:space="0" w:color="B29933"/>
          <w:insideH w:val="double" w:sz="6" w:space="0" w:color="B29933"/>
          <w:insideV w:val="double" w:sz="6" w:space="0" w:color="B299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7"/>
        <w:gridCol w:w="656"/>
        <w:gridCol w:w="656"/>
        <w:gridCol w:w="685"/>
        <w:gridCol w:w="685"/>
      </w:tblGrid>
      <w:tr>
        <w:trPr>
          <w:trHeight w:val="980" w:hRule="atLeast"/>
        </w:trPr>
        <w:tc>
          <w:tcPr>
            <w:tcW w:w="4269" w:type="dxa"/>
            <w:gridSpan w:val="5"/>
            <w:tcBorders>
              <w:bottom w:val="single" w:sz="6" w:space="0" w:color="B29933"/>
            </w:tcBorders>
          </w:tcPr>
          <w:p>
            <w:pPr>
              <w:pStyle w:val="TableParagraph"/>
              <w:spacing w:before="53"/>
              <w:ind w:left="121"/>
              <w:rPr>
                <w:b/>
                <w:sz w:val="15"/>
              </w:rPr>
            </w:pPr>
            <w:r>
              <w:rPr>
                <w:b/>
                <w:color w:val="113D38"/>
                <w:spacing w:val="-2"/>
                <w:sz w:val="15"/>
              </w:rPr>
              <w:t>Table</w:t>
            </w:r>
            <w:r>
              <w:rPr>
                <w:b/>
                <w:color w:val="113D38"/>
                <w:spacing w:val="-9"/>
                <w:sz w:val="15"/>
              </w:rPr>
              <w:t> </w:t>
            </w:r>
            <w:r>
              <w:rPr>
                <w:b/>
                <w:color w:val="113D38"/>
                <w:spacing w:val="-1"/>
                <w:sz w:val="15"/>
              </w:rPr>
              <w:t>3</w:t>
            </w:r>
          </w:p>
          <w:p>
            <w:pPr>
              <w:pStyle w:val="TableParagraph"/>
              <w:spacing w:line="213" w:lineRule="auto" w:before="22"/>
              <w:ind w:left="121" w:right="464"/>
              <w:rPr>
                <w:b/>
                <w:sz w:val="14"/>
              </w:rPr>
            </w:pPr>
            <w:r>
              <w:rPr>
                <w:b/>
                <w:color w:val="113D38"/>
                <w:spacing w:val="-2"/>
                <w:sz w:val="18"/>
              </w:rPr>
              <w:t>Contributions</w:t>
            </w:r>
            <w:r>
              <w:rPr>
                <w:b/>
                <w:color w:val="113D38"/>
                <w:spacing w:val="-11"/>
                <w:sz w:val="18"/>
              </w:rPr>
              <w:t> </w:t>
            </w:r>
            <w:r>
              <w:rPr>
                <w:b/>
                <w:color w:val="113D38"/>
                <w:spacing w:val="-1"/>
                <w:sz w:val="18"/>
              </w:rPr>
              <w:t>to</w:t>
            </w:r>
            <w:r>
              <w:rPr>
                <w:b/>
                <w:color w:val="113D38"/>
                <w:spacing w:val="-10"/>
                <w:sz w:val="18"/>
              </w:rPr>
              <w:t> </w:t>
            </w:r>
            <w:r>
              <w:rPr>
                <w:b/>
                <w:color w:val="113D38"/>
                <w:spacing w:val="-1"/>
                <w:sz w:val="18"/>
              </w:rPr>
              <w:t>Average</w:t>
            </w:r>
            <w:r>
              <w:rPr>
                <w:b/>
                <w:color w:val="113D38"/>
                <w:spacing w:val="-10"/>
                <w:sz w:val="18"/>
              </w:rPr>
              <w:t> </w:t>
            </w:r>
            <w:r>
              <w:rPr>
                <w:b/>
                <w:color w:val="113D38"/>
                <w:spacing w:val="-1"/>
                <w:sz w:val="18"/>
              </w:rPr>
              <w:t>Annual</w:t>
            </w:r>
            <w:r>
              <w:rPr>
                <w:b/>
                <w:color w:val="113D38"/>
                <w:spacing w:val="-11"/>
                <w:sz w:val="18"/>
              </w:rPr>
              <w:t> </w:t>
            </w:r>
            <w:r>
              <w:rPr>
                <w:b/>
                <w:color w:val="113D38"/>
                <w:spacing w:val="-1"/>
                <w:sz w:val="18"/>
              </w:rPr>
              <w:t>Growth</w:t>
            </w:r>
            <w:r>
              <w:rPr>
                <w:b/>
                <w:color w:val="113D38"/>
                <w:spacing w:val="-10"/>
                <w:sz w:val="18"/>
              </w:rPr>
              <w:t> </w:t>
            </w:r>
            <w:r>
              <w:rPr>
                <w:b/>
                <w:color w:val="113D38"/>
                <w:spacing w:val="-1"/>
                <w:sz w:val="18"/>
              </w:rPr>
              <w:t>of</w:t>
            </w:r>
            <w:r>
              <w:rPr>
                <w:b/>
                <w:color w:val="113D38"/>
                <w:spacing w:val="-47"/>
                <w:sz w:val="18"/>
              </w:rPr>
              <w:t> </w:t>
            </w:r>
            <w:r>
              <w:rPr>
                <w:b/>
                <w:color w:val="113D38"/>
                <w:sz w:val="18"/>
              </w:rPr>
              <w:t>Real</w:t>
            </w:r>
            <w:r>
              <w:rPr>
                <w:b/>
                <w:color w:val="113D38"/>
                <w:spacing w:val="-5"/>
                <w:sz w:val="18"/>
              </w:rPr>
              <w:t> </w:t>
            </w:r>
            <w:r>
              <w:rPr>
                <w:b/>
                <w:color w:val="113D38"/>
                <w:sz w:val="18"/>
              </w:rPr>
              <w:t>Canadian</w:t>
            </w:r>
            <w:r>
              <w:rPr>
                <w:b/>
                <w:color w:val="113D38"/>
                <w:spacing w:val="-5"/>
                <w:sz w:val="18"/>
              </w:rPr>
              <w:t> </w:t>
            </w:r>
            <w:r>
              <w:rPr>
                <w:b/>
                <w:color w:val="113D38"/>
                <w:sz w:val="18"/>
              </w:rPr>
              <w:t>GDP</w:t>
            </w:r>
            <w:r>
              <w:rPr>
                <w:b/>
                <w:color w:val="113D38"/>
                <w:position w:val="7"/>
                <w:sz w:val="14"/>
              </w:rPr>
              <w:t>a</w:t>
            </w:r>
          </w:p>
          <w:p>
            <w:pPr>
              <w:pStyle w:val="TableParagraph"/>
              <w:spacing w:before="35"/>
              <w:ind w:left="121"/>
              <w:rPr>
                <w:sz w:val="16"/>
              </w:rPr>
            </w:pPr>
            <w:r>
              <w:rPr>
                <w:sz w:val="16"/>
              </w:rPr>
              <w:t>Percentage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points</w:t>
            </w:r>
          </w:p>
        </w:tc>
      </w:tr>
      <w:tr>
        <w:trPr>
          <w:trHeight w:val="345" w:hRule="atLeast"/>
        </w:trPr>
        <w:tc>
          <w:tcPr>
            <w:tcW w:w="1587" w:type="dxa"/>
            <w:tcBorders>
              <w:top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67"/>
              <w:ind w:right="135"/>
              <w:jc w:val="right"/>
              <w:rPr>
                <w:sz w:val="16"/>
              </w:rPr>
            </w:pPr>
            <w:r>
              <w:rPr>
                <w:sz w:val="16"/>
              </w:rPr>
              <w:t>2006</w:t>
            </w:r>
          </w:p>
        </w:tc>
        <w:tc>
          <w:tcPr>
            <w:tcW w:w="656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67"/>
              <w:ind w:left="147"/>
              <w:rPr>
                <w:sz w:val="16"/>
              </w:rPr>
            </w:pPr>
            <w:r>
              <w:rPr>
                <w:sz w:val="16"/>
              </w:rPr>
              <w:t>2007</w:t>
            </w:r>
          </w:p>
        </w:tc>
        <w:tc>
          <w:tcPr>
            <w:tcW w:w="685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67"/>
              <w:ind w:left="161"/>
              <w:rPr>
                <w:sz w:val="16"/>
              </w:rPr>
            </w:pPr>
            <w:r>
              <w:rPr>
                <w:sz w:val="16"/>
              </w:rPr>
              <w:t>2008</w:t>
            </w:r>
          </w:p>
        </w:tc>
        <w:tc>
          <w:tcPr>
            <w:tcW w:w="685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</w:tcBorders>
          </w:tcPr>
          <w:p>
            <w:pPr>
              <w:pStyle w:val="TableParagraph"/>
              <w:spacing w:before="67"/>
              <w:ind w:left="145"/>
              <w:rPr>
                <w:sz w:val="16"/>
              </w:rPr>
            </w:pPr>
            <w:r>
              <w:rPr>
                <w:sz w:val="16"/>
              </w:rPr>
              <w:t>2009</w:t>
            </w:r>
          </w:p>
        </w:tc>
      </w:tr>
      <w:tr>
        <w:trPr>
          <w:trHeight w:val="266" w:hRule="atLeast"/>
        </w:trPr>
        <w:tc>
          <w:tcPr>
            <w:tcW w:w="1587" w:type="dxa"/>
            <w:tcBorders>
              <w:top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180" w:lineRule="exact" w:before="67"/>
              <w:ind w:left="63"/>
              <w:rPr>
                <w:sz w:val="16"/>
              </w:rPr>
            </w:pPr>
            <w:r>
              <w:rPr>
                <w:sz w:val="16"/>
              </w:rPr>
              <w:t>Consumption</w:t>
            </w:r>
          </w:p>
        </w:tc>
        <w:tc>
          <w:tcPr>
            <w:tcW w:w="656" w:type="dxa"/>
            <w:tcBorders>
              <w:top w:val="single" w:sz="6" w:space="0" w:color="B29933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216" w:lineRule="exact" w:before="31"/>
              <w:ind w:left="199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2.3</w:t>
            </w:r>
          </w:p>
        </w:tc>
        <w:tc>
          <w:tcPr>
            <w:tcW w:w="656" w:type="dxa"/>
            <w:tcBorders>
              <w:top w:val="single" w:sz="6" w:space="0" w:color="B29933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216" w:lineRule="exact" w:before="31"/>
              <w:ind w:left="199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2.2</w:t>
            </w:r>
          </w:p>
        </w:tc>
        <w:tc>
          <w:tcPr>
            <w:tcW w:w="685" w:type="dxa"/>
            <w:tcBorders>
              <w:top w:val="single" w:sz="6" w:space="0" w:color="B29933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216" w:lineRule="exact" w:before="31"/>
              <w:ind w:left="198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2.2</w:t>
            </w:r>
          </w:p>
        </w:tc>
        <w:tc>
          <w:tcPr>
            <w:tcW w:w="685" w:type="dxa"/>
            <w:tcBorders>
              <w:top w:val="single" w:sz="6" w:space="0" w:color="B29933"/>
              <w:left w:val="single" w:sz="6" w:space="0" w:color="B29933"/>
              <w:bottom w:val="nil"/>
            </w:tcBorders>
          </w:tcPr>
          <w:p>
            <w:pPr>
              <w:pStyle w:val="TableParagraph"/>
              <w:spacing w:line="216" w:lineRule="exact" w:before="31"/>
              <w:ind w:left="183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2.4</w:t>
            </w:r>
          </w:p>
        </w:tc>
      </w:tr>
      <w:tr>
        <w:trPr>
          <w:trHeight w:val="318" w:hRule="atLeast"/>
        </w:trPr>
        <w:tc>
          <w:tcPr>
            <w:tcW w:w="1587" w:type="dxa"/>
            <w:tcBorders>
              <w:top w:val="nil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  <w:tcBorders>
              <w:top w:val="nil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27" w:lineRule="exact"/>
              <w:ind w:right="185"/>
              <w:jc w:val="right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(2.3)</w:t>
            </w:r>
          </w:p>
        </w:tc>
        <w:tc>
          <w:tcPr>
            <w:tcW w:w="656" w:type="dxa"/>
            <w:tcBorders>
              <w:top w:val="nil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27" w:lineRule="exact"/>
              <w:ind w:left="146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(2.1)</w:t>
            </w:r>
          </w:p>
        </w:tc>
        <w:tc>
          <w:tcPr>
            <w:tcW w:w="685" w:type="dxa"/>
            <w:tcBorders>
              <w:top w:val="nil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27" w:lineRule="exact"/>
              <w:ind w:left="145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(2.1)</w:t>
            </w:r>
          </w:p>
        </w:tc>
        <w:tc>
          <w:tcPr>
            <w:tcW w:w="685" w:type="dxa"/>
            <w:tcBorders>
              <w:top w:val="nil"/>
              <w:left w:val="single" w:sz="6" w:space="0" w:color="B29933"/>
              <w:bottom w:val="single" w:sz="6" w:space="0" w:color="B29933"/>
            </w:tcBorders>
          </w:tcPr>
          <w:p>
            <w:pPr>
              <w:pStyle w:val="TableParagraph"/>
              <w:spacing w:line="227" w:lineRule="exact"/>
              <w:ind w:left="129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(2.0)</w:t>
            </w:r>
          </w:p>
        </w:tc>
      </w:tr>
      <w:tr>
        <w:trPr>
          <w:trHeight w:val="266" w:hRule="atLeast"/>
        </w:trPr>
        <w:tc>
          <w:tcPr>
            <w:tcW w:w="1587" w:type="dxa"/>
            <w:tcBorders>
              <w:top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180" w:lineRule="exact" w:before="67"/>
              <w:ind w:left="63"/>
              <w:rPr>
                <w:sz w:val="16"/>
              </w:rPr>
            </w:pPr>
            <w:r>
              <w:rPr>
                <w:sz w:val="16"/>
              </w:rPr>
              <w:t>Housing</w:t>
            </w:r>
          </w:p>
        </w:tc>
        <w:tc>
          <w:tcPr>
            <w:tcW w:w="656" w:type="dxa"/>
            <w:tcBorders>
              <w:top w:val="single" w:sz="6" w:space="0" w:color="B29933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216" w:lineRule="exact" w:before="31"/>
              <w:ind w:left="199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0.1</w:t>
            </w:r>
          </w:p>
        </w:tc>
        <w:tc>
          <w:tcPr>
            <w:tcW w:w="656" w:type="dxa"/>
            <w:tcBorders>
              <w:top w:val="single" w:sz="6" w:space="0" w:color="B29933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216" w:lineRule="exact" w:before="31"/>
              <w:ind w:left="199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0.2</w:t>
            </w:r>
          </w:p>
        </w:tc>
        <w:tc>
          <w:tcPr>
            <w:tcW w:w="685" w:type="dxa"/>
            <w:tcBorders>
              <w:top w:val="single" w:sz="6" w:space="0" w:color="B29933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216" w:lineRule="exact" w:before="31"/>
              <w:ind w:left="145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-0.1</w:t>
            </w:r>
          </w:p>
        </w:tc>
        <w:tc>
          <w:tcPr>
            <w:tcW w:w="685" w:type="dxa"/>
            <w:tcBorders>
              <w:top w:val="single" w:sz="6" w:space="0" w:color="B29933"/>
              <w:left w:val="single" w:sz="6" w:space="0" w:color="B29933"/>
              <w:bottom w:val="nil"/>
            </w:tcBorders>
          </w:tcPr>
          <w:p>
            <w:pPr>
              <w:pStyle w:val="TableParagraph"/>
              <w:spacing w:line="216" w:lineRule="exact" w:before="31"/>
              <w:ind w:left="7"/>
              <w:jc w:val="center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0</w:t>
            </w:r>
          </w:p>
        </w:tc>
      </w:tr>
      <w:tr>
        <w:trPr>
          <w:trHeight w:val="318" w:hRule="atLeast"/>
        </w:trPr>
        <w:tc>
          <w:tcPr>
            <w:tcW w:w="1587" w:type="dxa"/>
            <w:tcBorders>
              <w:top w:val="nil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  <w:tcBorders>
              <w:top w:val="nil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27" w:lineRule="exact"/>
              <w:ind w:right="185"/>
              <w:jc w:val="right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(0.1)</w:t>
            </w:r>
          </w:p>
        </w:tc>
        <w:tc>
          <w:tcPr>
            <w:tcW w:w="656" w:type="dxa"/>
            <w:tcBorders>
              <w:top w:val="nil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27" w:lineRule="exact"/>
              <w:ind w:left="146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(0.2)</w:t>
            </w:r>
          </w:p>
        </w:tc>
        <w:tc>
          <w:tcPr>
            <w:tcW w:w="685" w:type="dxa"/>
            <w:tcBorders>
              <w:top w:val="nil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27" w:lineRule="exact"/>
              <w:ind w:left="92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(-0.1)</w:t>
            </w:r>
          </w:p>
        </w:tc>
        <w:tc>
          <w:tcPr>
            <w:tcW w:w="685" w:type="dxa"/>
            <w:tcBorders>
              <w:top w:val="nil"/>
              <w:left w:val="single" w:sz="6" w:space="0" w:color="B29933"/>
              <w:bottom w:val="single" w:sz="6" w:space="0" w:color="B29933"/>
            </w:tcBorders>
          </w:tcPr>
          <w:p>
            <w:pPr>
              <w:pStyle w:val="TableParagraph"/>
              <w:spacing w:line="227" w:lineRule="exact"/>
              <w:ind w:left="217" w:right="210"/>
              <w:jc w:val="center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(0)</w:t>
            </w:r>
          </w:p>
        </w:tc>
      </w:tr>
      <w:tr>
        <w:trPr>
          <w:trHeight w:val="266" w:hRule="atLeast"/>
        </w:trPr>
        <w:tc>
          <w:tcPr>
            <w:tcW w:w="1587" w:type="dxa"/>
            <w:tcBorders>
              <w:top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180" w:lineRule="exact" w:before="67"/>
              <w:ind w:left="63"/>
              <w:rPr>
                <w:sz w:val="16"/>
              </w:rPr>
            </w:pPr>
            <w:r>
              <w:rPr>
                <w:sz w:val="16"/>
              </w:rPr>
              <w:t>Government</w:t>
            </w:r>
          </w:p>
        </w:tc>
        <w:tc>
          <w:tcPr>
            <w:tcW w:w="656" w:type="dxa"/>
            <w:tcBorders>
              <w:top w:val="single" w:sz="6" w:space="0" w:color="B29933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216" w:lineRule="exact" w:before="31"/>
              <w:ind w:left="199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0.8</w:t>
            </w:r>
          </w:p>
        </w:tc>
        <w:tc>
          <w:tcPr>
            <w:tcW w:w="656" w:type="dxa"/>
            <w:tcBorders>
              <w:top w:val="single" w:sz="6" w:space="0" w:color="B29933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216" w:lineRule="exact" w:before="31"/>
              <w:ind w:left="199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0.6</w:t>
            </w:r>
          </w:p>
        </w:tc>
        <w:tc>
          <w:tcPr>
            <w:tcW w:w="685" w:type="dxa"/>
            <w:tcBorders>
              <w:top w:val="single" w:sz="6" w:space="0" w:color="B29933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216" w:lineRule="exact" w:before="31"/>
              <w:ind w:left="198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0.7</w:t>
            </w:r>
          </w:p>
        </w:tc>
        <w:tc>
          <w:tcPr>
            <w:tcW w:w="685" w:type="dxa"/>
            <w:tcBorders>
              <w:top w:val="single" w:sz="6" w:space="0" w:color="B29933"/>
              <w:left w:val="single" w:sz="6" w:space="0" w:color="B29933"/>
              <w:bottom w:val="nil"/>
            </w:tcBorders>
          </w:tcPr>
          <w:p>
            <w:pPr>
              <w:pStyle w:val="TableParagraph"/>
              <w:spacing w:line="216" w:lineRule="exact" w:before="31"/>
              <w:ind w:left="183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0.6</w:t>
            </w:r>
          </w:p>
        </w:tc>
      </w:tr>
      <w:tr>
        <w:trPr>
          <w:trHeight w:val="318" w:hRule="atLeast"/>
        </w:trPr>
        <w:tc>
          <w:tcPr>
            <w:tcW w:w="1587" w:type="dxa"/>
            <w:tcBorders>
              <w:top w:val="nil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  <w:tcBorders>
              <w:top w:val="nil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27" w:lineRule="exact"/>
              <w:ind w:right="185"/>
              <w:jc w:val="right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(0.8)</w:t>
            </w:r>
          </w:p>
        </w:tc>
        <w:tc>
          <w:tcPr>
            <w:tcW w:w="656" w:type="dxa"/>
            <w:tcBorders>
              <w:top w:val="nil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27" w:lineRule="exact"/>
              <w:ind w:left="146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(0.6)</w:t>
            </w:r>
          </w:p>
        </w:tc>
        <w:tc>
          <w:tcPr>
            <w:tcW w:w="685" w:type="dxa"/>
            <w:tcBorders>
              <w:top w:val="nil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27" w:lineRule="exact"/>
              <w:ind w:left="145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(0.7)</w:t>
            </w:r>
          </w:p>
        </w:tc>
        <w:tc>
          <w:tcPr>
            <w:tcW w:w="685" w:type="dxa"/>
            <w:tcBorders>
              <w:top w:val="nil"/>
              <w:left w:val="single" w:sz="6" w:space="0" w:color="B29933"/>
              <w:bottom w:val="single" w:sz="6" w:space="0" w:color="B29933"/>
            </w:tcBorders>
          </w:tcPr>
          <w:p>
            <w:pPr>
              <w:pStyle w:val="TableParagraph"/>
              <w:spacing w:line="227" w:lineRule="exact"/>
              <w:ind w:left="129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(0.6)</w:t>
            </w:r>
          </w:p>
        </w:tc>
      </w:tr>
      <w:tr>
        <w:trPr>
          <w:trHeight w:val="570" w:hRule="atLeast"/>
        </w:trPr>
        <w:tc>
          <w:tcPr>
            <w:tcW w:w="1587" w:type="dxa"/>
            <w:tcBorders>
              <w:top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54" w:lineRule="auto" w:before="67"/>
              <w:ind w:left="63"/>
              <w:rPr>
                <w:sz w:val="16"/>
              </w:rPr>
            </w:pPr>
            <w:r>
              <w:rPr>
                <w:spacing w:val="-1"/>
                <w:sz w:val="16"/>
              </w:rPr>
              <w:t>Business </w:t>
            </w:r>
            <w:r>
              <w:rPr>
                <w:sz w:val="16"/>
              </w:rPr>
              <w:t>fixed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investment</w:t>
            </w:r>
          </w:p>
        </w:tc>
        <w:tc>
          <w:tcPr>
            <w:tcW w:w="656" w:type="dxa"/>
            <w:tcBorders>
              <w:top w:val="single" w:sz="6" w:space="0" w:color="B29933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6" w:lineRule="exact" w:before="31"/>
              <w:ind w:left="199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1.2</w:t>
            </w:r>
          </w:p>
          <w:p>
            <w:pPr>
              <w:pStyle w:val="TableParagraph"/>
              <w:spacing w:line="227" w:lineRule="exact"/>
              <w:ind w:left="146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(1.2)</w:t>
            </w:r>
          </w:p>
        </w:tc>
        <w:tc>
          <w:tcPr>
            <w:tcW w:w="656" w:type="dxa"/>
            <w:tcBorders>
              <w:top w:val="single" w:sz="6" w:space="0" w:color="B29933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6" w:lineRule="exact" w:before="31"/>
              <w:ind w:left="199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0.6</w:t>
            </w:r>
          </w:p>
          <w:p>
            <w:pPr>
              <w:pStyle w:val="TableParagraph"/>
              <w:spacing w:line="227" w:lineRule="exact"/>
              <w:ind w:left="146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(0.5)</w:t>
            </w:r>
          </w:p>
        </w:tc>
        <w:tc>
          <w:tcPr>
            <w:tcW w:w="685" w:type="dxa"/>
            <w:tcBorders>
              <w:top w:val="single" w:sz="6" w:space="0" w:color="B29933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6" w:lineRule="exact" w:before="31"/>
              <w:ind w:left="198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0.5</w:t>
            </w:r>
          </w:p>
          <w:p>
            <w:pPr>
              <w:pStyle w:val="TableParagraph"/>
              <w:spacing w:line="227" w:lineRule="exact"/>
              <w:ind w:left="145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(0.5)</w:t>
            </w:r>
          </w:p>
        </w:tc>
        <w:tc>
          <w:tcPr>
            <w:tcW w:w="685" w:type="dxa"/>
            <w:tcBorders>
              <w:top w:val="single" w:sz="6" w:space="0" w:color="B29933"/>
              <w:left w:val="single" w:sz="6" w:space="0" w:color="B29933"/>
            </w:tcBorders>
          </w:tcPr>
          <w:p>
            <w:pPr>
              <w:pStyle w:val="TableParagraph"/>
              <w:spacing w:line="236" w:lineRule="exact" w:before="31"/>
              <w:ind w:left="183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0.5</w:t>
            </w:r>
          </w:p>
          <w:p>
            <w:pPr>
              <w:pStyle w:val="TableParagraph"/>
              <w:spacing w:line="227" w:lineRule="exact"/>
              <w:ind w:left="129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(0.5)</w:t>
            </w:r>
          </w:p>
        </w:tc>
      </w:tr>
      <w:tr>
        <w:trPr>
          <w:trHeight w:val="555" w:hRule="atLeast"/>
        </w:trPr>
        <w:tc>
          <w:tcPr>
            <w:tcW w:w="1587" w:type="dxa"/>
            <w:tcBorders>
              <w:right w:val="single" w:sz="6" w:space="0" w:color="B29933"/>
            </w:tcBorders>
          </w:tcPr>
          <w:p>
            <w:pPr>
              <w:pStyle w:val="TableParagraph"/>
              <w:spacing w:line="252" w:lineRule="auto" w:before="50"/>
              <w:ind w:left="63"/>
              <w:rPr>
                <w:b/>
                <w:sz w:val="16"/>
              </w:rPr>
            </w:pPr>
            <w:r>
              <w:rPr>
                <w:b/>
                <w:sz w:val="16"/>
              </w:rPr>
              <w:t>Subtotal: Final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domestic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demand</w:t>
            </w:r>
          </w:p>
        </w:tc>
        <w:tc>
          <w:tcPr>
            <w:tcW w:w="656" w:type="dxa"/>
            <w:tcBorders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6" w:lineRule="exact" w:before="16"/>
              <w:ind w:left="199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4.4</w:t>
            </w:r>
          </w:p>
          <w:p>
            <w:pPr>
              <w:pStyle w:val="TableParagraph"/>
              <w:spacing w:line="227" w:lineRule="exact"/>
              <w:ind w:left="146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(4.4)</w:t>
            </w:r>
          </w:p>
        </w:tc>
        <w:tc>
          <w:tcPr>
            <w:tcW w:w="656" w:type="dxa"/>
            <w:tcBorders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6" w:lineRule="exact" w:before="16"/>
              <w:ind w:left="199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3.6</w:t>
            </w:r>
          </w:p>
          <w:p>
            <w:pPr>
              <w:pStyle w:val="TableParagraph"/>
              <w:spacing w:line="227" w:lineRule="exact"/>
              <w:ind w:left="146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(3.4)</w:t>
            </w:r>
          </w:p>
        </w:tc>
        <w:tc>
          <w:tcPr>
            <w:tcW w:w="685" w:type="dxa"/>
            <w:tcBorders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6" w:lineRule="exact" w:before="16"/>
              <w:ind w:left="198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3.3</w:t>
            </w:r>
          </w:p>
          <w:p>
            <w:pPr>
              <w:pStyle w:val="TableParagraph"/>
              <w:spacing w:line="227" w:lineRule="exact"/>
              <w:ind w:left="145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(3.2)</w:t>
            </w:r>
          </w:p>
        </w:tc>
        <w:tc>
          <w:tcPr>
            <w:tcW w:w="685" w:type="dxa"/>
            <w:tcBorders>
              <w:left w:val="single" w:sz="6" w:space="0" w:color="B29933"/>
            </w:tcBorders>
          </w:tcPr>
          <w:p>
            <w:pPr>
              <w:pStyle w:val="TableParagraph"/>
              <w:spacing w:line="236" w:lineRule="exact" w:before="16"/>
              <w:ind w:left="183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3.5</w:t>
            </w:r>
          </w:p>
          <w:p>
            <w:pPr>
              <w:pStyle w:val="TableParagraph"/>
              <w:spacing w:line="227" w:lineRule="exact"/>
              <w:ind w:left="129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(3.1)</w:t>
            </w:r>
          </w:p>
        </w:tc>
      </w:tr>
      <w:tr>
        <w:trPr>
          <w:trHeight w:val="251" w:hRule="atLeast"/>
        </w:trPr>
        <w:tc>
          <w:tcPr>
            <w:tcW w:w="1587" w:type="dxa"/>
            <w:tcBorders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180" w:lineRule="exact" w:before="52"/>
              <w:ind w:left="63"/>
              <w:rPr>
                <w:sz w:val="16"/>
              </w:rPr>
            </w:pPr>
            <w:r>
              <w:rPr>
                <w:sz w:val="16"/>
              </w:rPr>
              <w:t>Exports</w:t>
            </w:r>
          </w:p>
        </w:tc>
        <w:tc>
          <w:tcPr>
            <w:tcW w:w="656" w:type="dxa"/>
            <w:tcBorders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216" w:lineRule="exact" w:before="16"/>
              <w:ind w:left="199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0.3</w:t>
            </w:r>
          </w:p>
        </w:tc>
        <w:tc>
          <w:tcPr>
            <w:tcW w:w="656" w:type="dxa"/>
            <w:tcBorders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216" w:lineRule="exact" w:before="16"/>
              <w:ind w:left="199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0.6</w:t>
            </w:r>
          </w:p>
        </w:tc>
        <w:tc>
          <w:tcPr>
            <w:tcW w:w="685" w:type="dxa"/>
            <w:tcBorders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216" w:lineRule="exact" w:before="16"/>
              <w:ind w:left="77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-</w:t>
            </w:r>
            <w:r>
              <w:rPr>
                <w:rFonts w:ascii="Palatino"/>
                <w:spacing w:val="28"/>
                <w:sz w:val="16"/>
              </w:rPr>
              <w:t> </w:t>
            </w:r>
            <w:r>
              <w:rPr>
                <w:rFonts w:ascii="Palatino"/>
                <w:sz w:val="16"/>
              </w:rPr>
              <w:t>0.1</w:t>
            </w:r>
          </w:p>
        </w:tc>
        <w:tc>
          <w:tcPr>
            <w:tcW w:w="685" w:type="dxa"/>
            <w:tcBorders>
              <w:left w:val="single" w:sz="6" w:space="0" w:color="B29933"/>
              <w:bottom w:val="nil"/>
            </w:tcBorders>
          </w:tcPr>
          <w:p>
            <w:pPr>
              <w:pStyle w:val="TableParagraph"/>
              <w:spacing w:line="216" w:lineRule="exact" w:before="16"/>
              <w:ind w:left="183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0.4</w:t>
            </w:r>
          </w:p>
        </w:tc>
      </w:tr>
      <w:tr>
        <w:trPr>
          <w:trHeight w:val="318" w:hRule="atLeast"/>
        </w:trPr>
        <w:tc>
          <w:tcPr>
            <w:tcW w:w="1587" w:type="dxa"/>
            <w:tcBorders>
              <w:top w:val="nil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  <w:tcBorders>
              <w:top w:val="nil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27" w:lineRule="exact"/>
              <w:ind w:right="185"/>
              <w:jc w:val="right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(0.3)</w:t>
            </w:r>
          </w:p>
        </w:tc>
        <w:tc>
          <w:tcPr>
            <w:tcW w:w="656" w:type="dxa"/>
            <w:tcBorders>
              <w:top w:val="nil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27" w:lineRule="exact"/>
              <w:ind w:left="146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(0.5)</w:t>
            </w:r>
          </w:p>
        </w:tc>
        <w:tc>
          <w:tcPr>
            <w:tcW w:w="685" w:type="dxa"/>
            <w:tcBorders>
              <w:top w:val="nil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27" w:lineRule="exact"/>
              <w:ind w:left="145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(0.2)</w:t>
            </w:r>
          </w:p>
        </w:tc>
        <w:tc>
          <w:tcPr>
            <w:tcW w:w="685" w:type="dxa"/>
            <w:tcBorders>
              <w:top w:val="nil"/>
              <w:left w:val="single" w:sz="6" w:space="0" w:color="B29933"/>
              <w:bottom w:val="single" w:sz="6" w:space="0" w:color="B29933"/>
            </w:tcBorders>
          </w:tcPr>
          <w:p>
            <w:pPr>
              <w:pStyle w:val="TableParagraph"/>
              <w:spacing w:line="227" w:lineRule="exact"/>
              <w:ind w:left="129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(0.4)</w:t>
            </w:r>
          </w:p>
        </w:tc>
      </w:tr>
      <w:tr>
        <w:trPr>
          <w:trHeight w:val="266" w:hRule="atLeast"/>
        </w:trPr>
        <w:tc>
          <w:tcPr>
            <w:tcW w:w="1587" w:type="dxa"/>
            <w:tcBorders>
              <w:top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180" w:lineRule="exact" w:before="67"/>
              <w:ind w:left="63"/>
              <w:rPr>
                <w:sz w:val="16"/>
              </w:rPr>
            </w:pPr>
            <w:r>
              <w:rPr>
                <w:sz w:val="16"/>
              </w:rPr>
              <w:t>Imports</w:t>
            </w:r>
          </w:p>
        </w:tc>
        <w:tc>
          <w:tcPr>
            <w:tcW w:w="656" w:type="dxa"/>
            <w:tcBorders>
              <w:top w:val="single" w:sz="6" w:space="0" w:color="B29933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216" w:lineRule="exact" w:before="31"/>
              <w:ind w:left="146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-1.6</w:t>
            </w:r>
          </w:p>
        </w:tc>
        <w:tc>
          <w:tcPr>
            <w:tcW w:w="656" w:type="dxa"/>
            <w:tcBorders>
              <w:top w:val="single" w:sz="6" w:space="0" w:color="B29933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216" w:lineRule="exact" w:before="31"/>
              <w:ind w:left="146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-1.7</w:t>
            </w:r>
          </w:p>
        </w:tc>
        <w:tc>
          <w:tcPr>
            <w:tcW w:w="685" w:type="dxa"/>
            <w:tcBorders>
              <w:top w:val="single" w:sz="6" w:space="0" w:color="B29933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216" w:lineRule="exact" w:before="31"/>
              <w:ind w:left="145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-1.3</w:t>
            </w:r>
          </w:p>
        </w:tc>
        <w:tc>
          <w:tcPr>
            <w:tcW w:w="685" w:type="dxa"/>
            <w:tcBorders>
              <w:top w:val="single" w:sz="6" w:space="0" w:color="B29933"/>
              <w:left w:val="single" w:sz="6" w:space="0" w:color="B29933"/>
              <w:bottom w:val="nil"/>
            </w:tcBorders>
          </w:tcPr>
          <w:p>
            <w:pPr>
              <w:pStyle w:val="TableParagraph"/>
              <w:spacing w:line="216" w:lineRule="exact" w:before="31"/>
              <w:ind w:left="129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-1.1</w:t>
            </w:r>
          </w:p>
        </w:tc>
      </w:tr>
      <w:tr>
        <w:trPr>
          <w:trHeight w:val="303" w:hRule="atLeast"/>
        </w:trPr>
        <w:tc>
          <w:tcPr>
            <w:tcW w:w="1587" w:type="dxa"/>
            <w:tcBorders>
              <w:top w:val="nil"/>
              <w:right w:val="single" w:sz="6" w:space="0" w:color="B2993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  <w:tcBorders>
              <w:top w:val="nil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27" w:lineRule="exact"/>
              <w:ind w:right="185"/>
              <w:jc w:val="right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(-1.6)</w:t>
            </w:r>
          </w:p>
        </w:tc>
        <w:tc>
          <w:tcPr>
            <w:tcW w:w="656" w:type="dxa"/>
            <w:tcBorders>
              <w:top w:val="nil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27" w:lineRule="exact"/>
              <w:ind w:left="92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(-1.2)</w:t>
            </w:r>
          </w:p>
        </w:tc>
        <w:tc>
          <w:tcPr>
            <w:tcW w:w="685" w:type="dxa"/>
            <w:tcBorders>
              <w:top w:val="nil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27" w:lineRule="exact"/>
              <w:ind w:left="92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(-1.2)</w:t>
            </w:r>
          </w:p>
        </w:tc>
        <w:tc>
          <w:tcPr>
            <w:tcW w:w="685" w:type="dxa"/>
            <w:tcBorders>
              <w:top w:val="nil"/>
              <w:left w:val="single" w:sz="6" w:space="0" w:color="B29933"/>
            </w:tcBorders>
          </w:tcPr>
          <w:p>
            <w:pPr>
              <w:pStyle w:val="TableParagraph"/>
              <w:spacing w:line="227" w:lineRule="exact"/>
              <w:ind w:left="76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(-1.0)</w:t>
            </w:r>
          </w:p>
        </w:tc>
      </w:tr>
      <w:tr>
        <w:trPr>
          <w:trHeight w:val="555" w:hRule="atLeast"/>
        </w:trPr>
        <w:tc>
          <w:tcPr>
            <w:tcW w:w="1587" w:type="dxa"/>
            <w:tcBorders>
              <w:right w:val="single" w:sz="6" w:space="0" w:color="B29933"/>
            </w:tcBorders>
          </w:tcPr>
          <w:p>
            <w:pPr>
              <w:pStyle w:val="TableParagraph"/>
              <w:spacing w:line="252" w:lineRule="auto" w:before="50"/>
              <w:ind w:left="63" w:right="562"/>
              <w:rPr>
                <w:b/>
                <w:sz w:val="16"/>
              </w:rPr>
            </w:pPr>
            <w:r>
              <w:rPr>
                <w:b/>
                <w:sz w:val="16"/>
              </w:rPr>
              <w:t>Subtotal: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Net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exports</w:t>
            </w:r>
          </w:p>
        </w:tc>
        <w:tc>
          <w:tcPr>
            <w:tcW w:w="656" w:type="dxa"/>
            <w:tcBorders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6" w:lineRule="exact" w:before="16"/>
              <w:ind w:left="146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-1.3</w:t>
            </w:r>
          </w:p>
          <w:p>
            <w:pPr>
              <w:pStyle w:val="TableParagraph"/>
              <w:spacing w:line="227" w:lineRule="exact"/>
              <w:ind w:left="93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(-1.3)</w:t>
            </w:r>
          </w:p>
        </w:tc>
        <w:tc>
          <w:tcPr>
            <w:tcW w:w="656" w:type="dxa"/>
            <w:tcBorders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6" w:lineRule="exact" w:before="16"/>
              <w:ind w:left="146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-1.1</w:t>
            </w:r>
          </w:p>
          <w:p>
            <w:pPr>
              <w:pStyle w:val="TableParagraph"/>
              <w:spacing w:line="227" w:lineRule="exact"/>
              <w:ind w:left="92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(-0.7)</w:t>
            </w:r>
          </w:p>
        </w:tc>
        <w:tc>
          <w:tcPr>
            <w:tcW w:w="685" w:type="dxa"/>
            <w:tcBorders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6" w:lineRule="exact" w:before="16"/>
              <w:ind w:left="145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-1.4</w:t>
            </w:r>
          </w:p>
          <w:p>
            <w:pPr>
              <w:pStyle w:val="TableParagraph"/>
              <w:spacing w:line="227" w:lineRule="exact"/>
              <w:ind w:left="92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(-1.0)</w:t>
            </w:r>
          </w:p>
        </w:tc>
        <w:tc>
          <w:tcPr>
            <w:tcW w:w="685" w:type="dxa"/>
            <w:tcBorders>
              <w:left w:val="single" w:sz="6" w:space="0" w:color="B29933"/>
            </w:tcBorders>
          </w:tcPr>
          <w:p>
            <w:pPr>
              <w:pStyle w:val="TableParagraph"/>
              <w:spacing w:line="236" w:lineRule="exact" w:before="16"/>
              <w:ind w:left="129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-0.7</w:t>
            </w:r>
          </w:p>
          <w:p>
            <w:pPr>
              <w:pStyle w:val="TableParagraph"/>
              <w:spacing w:line="227" w:lineRule="exact"/>
              <w:ind w:left="76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(-0.6)</w:t>
            </w:r>
          </w:p>
        </w:tc>
      </w:tr>
      <w:tr>
        <w:trPr>
          <w:trHeight w:val="251" w:hRule="atLeast"/>
        </w:trPr>
        <w:tc>
          <w:tcPr>
            <w:tcW w:w="1587" w:type="dxa"/>
            <w:tcBorders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180" w:lineRule="exact" w:before="52"/>
              <w:ind w:left="63"/>
              <w:rPr>
                <w:sz w:val="16"/>
              </w:rPr>
            </w:pPr>
            <w:r>
              <w:rPr>
                <w:sz w:val="16"/>
              </w:rPr>
              <w:t>Inventories</w:t>
            </w:r>
          </w:p>
        </w:tc>
        <w:tc>
          <w:tcPr>
            <w:tcW w:w="656" w:type="dxa"/>
            <w:tcBorders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216" w:lineRule="exact" w:before="16"/>
              <w:ind w:left="146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-0.3</w:t>
            </w:r>
          </w:p>
        </w:tc>
        <w:tc>
          <w:tcPr>
            <w:tcW w:w="656" w:type="dxa"/>
            <w:tcBorders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216" w:lineRule="exact" w:before="16"/>
              <w:ind w:left="199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0.1</w:t>
            </w:r>
          </w:p>
        </w:tc>
        <w:tc>
          <w:tcPr>
            <w:tcW w:w="685" w:type="dxa"/>
            <w:tcBorders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216" w:lineRule="exact" w:before="16"/>
              <w:ind w:left="145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-0.1</w:t>
            </w:r>
          </w:p>
        </w:tc>
        <w:tc>
          <w:tcPr>
            <w:tcW w:w="685" w:type="dxa"/>
            <w:tcBorders>
              <w:left w:val="single" w:sz="6" w:space="0" w:color="B29933"/>
              <w:bottom w:val="nil"/>
            </w:tcBorders>
          </w:tcPr>
          <w:p>
            <w:pPr>
              <w:pStyle w:val="TableParagraph"/>
              <w:spacing w:line="216" w:lineRule="exact" w:before="16"/>
              <w:ind w:left="7"/>
              <w:jc w:val="center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0</w:t>
            </w:r>
          </w:p>
        </w:tc>
      </w:tr>
      <w:tr>
        <w:trPr>
          <w:trHeight w:val="303" w:hRule="atLeast"/>
        </w:trPr>
        <w:tc>
          <w:tcPr>
            <w:tcW w:w="1587" w:type="dxa"/>
            <w:tcBorders>
              <w:top w:val="nil"/>
              <w:right w:val="single" w:sz="6" w:space="0" w:color="B2993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  <w:tcBorders>
              <w:top w:val="nil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27" w:lineRule="exact"/>
              <w:ind w:right="185"/>
              <w:jc w:val="right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(-0.3)</w:t>
            </w:r>
          </w:p>
        </w:tc>
        <w:tc>
          <w:tcPr>
            <w:tcW w:w="656" w:type="dxa"/>
            <w:tcBorders>
              <w:top w:val="nil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27" w:lineRule="exact"/>
              <w:ind w:left="92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(-0.1)</w:t>
            </w:r>
          </w:p>
        </w:tc>
        <w:tc>
          <w:tcPr>
            <w:tcW w:w="685" w:type="dxa"/>
            <w:tcBorders>
              <w:top w:val="nil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27" w:lineRule="exact"/>
              <w:ind w:left="145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(0.1)</w:t>
            </w:r>
          </w:p>
        </w:tc>
        <w:tc>
          <w:tcPr>
            <w:tcW w:w="685" w:type="dxa"/>
            <w:tcBorders>
              <w:top w:val="nil"/>
              <w:left w:val="single" w:sz="6" w:space="0" w:color="B29933"/>
            </w:tcBorders>
          </w:tcPr>
          <w:p>
            <w:pPr>
              <w:pStyle w:val="TableParagraph"/>
              <w:spacing w:line="227" w:lineRule="exact"/>
              <w:ind w:left="217" w:right="210"/>
              <w:jc w:val="center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(0)</w:t>
            </w:r>
          </w:p>
        </w:tc>
      </w:tr>
      <w:tr>
        <w:trPr>
          <w:trHeight w:val="251" w:hRule="atLeast"/>
        </w:trPr>
        <w:tc>
          <w:tcPr>
            <w:tcW w:w="1587" w:type="dxa"/>
            <w:tcBorders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181" w:lineRule="exact" w:before="50"/>
              <w:ind w:left="63"/>
              <w:rPr>
                <w:b/>
                <w:sz w:val="16"/>
              </w:rPr>
            </w:pPr>
            <w:r>
              <w:rPr>
                <w:b/>
                <w:sz w:val="16"/>
              </w:rPr>
              <w:t>GDP</w:t>
            </w:r>
          </w:p>
        </w:tc>
        <w:tc>
          <w:tcPr>
            <w:tcW w:w="656" w:type="dxa"/>
            <w:tcBorders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216" w:lineRule="exact" w:before="16"/>
              <w:ind w:left="199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2.8</w:t>
            </w:r>
          </w:p>
        </w:tc>
        <w:tc>
          <w:tcPr>
            <w:tcW w:w="656" w:type="dxa"/>
            <w:tcBorders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216" w:lineRule="exact" w:before="16"/>
              <w:ind w:left="199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2.6</w:t>
            </w:r>
          </w:p>
        </w:tc>
        <w:tc>
          <w:tcPr>
            <w:tcW w:w="685" w:type="dxa"/>
            <w:tcBorders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216" w:lineRule="exact" w:before="16"/>
              <w:ind w:left="199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1.8</w:t>
            </w:r>
          </w:p>
        </w:tc>
        <w:tc>
          <w:tcPr>
            <w:tcW w:w="685" w:type="dxa"/>
            <w:tcBorders>
              <w:left w:val="single" w:sz="6" w:space="0" w:color="B29933"/>
              <w:bottom w:val="nil"/>
            </w:tcBorders>
          </w:tcPr>
          <w:p>
            <w:pPr>
              <w:pStyle w:val="TableParagraph"/>
              <w:spacing w:line="216" w:lineRule="exact" w:before="16"/>
              <w:ind w:left="183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2.8</w:t>
            </w:r>
          </w:p>
        </w:tc>
      </w:tr>
      <w:tr>
        <w:trPr>
          <w:trHeight w:val="303" w:hRule="atLeast"/>
        </w:trPr>
        <w:tc>
          <w:tcPr>
            <w:tcW w:w="1587" w:type="dxa"/>
            <w:tcBorders>
              <w:top w:val="nil"/>
              <w:right w:val="single" w:sz="6" w:space="0" w:color="B2993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  <w:tcBorders>
              <w:top w:val="nil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27" w:lineRule="exact"/>
              <w:ind w:right="185"/>
              <w:jc w:val="right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(2.8)</w:t>
            </w:r>
          </w:p>
        </w:tc>
        <w:tc>
          <w:tcPr>
            <w:tcW w:w="656" w:type="dxa"/>
            <w:tcBorders>
              <w:top w:val="nil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27" w:lineRule="exact"/>
              <w:ind w:left="146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(2.6)</w:t>
            </w:r>
          </w:p>
        </w:tc>
        <w:tc>
          <w:tcPr>
            <w:tcW w:w="685" w:type="dxa"/>
            <w:tcBorders>
              <w:top w:val="nil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27" w:lineRule="exact"/>
              <w:ind w:left="145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(2.3)</w:t>
            </w:r>
          </w:p>
        </w:tc>
        <w:tc>
          <w:tcPr>
            <w:tcW w:w="685" w:type="dxa"/>
            <w:tcBorders>
              <w:top w:val="nil"/>
              <w:left w:val="single" w:sz="6" w:space="0" w:color="B29933"/>
            </w:tcBorders>
          </w:tcPr>
          <w:p>
            <w:pPr>
              <w:pStyle w:val="TableParagraph"/>
              <w:spacing w:line="227" w:lineRule="exact"/>
              <w:ind w:left="129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(2.5)</w:t>
            </w:r>
          </w:p>
        </w:tc>
      </w:tr>
    </w:tbl>
    <w:p>
      <w:pPr>
        <w:spacing w:line="204" w:lineRule="auto" w:before="67"/>
        <w:ind w:left="712" w:right="993" w:hanging="216"/>
        <w:jc w:val="left"/>
        <w:rPr>
          <w:rFonts w:ascii="Helvetica"/>
          <w:sz w:val="15"/>
        </w:rPr>
      </w:pPr>
      <w:r>
        <w:rPr/>
        <w:pict>
          <v:shape style="position:absolute;margin-left:64.589996pt;margin-top:-589.032532pt;width:228.85pt;height:312.6pt;mso-position-horizontal-relative:page;mso-position-vertical-relative:paragraph;z-index:15735296" type="#_x0000_t202" id="docshape22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double" w:sz="6" w:space="0" w:color="B29933"/>
                      <w:left w:val="double" w:sz="6" w:space="0" w:color="B29933"/>
                      <w:bottom w:val="double" w:sz="6" w:space="0" w:color="B29933"/>
                      <w:right w:val="double" w:sz="6" w:space="0" w:color="B29933"/>
                      <w:insideH w:val="double" w:sz="6" w:space="0" w:color="B29933"/>
                      <w:insideV w:val="double" w:sz="6" w:space="0" w:color="B29933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64"/>
                    <w:gridCol w:w="475"/>
                    <w:gridCol w:w="475"/>
                    <w:gridCol w:w="475"/>
                    <w:gridCol w:w="475"/>
                    <w:gridCol w:w="475"/>
                    <w:gridCol w:w="518"/>
                  </w:tblGrid>
                  <w:tr>
                    <w:trPr>
                      <w:trHeight w:val="485" w:hRule="atLeast"/>
                    </w:trPr>
                    <w:tc>
                      <w:tcPr>
                        <w:tcW w:w="4557" w:type="dxa"/>
                        <w:gridSpan w:val="7"/>
                      </w:tcPr>
                      <w:p>
                        <w:pPr>
                          <w:pStyle w:val="TableParagraph"/>
                          <w:spacing w:line="164" w:lineRule="exact" w:before="33"/>
                          <w:ind w:left="121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13D38"/>
                            <w:spacing w:val="-2"/>
                            <w:sz w:val="15"/>
                          </w:rPr>
                          <w:t>Table</w:t>
                        </w:r>
                        <w:r>
                          <w:rPr>
                            <w:b/>
                            <w:color w:val="113D38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13D38"/>
                            <w:spacing w:val="-1"/>
                            <w:sz w:val="15"/>
                          </w:rPr>
                          <w:t>2</w:t>
                        </w:r>
                      </w:p>
                      <w:p>
                        <w:pPr>
                          <w:pStyle w:val="TableParagraph"/>
                          <w:spacing w:line="232" w:lineRule="exact"/>
                          <w:ind w:left="121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13D38"/>
                            <w:spacing w:val="-1"/>
                            <w:sz w:val="18"/>
                          </w:rPr>
                          <w:t>Summary</w:t>
                        </w:r>
                        <w:r>
                          <w:rPr>
                            <w:b/>
                            <w:color w:val="113D38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113D38"/>
                            <w:spacing w:val="-1"/>
                            <w:sz w:val="18"/>
                          </w:rPr>
                          <w:t>of</w:t>
                        </w:r>
                        <w:r>
                          <w:rPr>
                            <w:b/>
                            <w:color w:val="113D38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113D38"/>
                            <w:spacing w:val="-1"/>
                            <w:sz w:val="18"/>
                          </w:rPr>
                          <w:t>the</w:t>
                        </w:r>
                        <w:r>
                          <w:rPr>
                            <w:b/>
                            <w:color w:val="113D38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113D38"/>
                            <w:spacing w:val="-1"/>
                            <w:sz w:val="18"/>
                          </w:rPr>
                          <w:t>Base-Case</w:t>
                        </w:r>
                        <w:r>
                          <w:rPr>
                            <w:b/>
                            <w:color w:val="113D38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113D38"/>
                            <w:spacing w:val="-1"/>
                            <w:sz w:val="18"/>
                          </w:rPr>
                          <w:t>Projection</w:t>
                        </w:r>
                        <w:r>
                          <w:rPr>
                            <w:b/>
                            <w:color w:val="113D38"/>
                            <w:spacing w:val="-1"/>
                            <w:position w:val="7"/>
                            <w:sz w:val="14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1664" w:type="dxa"/>
                        <w:tcBorders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50" w:type="dxa"/>
                        <w:gridSpan w:val="2"/>
                        <w:tcBorders>
                          <w:left w:val="single" w:sz="6" w:space="0" w:color="B29933"/>
                          <w:bottom w:val="single" w:sz="6" w:space="0" w:color="B29933"/>
                          <w:right w:val="single" w:sz="18" w:space="0" w:color="B29933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29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2007</w:t>
                        </w:r>
                      </w:p>
                    </w:tc>
                    <w:tc>
                      <w:tcPr>
                        <w:tcW w:w="1425" w:type="dxa"/>
                        <w:gridSpan w:val="3"/>
                        <w:tcBorders>
                          <w:left w:val="single" w:sz="18" w:space="0" w:color="B29933"/>
                          <w:bottom w:val="single" w:sz="6" w:space="0" w:color="B29933"/>
                          <w:right w:val="single" w:sz="18" w:space="0" w:color="B29933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509" w:right="47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2008</w:t>
                        </w:r>
                      </w:p>
                    </w:tc>
                    <w:tc>
                      <w:tcPr>
                        <w:tcW w:w="518" w:type="dxa"/>
                        <w:tcBorders>
                          <w:left w:val="single" w:sz="18" w:space="0" w:color="B29933"/>
                          <w:bottom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56" w:right="2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2009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1664" w:type="dxa"/>
                        <w:tcBorders>
                          <w:top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5" w:type="dxa"/>
                        <w:tcBorders>
                          <w:top w:val="single" w:sz="6" w:space="0" w:color="B29933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72" w:right="4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Q3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single" w:sz="6" w:space="0" w:color="B29933"/>
                          <w:left w:val="single" w:sz="6" w:space="0" w:color="B29933"/>
                          <w:bottom w:val="single" w:sz="6" w:space="0" w:color="B29933"/>
                          <w:right w:val="single" w:sz="18" w:space="0" w:color="B29933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12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Q4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single" w:sz="6" w:space="0" w:color="B29933"/>
                          <w:left w:val="single" w:sz="18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12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Q1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single" w:sz="6" w:space="0" w:color="B29933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14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Q2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single" w:sz="6" w:space="0" w:color="B29933"/>
                          <w:left w:val="single" w:sz="6" w:space="0" w:color="B29933"/>
                          <w:bottom w:val="single" w:sz="6" w:space="0" w:color="B29933"/>
                          <w:right w:val="single" w:sz="18" w:space="0" w:color="B29933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right="93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H2</w:t>
                        </w:r>
                      </w:p>
                    </w:tc>
                    <w:tc>
                      <w:tcPr>
                        <w:tcW w:w="518" w:type="dxa"/>
                        <w:tcBorders>
                          <w:top w:val="single" w:sz="6" w:space="0" w:color="B29933"/>
                          <w:left w:val="single" w:sz="18" w:space="0" w:color="B29933"/>
                          <w:bottom w:val="single" w:sz="6" w:space="0" w:color="B299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425" w:hRule="atLeast"/>
                    </w:trPr>
                    <w:tc>
                      <w:tcPr>
                        <w:tcW w:w="1664" w:type="dxa"/>
                        <w:tcBorders>
                          <w:top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Real GDP</w:t>
                        </w:r>
                      </w:p>
                      <w:p>
                        <w:pPr>
                          <w:pStyle w:val="TableParagraph"/>
                          <w:spacing w:line="158" w:lineRule="exact" w:before="12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(quarter-over-quarter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73" w:right="40"/>
                          <w:jc w:val="center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2.9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  <w:right w:val="single" w:sz="18" w:space="0" w:color="B29933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31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1.5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single" w:sz="6" w:space="0" w:color="B29933"/>
                          <w:left w:val="single" w:sz="18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31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0.6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47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2.0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  <w:right w:val="single" w:sz="18" w:space="0" w:color="B29933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right="95"/>
                          <w:jc w:val="right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2.3</w:t>
                        </w:r>
                      </w:p>
                    </w:tc>
                    <w:tc>
                      <w:tcPr>
                        <w:tcW w:w="518" w:type="dxa"/>
                        <w:tcBorders>
                          <w:top w:val="single" w:sz="6" w:space="0" w:color="B29933"/>
                          <w:left w:val="single" w:sz="18" w:space="0" w:color="B29933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56" w:right="21"/>
                          <w:jc w:val="center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3.2</w:t>
                        </w: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1664" w:type="dxa"/>
                        <w:tcBorders>
                          <w:top w:val="nil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21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percentage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pacing w:val="-1"/>
                            <w:sz w:val="16"/>
                          </w:rPr>
                          <w:t>change)</w:t>
                        </w:r>
                        <w:r>
                          <w:rPr>
                            <w:spacing w:val="-1"/>
                            <w:position w:val="6"/>
                            <w:sz w:val="13"/>
                          </w:rPr>
                          <w:t>b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73" w:right="40"/>
                          <w:jc w:val="center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(2.5)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  <w:right w:val="single" w:sz="18" w:space="0" w:color="B29933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78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(1.8)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single" w:sz="18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78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(2.0)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93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(2.2)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  <w:right w:val="single" w:sz="18" w:space="0" w:color="B29933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right="42"/>
                          <w:jc w:val="right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(2.5)</w:t>
                        </w:r>
                      </w:p>
                    </w:tc>
                    <w:tc>
                      <w:tcPr>
                        <w:tcW w:w="518" w:type="dxa"/>
                        <w:tcBorders>
                          <w:top w:val="nil"/>
                          <w:left w:val="single" w:sz="18" w:space="0" w:color="B29933"/>
                          <w:bottom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56" w:right="21"/>
                          <w:jc w:val="center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(2.6)</w:t>
                        </w:r>
                      </w:p>
                    </w:tc>
                  </w:tr>
                  <w:tr>
                    <w:trPr>
                      <w:trHeight w:val="745" w:hRule="atLeast"/>
                    </w:trPr>
                    <w:tc>
                      <w:tcPr>
                        <w:tcW w:w="1664" w:type="dxa"/>
                        <w:tcBorders>
                          <w:top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54" w:lineRule="auto" w:before="47"/>
                          <w:ind w:left="121" w:right="41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Real GDP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pacing w:val="-1"/>
                            <w:sz w:val="16"/>
                          </w:rPr>
                          <w:t>(year-over-year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percentage change)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single" w:sz="6" w:space="0" w:color="B29933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46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2.9</w:t>
                        </w:r>
                      </w:p>
                      <w:p>
                        <w:pPr>
                          <w:pStyle w:val="TableParagraph"/>
                          <w:spacing w:before="144"/>
                          <w:ind w:left="93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(2.8)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single" w:sz="6" w:space="0" w:color="B29933"/>
                          <w:left w:val="single" w:sz="6" w:space="0" w:color="B29933"/>
                          <w:bottom w:val="single" w:sz="6" w:space="0" w:color="B29933"/>
                          <w:right w:val="single" w:sz="18" w:space="0" w:color="B29933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31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2.9</w:t>
                        </w:r>
                      </w:p>
                      <w:p>
                        <w:pPr>
                          <w:pStyle w:val="TableParagraph"/>
                          <w:spacing w:before="144"/>
                          <w:ind w:left="78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(2.9)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single" w:sz="6" w:space="0" w:color="B29933"/>
                          <w:left w:val="single" w:sz="18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31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2.2</w:t>
                        </w:r>
                      </w:p>
                      <w:p>
                        <w:pPr>
                          <w:pStyle w:val="TableParagraph"/>
                          <w:spacing w:before="144"/>
                          <w:ind w:left="78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(2.4)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single" w:sz="6" w:space="0" w:color="B29933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47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1.7</w:t>
                        </w:r>
                      </w:p>
                      <w:p>
                        <w:pPr>
                          <w:pStyle w:val="TableParagraph"/>
                          <w:spacing w:before="144"/>
                          <w:ind w:left="93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(2.1)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single" w:sz="6" w:space="0" w:color="B29933"/>
                          <w:left w:val="single" w:sz="6" w:space="0" w:color="B29933"/>
                          <w:bottom w:val="single" w:sz="6" w:space="0" w:color="B29933"/>
                          <w:right w:val="single" w:sz="18" w:space="0" w:color="B29933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32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1.7</w:t>
                        </w:r>
                      </w:p>
                      <w:p>
                        <w:pPr>
                          <w:pStyle w:val="TableParagraph"/>
                          <w:spacing w:before="144"/>
                          <w:ind w:left="79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(2.2)</w:t>
                        </w:r>
                      </w:p>
                    </w:tc>
                    <w:tc>
                      <w:tcPr>
                        <w:tcW w:w="518" w:type="dxa"/>
                        <w:tcBorders>
                          <w:top w:val="single" w:sz="6" w:space="0" w:color="B29933"/>
                          <w:left w:val="single" w:sz="18" w:space="0" w:color="B29933"/>
                          <w:bottom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54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2.8</w:t>
                        </w:r>
                      </w:p>
                      <w:p>
                        <w:pPr>
                          <w:pStyle w:val="TableParagraph"/>
                          <w:spacing w:before="144"/>
                          <w:ind w:left="100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(2.5)</w:t>
                        </w:r>
                      </w:p>
                    </w:tc>
                  </w:tr>
                  <w:tr>
                    <w:trPr>
                      <w:trHeight w:val="745" w:hRule="atLeast"/>
                    </w:trPr>
                    <w:tc>
                      <w:tcPr>
                        <w:tcW w:w="1664" w:type="dxa"/>
                        <w:tcBorders>
                          <w:top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54" w:lineRule="auto" w:before="47"/>
                          <w:ind w:left="121" w:right="41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Core inflation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pacing w:val="-1"/>
                            <w:sz w:val="16"/>
                          </w:rPr>
                          <w:t>(year-over-year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percentage change)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single" w:sz="6" w:space="0" w:color="B29933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46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2.2</w:t>
                        </w:r>
                      </w:p>
                      <w:p>
                        <w:pPr>
                          <w:pStyle w:val="TableParagraph"/>
                          <w:spacing w:before="144"/>
                          <w:ind w:left="93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(2.2)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single" w:sz="6" w:space="0" w:color="B29933"/>
                          <w:left w:val="single" w:sz="6" w:space="0" w:color="B29933"/>
                          <w:bottom w:val="single" w:sz="6" w:space="0" w:color="B29933"/>
                          <w:right w:val="single" w:sz="18" w:space="0" w:color="B29933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31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1.6</w:t>
                        </w:r>
                      </w:p>
                      <w:p>
                        <w:pPr>
                          <w:pStyle w:val="TableParagraph"/>
                          <w:spacing w:before="144"/>
                          <w:ind w:left="78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(2.3)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single" w:sz="6" w:space="0" w:color="B29933"/>
                          <w:left w:val="single" w:sz="18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31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1.4</w:t>
                        </w:r>
                      </w:p>
                      <w:p>
                        <w:pPr>
                          <w:pStyle w:val="TableParagraph"/>
                          <w:spacing w:before="144"/>
                          <w:ind w:left="78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(2.2)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single" w:sz="6" w:space="0" w:color="B29933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47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1.3</w:t>
                        </w:r>
                      </w:p>
                      <w:p>
                        <w:pPr>
                          <w:pStyle w:val="TableParagraph"/>
                          <w:spacing w:before="144"/>
                          <w:ind w:left="93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(2.1)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single" w:sz="6" w:space="0" w:color="B29933"/>
                          <w:left w:val="single" w:sz="6" w:space="0" w:color="B29933"/>
                          <w:bottom w:val="single" w:sz="6" w:space="0" w:color="B29933"/>
                          <w:right w:val="single" w:sz="18" w:space="0" w:color="B29933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32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1.6</w:t>
                        </w:r>
                      </w:p>
                      <w:p>
                        <w:pPr>
                          <w:pStyle w:val="TableParagraph"/>
                          <w:spacing w:before="144"/>
                          <w:ind w:left="79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(2.0)</w:t>
                        </w:r>
                      </w:p>
                    </w:tc>
                    <w:tc>
                      <w:tcPr>
                        <w:tcW w:w="518" w:type="dxa"/>
                        <w:tcBorders>
                          <w:top w:val="single" w:sz="6" w:space="0" w:color="B29933"/>
                          <w:left w:val="single" w:sz="18" w:space="0" w:color="B29933"/>
                          <w:bottom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54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1.9</w:t>
                        </w:r>
                      </w:p>
                      <w:p>
                        <w:pPr>
                          <w:pStyle w:val="TableParagraph"/>
                          <w:spacing w:before="144"/>
                          <w:ind w:left="100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(2.0)</w:t>
                        </w:r>
                      </w:p>
                    </w:tc>
                  </w:tr>
                  <w:tr>
                    <w:trPr>
                      <w:trHeight w:val="745" w:hRule="atLeast"/>
                    </w:trPr>
                    <w:tc>
                      <w:tcPr>
                        <w:tcW w:w="1664" w:type="dxa"/>
                        <w:tcBorders>
                          <w:top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Total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CPI</w:t>
                        </w:r>
                      </w:p>
                      <w:p>
                        <w:pPr>
                          <w:pStyle w:val="TableParagraph"/>
                          <w:spacing w:line="254" w:lineRule="auto" w:before="12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(year-over-year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percentage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change)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single" w:sz="6" w:space="0" w:color="B29933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46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2.2</w:t>
                        </w:r>
                      </w:p>
                      <w:p>
                        <w:pPr>
                          <w:pStyle w:val="TableParagraph"/>
                          <w:spacing w:before="144"/>
                          <w:ind w:left="93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(2.2)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single" w:sz="6" w:space="0" w:color="B29933"/>
                          <w:left w:val="single" w:sz="6" w:space="0" w:color="B29933"/>
                          <w:bottom w:val="single" w:sz="6" w:space="0" w:color="B29933"/>
                          <w:right w:val="single" w:sz="18" w:space="0" w:color="B29933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31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2.4</w:t>
                        </w:r>
                      </w:p>
                      <w:p>
                        <w:pPr>
                          <w:pStyle w:val="TableParagraph"/>
                          <w:spacing w:before="144"/>
                          <w:ind w:left="78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(3.0)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single" w:sz="6" w:space="0" w:color="B29933"/>
                          <w:left w:val="single" w:sz="18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31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1.7</w:t>
                        </w:r>
                      </w:p>
                      <w:p>
                        <w:pPr>
                          <w:pStyle w:val="TableParagraph"/>
                          <w:spacing w:before="144"/>
                          <w:ind w:left="78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(2.9)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single" w:sz="6" w:space="0" w:color="B29933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47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1.4</w:t>
                        </w:r>
                      </w:p>
                      <w:p>
                        <w:pPr>
                          <w:pStyle w:val="TableParagraph"/>
                          <w:spacing w:before="144"/>
                          <w:ind w:left="93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(2.4)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single" w:sz="6" w:space="0" w:color="B29933"/>
                          <w:left w:val="single" w:sz="6" w:space="0" w:color="B29933"/>
                          <w:bottom w:val="single" w:sz="6" w:space="0" w:color="B29933"/>
                          <w:right w:val="single" w:sz="18" w:space="0" w:color="B29933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32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1.5</w:t>
                        </w:r>
                      </w:p>
                      <w:p>
                        <w:pPr>
                          <w:pStyle w:val="TableParagraph"/>
                          <w:spacing w:before="144"/>
                          <w:ind w:left="79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(1.9)</w:t>
                        </w:r>
                      </w:p>
                    </w:tc>
                    <w:tc>
                      <w:tcPr>
                        <w:tcW w:w="518" w:type="dxa"/>
                        <w:tcBorders>
                          <w:top w:val="single" w:sz="6" w:space="0" w:color="B29933"/>
                          <w:left w:val="single" w:sz="18" w:space="0" w:color="B29933"/>
                          <w:bottom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54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1.9</w:t>
                        </w:r>
                      </w:p>
                      <w:p>
                        <w:pPr>
                          <w:pStyle w:val="TableParagraph"/>
                          <w:spacing w:before="144"/>
                          <w:ind w:left="100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(2.0)</w:t>
                        </w:r>
                      </w:p>
                    </w:tc>
                  </w:tr>
                  <w:tr>
                    <w:trPr>
                      <w:trHeight w:val="443" w:hRule="atLeast"/>
                    </w:trPr>
                    <w:tc>
                      <w:tcPr>
                        <w:tcW w:w="1664" w:type="dxa"/>
                        <w:tcBorders>
                          <w:top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00" w:lineRule="atLeast" w:before="23"/>
                          <w:ind w:left="121" w:right="14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Total CPI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pacing w:val="-1"/>
                            <w:sz w:val="16"/>
                          </w:rPr>
                          <w:t>(excluding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effect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73" w:right="40"/>
                          <w:jc w:val="center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2.3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  <w:right w:val="single" w:sz="18" w:space="0" w:color="B29933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31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2.4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single" w:sz="6" w:space="0" w:color="B29933"/>
                          <w:left w:val="single" w:sz="18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31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2.2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47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1.9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  <w:right w:val="single" w:sz="18" w:space="0" w:color="B29933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right="95"/>
                          <w:jc w:val="right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2.0</w:t>
                        </w:r>
                      </w:p>
                    </w:tc>
                    <w:tc>
                      <w:tcPr>
                        <w:tcW w:w="518" w:type="dxa"/>
                        <w:tcBorders>
                          <w:top w:val="single" w:sz="6" w:space="0" w:color="B29933"/>
                          <w:left w:val="single" w:sz="18" w:space="0" w:color="B29933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56" w:right="21"/>
                          <w:jc w:val="center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1.9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1664" w:type="dxa"/>
                        <w:tcBorders>
                          <w:top w:val="nil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177" w:lineRule="exact" w:before="3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of changes in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single" w:sz="6" w:space="0" w:color="B29933"/>
                          <w:bottom w:val="nil"/>
                          <w:right w:val="single" w:sz="18" w:space="0" w:color="B299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single" w:sz="18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single" w:sz="6" w:space="0" w:color="B29933"/>
                          <w:bottom w:val="nil"/>
                          <w:right w:val="single" w:sz="18" w:space="0" w:color="B299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18" w:type="dxa"/>
                        <w:tcBorders>
                          <w:top w:val="nil"/>
                          <w:left w:val="single" w:sz="18" w:space="0" w:color="B29933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1" w:hRule="atLeast"/>
                    </w:trPr>
                    <w:tc>
                      <w:tcPr>
                        <w:tcW w:w="1664" w:type="dxa"/>
                        <w:tcBorders>
                          <w:top w:val="nil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162" w:lineRule="exact"/>
                          <w:ind w:left="121"/>
                          <w:rPr>
                            <w:sz w:val="13"/>
                          </w:rPr>
                        </w:pPr>
                        <w:r>
                          <w:rPr>
                            <w:sz w:val="16"/>
                          </w:rPr>
                          <w:t>indirect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taxes)</w:t>
                        </w:r>
                        <w:r>
                          <w:rPr>
                            <w:position w:val="6"/>
                            <w:sz w:val="13"/>
                          </w:rPr>
                          <w:t>c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single" w:sz="6" w:space="0" w:color="B29933"/>
                          <w:bottom w:val="nil"/>
                          <w:right w:val="single" w:sz="18" w:space="0" w:color="B299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single" w:sz="18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single" w:sz="6" w:space="0" w:color="B29933"/>
                          <w:bottom w:val="nil"/>
                          <w:right w:val="single" w:sz="18" w:space="0" w:color="B299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18" w:type="dxa"/>
                        <w:tcBorders>
                          <w:top w:val="nil"/>
                          <w:left w:val="single" w:sz="18" w:space="0" w:color="B29933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504" w:hRule="atLeast"/>
                    </w:trPr>
                    <w:tc>
                      <w:tcPr>
                        <w:tcW w:w="1664" w:type="dxa"/>
                        <w:tcBorders>
                          <w:top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54" w:lineRule="auto" w:before="22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(year-over-year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percentage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change)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73" w:right="40"/>
                          <w:jc w:val="center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(2.3)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single" w:sz="6" w:space="0" w:color="B29933"/>
                          <w:right w:val="single" w:sz="18" w:space="0" w:color="B29933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78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(3.0)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single" w:sz="18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78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(2.9)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93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(2.4)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single" w:sz="6" w:space="0" w:color="B29933"/>
                          <w:right w:val="single" w:sz="18" w:space="0" w:color="B29933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right="42"/>
                          <w:jc w:val="right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(1.9)</w:t>
                        </w:r>
                      </w:p>
                    </w:tc>
                    <w:tc>
                      <w:tcPr>
                        <w:tcW w:w="518" w:type="dxa"/>
                        <w:tcBorders>
                          <w:top w:val="nil"/>
                          <w:left w:val="single" w:sz="18" w:space="0" w:color="B29933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56" w:right="21"/>
                          <w:jc w:val="center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(2.0)</w:t>
                        </w:r>
                      </w:p>
                    </w:tc>
                  </w:tr>
                  <w:tr>
                    <w:trPr>
                      <w:trHeight w:val="515" w:hRule="atLeast"/>
                    </w:trPr>
                    <w:tc>
                      <w:tcPr>
                        <w:tcW w:w="1664" w:type="dxa"/>
                        <w:tcBorders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3"/>
                          </w:rPr>
                        </w:pPr>
                        <w:r>
                          <w:rPr>
                            <w:sz w:val="16"/>
                          </w:rPr>
                          <w:t>WTI</w:t>
                        </w:r>
                        <w:r>
                          <w:rPr>
                            <w:position w:val="6"/>
                            <w:sz w:val="13"/>
                          </w:rPr>
                          <w:t>d</w:t>
                        </w:r>
                      </w:p>
                      <w:p>
                        <w:pPr>
                          <w:pStyle w:val="TableParagraph"/>
                          <w:spacing w:before="12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(level)</w:t>
                        </w:r>
                      </w:p>
                    </w:tc>
                    <w:tc>
                      <w:tcPr>
                        <w:tcW w:w="475" w:type="dxa"/>
                        <w:tcBorders>
                          <w:left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166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75</w:t>
                        </w:r>
                      </w:p>
                      <w:p>
                        <w:pPr>
                          <w:pStyle w:val="TableParagraph"/>
                          <w:spacing w:line="229" w:lineRule="exact"/>
                          <w:ind w:left="113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(75)</w:t>
                        </w:r>
                      </w:p>
                    </w:tc>
                    <w:tc>
                      <w:tcPr>
                        <w:tcW w:w="475" w:type="dxa"/>
                        <w:tcBorders>
                          <w:left w:val="single" w:sz="6" w:space="0" w:color="B29933"/>
                          <w:right w:val="single" w:sz="18" w:space="0" w:color="B29933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151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91</w:t>
                        </w:r>
                      </w:p>
                      <w:p>
                        <w:pPr>
                          <w:pStyle w:val="TableParagraph"/>
                          <w:spacing w:line="229" w:lineRule="exact"/>
                          <w:ind w:left="98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(81)</w:t>
                        </w:r>
                      </w:p>
                    </w:tc>
                    <w:tc>
                      <w:tcPr>
                        <w:tcW w:w="475" w:type="dxa"/>
                        <w:tcBorders>
                          <w:left w:val="single" w:sz="18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151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93</w:t>
                        </w:r>
                      </w:p>
                      <w:p>
                        <w:pPr>
                          <w:pStyle w:val="TableParagraph"/>
                          <w:spacing w:line="229" w:lineRule="exact"/>
                          <w:ind w:left="98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(78)</w:t>
                        </w:r>
                      </w:p>
                    </w:tc>
                    <w:tc>
                      <w:tcPr>
                        <w:tcW w:w="475" w:type="dxa"/>
                        <w:tcBorders>
                          <w:left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167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92</w:t>
                        </w:r>
                      </w:p>
                      <w:p>
                        <w:pPr>
                          <w:pStyle w:val="TableParagraph"/>
                          <w:spacing w:line="229" w:lineRule="exact"/>
                          <w:ind w:left="113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(77)</w:t>
                        </w:r>
                      </w:p>
                    </w:tc>
                    <w:tc>
                      <w:tcPr>
                        <w:tcW w:w="475" w:type="dxa"/>
                        <w:tcBorders>
                          <w:left w:val="single" w:sz="6" w:space="0" w:color="B29933"/>
                          <w:right w:val="single" w:sz="18" w:space="0" w:color="B29933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152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90</w:t>
                        </w:r>
                      </w:p>
                      <w:p>
                        <w:pPr>
                          <w:pStyle w:val="TableParagraph"/>
                          <w:spacing w:line="229" w:lineRule="exact"/>
                          <w:ind w:left="99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(76)</w:t>
                        </w:r>
                      </w:p>
                    </w:tc>
                    <w:tc>
                      <w:tcPr>
                        <w:tcW w:w="518" w:type="dxa"/>
                        <w:tcBorders>
                          <w:left w:val="single" w:sz="18" w:space="0" w:color="B29933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174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88</w:t>
                        </w:r>
                      </w:p>
                      <w:p>
                        <w:pPr>
                          <w:pStyle w:val="TableParagraph"/>
                          <w:spacing w:line="229" w:lineRule="exact"/>
                          <w:ind w:left="120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(74)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Helvetica"/>
          <w:sz w:val="15"/>
        </w:rPr>
        <w:t>a.</w:t>
      </w:r>
      <w:r>
        <w:rPr>
          <w:rFonts w:ascii="Helvetica"/>
          <w:spacing w:val="1"/>
          <w:sz w:val="15"/>
        </w:rPr>
        <w:t> </w:t>
      </w:r>
      <w:r>
        <w:rPr>
          <w:rFonts w:ascii="Helvetica"/>
          <w:sz w:val="15"/>
        </w:rPr>
        <w:t>Figures in parentheses are from the base-case projection</w:t>
      </w:r>
      <w:r>
        <w:rPr>
          <w:rFonts w:ascii="Helvetica"/>
          <w:spacing w:val="-39"/>
          <w:sz w:val="15"/>
        </w:rPr>
        <w:t> </w:t>
      </w:r>
      <w:r>
        <w:rPr>
          <w:rFonts w:ascii="Helvetica"/>
          <w:sz w:val="15"/>
        </w:rPr>
        <w:t>in the October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i/>
          <w:sz w:val="15"/>
        </w:rPr>
        <w:t>Monetary Policy Report</w:t>
      </w:r>
      <w:r>
        <w:rPr>
          <w:rFonts w:ascii="Helvetica"/>
          <w:sz w:val="15"/>
        </w:rPr>
        <w:t>.</w:t>
      </w:r>
    </w:p>
    <w:p>
      <w:pPr>
        <w:spacing w:after="0" w:line="204" w:lineRule="auto"/>
        <w:jc w:val="left"/>
        <w:rPr>
          <w:rFonts w:ascii="Helvetica"/>
          <w:sz w:val="15"/>
        </w:rPr>
        <w:sectPr>
          <w:type w:val="continuous"/>
          <w:pgSz w:w="12240" w:h="15840"/>
          <w:pgMar w:header="661" w:footer="764" w:top="360" w:bottom="280" w:left="260" w:right="860"/>
          <w:cols w:num="2" w:equalWidth="0">
            <w:col w:w="5524" w:space="40"/>
            <w:col w:w="5556"/>
          </w:cols>
        </w:sect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spacing w:line="187" w:lineRule="auto" w:before="297"/>
        <w:ind w:left="1467" w:right="5593" w:firstLine="360"/>
        <w:jc w:val="both"/>
      </w:pPr>
      <w:r>
        <w:rPr/>
        <w:t>The path for the 12-month rate of in-</w:t>
      </w:r>
      <w:r>
        <w:rPr>
          <w:spacing w:val="1"/>
        </w:rPr>
        <w:t> </w:t>
      </w:r>
      <w:r>
        <w:rPr/>
        <w:t>crease in the total CPI over the projection</w:t>
      </w:r>
      <w:r>
        <w:rPr>
          <w:spacing w:val="1"/>
        </w:rPr>
        <w:t> </w:t>
      </w:r>
      <w:r>
        <w:rPr/>
        <w:t>period reflects the revised outlook for core</w:t>
      </w:r>
      <w:r>
        <w:rPr>
          <w:spacing w:val="1"/>
        </w:rPr>
        <w:t> </w:t>
      </w:r>
      <w:r>
        <w:rPr/>
        <w:t>inflation,</w:t>
      </w:r>
      <w:r>
        <w:rPr>
          <w:spacing w:val="1"/>
        </w:rPr>
        <w:t> </w:t>
      </w:r>
      <w:r>
        <w:rPr/>
        <w:t>expectations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prices,</w:t>
      </w:r>
      <w:r>
        <w:rPr>
          <w:spacing w:val="1"/>
        </w:rPr>
        <w:t> </w:t>
      </w:r>
      <w:r>
        <w:rPr/>
        <w:t>and the effect of changes in indirect taxes.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projection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total</w:t>
      </w:r>
      <w:r>
        <w:rPr>
          <w:spacing w:val="-4"/>
        </w:rPr>
        <w:t> </w:t>
      </w:r>
      <w:r>
        <w:rPr/>
        <w:t>CPI</w:t>
      </w:r>
      <w:r>
        <w:rPr>
          <w:spacing w:val="-3"/>
        </w:rPr>
        <w:t> </w:t>
      </w:r>
      <w:r>
        <w:rPr/>
        <w:t>inflation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2008</w:t>
      </w:r>
      <w:r>
        <w:rPr>
          <w:spacing w:val="-50"/>
        </w:rPr>
        <w:t> </w:t>
      </w:r>
      <w:r>
        <w:rPr/>
        <w:t>is lower than in the last </w:t>
      </w:r>
      <w:r>
        <w:rPr>
          <w:i/>
        </w:rPr>
        <w:t>Report</w:t>
      </w:r>
      <w:r>
        <w:rPr/>
        <w:t>, because of</w:t>
      </w:r>
      <w:r>
        <w:rPr>
          <w:spacing w:val="1"/>
        </w:rPr>
        <w:t> </w:t>
      </w:r>
      <w:r>
        <w:rPr/>
        <w:t>the reduced outlook for core inflation and</w:t>
      </w:r>
      <w:r>
        <w:rPr>
          <w:spacing w:val="1"/>
        </w:rPr>
        <w:t> </w:t>
      </w:r>
      <w:r>
        <w:rPr/>
        <w:t>the estimated direct effect of the one-per-</w:t>
      </w:r>
      <w:r>
        <w:rPr>
          <w:spacing w:val="1"/>
        </w:rPr>
        <w:t> </w:t>
      </w:r>
      <w:r>
        <w:rPr/>
        <w:t>centage-point</w:t>
      </w:r>
      <w:r>
        <w:rPr>
          <w:spacing w:val="1"/>
        </w:rPr>
        <w:t> </w:t>
      </w:r>
      <w:r>
        <w:rPr/>
        <w:t>GST</w:t>
      </w:r>
      <w:r>
        <w:rPr>
          <w:spacing w:val="1"/>
        </w:rPr>
        <w:t> </w:t>
      </w:r>
      <w:r>
        <w:rPr/>
        <w:t>reduction</w:t>
      </w:r>
      <w:r>
        <w:rPr>
          <w:spacing w:val="1"/>
        </w:rPr>
        <w:t> </w:t>
      </w:r>
      <w:r>
        <w:rPr/>
        <w:t>(and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changes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indirect</w:t>
      </w:r>
      <w:r>
        <w:rPr>
          <w:spacing w:val="-8"/>
        </w:rPr>
        <w:t> </w:t>
      </w:r>
      <w:r>
        <w:rPr/>
        <w:t>taxes).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part-</w:t>
      </w:r>
      <w:r>
        <w:rPr>
          <w:spacing w:val="-50"/>
        </w:rPr>
        <w:t> </w:t>
      </w:r>
      <w:r>
        <w:rPr/>
        <w:t>ly</w:t>
      </w:r>
      <w:r>
        <w:rPr>
          <w:spacing w:val="-13"/>
        </w:rPr>
        <w:t> </w:t>
      </w:r>
      <w:r>
        <w:rPr/>
        <w:t>offset</w:t>
      </w:r>
      <w:r>
        <w:rPr>
          <w:spacing w:val="-11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effect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higher</w:t>
      </w:r>
      <w:r>
        <w:rPr>
          <w:spacing w:val="-11"/>
        </w:rPr>
        <w:t> </w:t>
      </w:r>
      <w:r>
        <w:rPr/>
        <w:t>futures</w:t>
      </w:r>
      <w:r>
        <w:rPr>
          <w:spacing w:val="-12"/>
        </w:rPr>
        <w:t> </w:t>
      </w:r>
      <w:r>
        <w:rPr/>
        <w:t>prices</w:t>
      </w:r>
      <w:r>
        <w:rPr>
          <w:spacing w:val="-50"/>
        </w:rPr>
        <w:t> </w:t>
      </w:r>
      <w:r>
        <w:rPr/>
        <w:t>for crude oil. Total CPI inflation is expected</w:t>
      </w:r>
      <w:r>
        <w:rPr>
          <w:spacing w:val="-50"/>
        </w:rPr>
        <w:t> </w:t>
      </w:r>
      <w:r>
        <w:rPr/>
        <w:t>to fall below the 2 per cent target in early</w:t>
      </w:r>
      <w:r>
        <w:rPr>
          <w:spacing w:val="1"/>
        </w:rPr>
        <w:t> </w:t>
      </w:r>
      <w:r>
        <w:rPr>
          <w:spacing w:val="-1"/>
        </w:rPr>
        <w:t>2008</w:t>
      </w:r>
      <w:r>
        <w:rPr>
          <w:spacing w:val="-13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remain</w:t>
      </w:r>
      <w:r>
        <w:rPr>
          <w:spacing w:val="-13"/>
        </w:rPr>
        <w:t> </w:t>
      </w:r>
      <w:r>
        <w:rPr>
          <w:spacing w:val="-1"/>
        </w:rPr>
        <w:t>below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target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rest</w:t>
      </w:r>
      <w:r>
        <w:rPr>
          <w:spacing w:val="-5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year,</w:t>
      </w:r>
      <w:r>
        <w:rPr>
          <w:spacing w:val="-9"/>
        </w:rPr>
        <w:t> </w:t>
      </w:r>
      <w:r>
        <w:rPr/>
        <w:t>before</w:t>
      </w:r>
      <w:r>
        <w:rPr>
          <w:spacing w:val="-10"/>
        </w:rPr>
        <w:t> </w:t>
      </w:r>
      <w:r>
        <w:rPr/>
        <w:t>moving</w:t>
      </w:r>
      <w:r>
        <w:rPr>
          <w:spacing w:val="-9"/>
        </w:rPr>
        <w:t> </w:t>
      </w:r>
      <w:r>
        <w:rPr/>
        <w:t>back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2</w:t>
      </w:r>
      <w:r>
        <w:rPr>
          <w:spacing w:val="-9"/>
        </w:rPr>
        <w:t> </w:t>
      </w:r>
      <w:r>
        <w:rPr/>
        <w:t>per</w:t>
      </w:r>
      <w:r>
        <w:rPr>
          <w:spacing w:val="-10"/>
        </w:rPr>
        <w:t> </w:t>
      </w:r>
      <w:r>
        <w:rPr/>
        <w:t>cent</w:t>
      </w:r>
      <w:r>
        <w:rPr>
          <w:spacing w:val="-50"/>
        </w:rPr>
        <w:t> </w:t>
      </w:r>
      <w:r>
        <w:rPr/>
        <w:t>by the end of 2009. Total CPI inflation, ex-</w:t>
      </w:r>
      <w:r>
        <w:rPr>
          <w:spacing w:val="1"/>
        </w:rPr>
        <w:t> </w:t>
      </w:r>
      <w:r>
        <w:rPr/>
        <w:t>cluding the impact of the recent GST reduc-</w:t>
      </w:r>
      <w:r>
        <w:rPr>
          <w:spacing w:val="-50"/>
        </w:rPr>
        <w:t> </w:t>
      </w:r>
      <w:r>
        <w:rPr/>
        <w:t>tion, is projected to average close to 2 per</w:t>
      </w:r>
      <w:r>
        <w:rPr>
          <w:spacing w:val="1"/>
        </w:rPr>
        <w:t> </w:t>
      </w:r>
      <w:r>
        <w:rPr/>
        <w:t>cent</w:t>
      </w:r>
      <w:r>
        <w:rPr>
          <w:spacing w:val="-1"/>
        </w:rPr>
        <w:t> </w:t>
      </w:r>
      <w:r>
        <w:rPr/>
        <w:t>throughout</w:t>
      </w:r>
      <w:r>
        <w:rPr>
          <w:spacing w:val="-1"/>
        </w:rPr>
        <w:t> </w:t>
      </w:r>
      <w:r>
        <w:rPr/>
        <w:t>2008</w:t>
      </w:r>
      <w:r>
        <w:rPr>
          <w:spacing w:val="-1"/>
        </w:rPr>
        <w:t> </w:t>
      </w:r>
      <w:r>
        <w:rPr/>
        <w:t>and 2009.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3"/>
        </w:rPr>
      </w:pPr>
      <w:r>
        <w:rPr/>
        <w:pict>
          <v:shape style="position:absolute;margin-left:76.519997pt;margin-top:12.915625pt;width:459pt;height:72.7pt;mso-position-horizontal-relative:page;mso-position-vertical-relative:paragraph;z-index:-15721472;mso-wrap-distance-left:0;mso-wrap-distance-right:0" type="#_x0000_t202" id="docshape228" filled="false" stroked="true" strokeweight="1.56pt" strokecolor="#004951">
            <v:textbox inset="0,0,0,0">
              <w:txbxContent>
                <w:p>
                  <w:pPr>
                    <w:spacing w:line="296" w:lineRule="exact" w:before="148"/>
                    <w:ind w:left="224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004951"/>
                      <w:w w:val="110"/>
                      <w:sz w:val="20"/>
                    </w:rPr>
                    <w:t>The</w:t>
                  </w:r>
                  <w:r>
                    <w:rPr>
                      <w:color w:val="004951"/>
                      <w:spacing w:val="30"/>
                      <w:w w:val="110"/>
                      <w:sz w:val="20"/>
                    </w:rPr>
                    <w:t> </w:t>
                  </w:r>
                  <w:r>
                    <w:rPr>
                      <w:i/>
                      <w:color w:val="004951"/>
                      <w:w w:val="110"/>
                      <w:sz w:val="20"/>
                    </w:rPr>
                    <w:t>Monetary</w:t>
                  </w:r>
                  <w:r>
                    <w:rPr>
                      <w:i/>
                      <w:color w:val="004951"/>
                      <w:spacing w:val="31"/>
                      <w:w w:val="110"/>
                      <w:sz w:val="20"/>
                    </w:rPr>
                    <w:t> </w:t>
                  </w:r>
                  <w:r>
                    <w:rPr>
                      <w:i/>
                      <w:color w:val="004951"/>
                      <w:w w:val="110"/>
                      <w:sz w:val="20"/>
                    </w:rPr>
                    <w:t>Policy</w:t>
                  </w:r>
                  <w:r>
                    <w:rPr>
                      <w:i/>
                      <w:color w:val="004951"/>
                      <w:spacing w:val="30"/>
                      <w:w w:val="110"/>
                      <w:sz w:val="20"/>
                    </w:rPr>
                    <w:t> </w:t>
                  </w:r>
                  <w:r>
                    <w:rPr>
                      <w:i/>
                      <w:color w:val="004951"/>
                      <w:w w:val="110"/>
                      <w:sz w:val="20"/>
                    </w:rPr>
                    <w:t>Report</w:t>
                  </w:r>
                  <w:r>
                    <w:rPr>
                      <w:i/>
                      <w:color w:val="004951"/>
                      <w:spacing w:val="32"/>
                      <w:w w:val="110"/>
                      <w:sz w:val="20"/>
                    </w:rPr>
                    <w:t> </w:t>
                  </w:r>
                  <w:r>
                    <w:rPr>
                      <w:color w:val="004951"/>
                      <w:w w:val="110"/>
                      <w:sz w:val="20"/>
                    </w:rPr>
                    <w:t>and</w:t>
                  </w:r>
                  <w:r>
                    <w:rPr>
                      <w:color w:val="004951"/>
                      <w:spacing w:val="31"/>
                      <w:w w:val="110"/>
                      <w:sz w:val="20"/>
                    </w:rPr>
                    <w:t> </w:t>
                  </w:r>
                  <w:r>
                    <w:rPr>
                      <w:color w:val="004951"/>
                      <w:w w:val="110"/>
                      <w:sz w:val="20"/>
                    </w:rPr>
                    <w:t>the</w:t>
                  </w:r>
                  <w:r>
                    <w:rPr>
                      <w:color w:val="004951"/>
                      <w:spacing w:val="30"/>
                      <w:w w:val="110"/>
                      <w:sz w:val="20"/>
                    </w:rPr>
                    <w:t> </w:t>
                  </w:r>
                  <w:r>
                    <w:rPr>
                      <w:i/>
                      <w:color w:val="004951"/>
                      <w:w w:val="110"/>
                      <w:sz w:val="20"/>
                    </w:rPr>
                    <w:t>Update</w:t>
                  </w:r>
                  <w:r>
                    <w:rPr>
                      <w:i/>
                      <w:color w:val="004951"/>
                      <w:spacing w:val="32"/>
                      <w:w w:val="110"/>
                      <w:sz w:val="20"/>
                    </w:rPr>
                    <w:t> </w:t>
                  </w:r>
                  <w:r>
                    <w:rPr>
                      <w:color w:val="004951"/>
                      <w:w w:val="110"/>
                      <w:sz w:val="20"/>
                    </w:rPr>
                    <w:t>are</w:t>
                  </w:r>
                  <w:r>
                    <w:rPr>
                      <w:color w:val="004951"/>
                      <w:spacing w:val="31"/>
                      <w:w w:val="110"/>
                      <w:sz w:val="20"/>
                    </w:rPr>
                    <w:t> </w:t>
                  </w:r>
                  <w:r>
                    <w:rPr>
                      <w:color w:val="004951"/>
                      <w:w w:val="110"/>
                      <w:sz w:val="20"/>
                    </w:rPr>
                    <w:t>available</w:t>
                  </w:r>
                  <w:r>
                    <w:rPr>
                      <w:color w:val="004951"/>
                      <w:spacing w:val="30"/>
                      <w:w w:val="110"/>
                      <w:sz w:val="20"/>
                    </w:rPr>
                    <w:t> </w:t>
                  </w:r>
                  <w:r>
                    <w:rPr>
                      <w:color w:val="004951"/>
                      <w:w w:val="110"/>
                      <w:sz w:val="20"/>
                    </w:rPr>
                    <w:t>on</w:t>
                  </w:r>
                  <w:r>
                    <w:rPr>
                      <w:color w:val="004951"/>
                      <w:spacing w:val="31"/>
                      <w:w w:val="110"/>
                      <w:sz w:val="20"/>
                    </w:rPr>
                    <w:t> </w:t>
                  </w:r>
                  <w:r>
                    <w:rPr>
                      <w:color w:val="004951"/>
                      <w:w w:val="110"/>
                      <w:sz w:val="20"/>
                    </w:rPr>
                    <w:t>the</w:t>
                  </w:r>
                  <w:r>
                    <w:rPr>
                      <w:color w:val="004951"/>
                      <w:spacing w:val="31"/>
                      <w:w w:val="110"/>
                      <w:sz w:val="20"/>
                    </w:rPr>
                    <w:t> </w:t>
                  </w:r>
                  <w:r>
                    <w:rPr>
                      <w:color w:val="004951"/>
                      <w:w w:val="110"/>
                      <w:sz w:val="20"/>
                    </w:rPr>
                    <w:t>Bank’s</w:t>
                  </w:r>
                  <w:r>
                    <w:rPr>
                      <w:color w:val="004951"/>
                      <w:spacing w:val="30"/>
                      <w:w w:val="110"/>
                      <w:sz w:val="20"/>
                    </w:rPr>
                    <w:t> </w:t>
                  </w:r>
                  <w:r>
                    <w:rPr>
                      <w:color w:val="004951"/>
                      <w:w w:val="110"/>
                      <w:sz w:val="20"/>
                    </w:rPr>
                    <w:t>website</w:t>
                  </w:r>
                  <w:r>
                    <w:rPr>
                      <w:color w:val="004951"/>
                      <w:spacing w:val="32"/>
                      <w:w w:val="110"/>
                      <w:sz w:val="20"/>
                    </w:rPr>
                    <w:t> </w:t>
                  </w:r>
                  <w:r>
                    <w:rPr>
                      <w:color w:val="004951"/>
                      <w:w w:val="110"/>
                      <w:sz w:val="20"/>
                    </w:rPr>
                    <w:t>at:</w:t>
                  </w:r>
                </w:p>
                <w:p>
                  <w:pPr>
                    <w:spacing w:line="280" w:lineRule="exact" w:before="0"/>
                    <w:ind w:left="183" w:right="0" w:firstLine="0"/>
                    <w:jc w:val="left"/>
                    <w:rPr>
                      <w:sz w:val="20"/>
                    </w:rPr>
                  </w:pPr>
                  <w:hyperlink r:id="rId13">
                    <w:r>
                      <w:rPr>
                        <w:color w:val="004951"/>
                        <w:w w:val="110"/>
                        <w:sz w:val="20"/>
                      </w:rPr>
                      <w:t>&lt;http:</w:t>
                    </w:r>
                  </w:hyperlink>
                  <w:r>
                    <w:rPr>
                      <w:color w:val="004951"/>
                      <w:w w:val="110"/>
                      <w:sz w:val="20"/>
                    </w:rPr>
                    <w:t>/</w:t>
                  </w:r>
                  <w:hyperlink r:id="rId13">
                    <w:r>
                      <w:rPr>
                        <w:color w:val="004951"/>
                        <w:w w:val="110"/>
                        <w:sz w:val="20"/>
                      </w:rPr>
                      <w:t>/www.bankofcanada.ca&gt;.</w:t>
                    </w:r>
                  </w:hyperlink>
                </w:p>
                <w:p>
                  <w:pPr>
                    <w:spacing w:line="187" w:lineRule="auto" w:before="36"/>
                    <w:ind w:left="224" w:right="2323" w:firstLine="0"/>
                    <w:jc w:val="left"/>
                    <w:rPr>
                      <w:sz w:val="20"/>
                    </w:rPr>
                  </w:pPr>
                  <w:r>
                    <w:rPr>
                      <w:color w:val="004951"/>
                      <w:w w:val="110"/>
                      <w:sz w:val="20"/>
                    </w:rPr>
                    <w:t>Copies</w:t>
                  </w:r>
                  <w:r>
                    <w:rPr>
                      <w:color w:val="004951"/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color w:val="004951"/>
                      <w:w w:val="110"/>
                      <w:sz w:val="20"/>
                    </w:rPr>
                    <w:t>can</w:t>
                  </w:r>
                  <w:r>
                    <w:rPr>
                      <w:color w:val="004951"/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color w:val="004951"/>
                      <w:w w:val="110"/>
                      <w:sz w:val="20"/>
                    </w:rPr>
                    <w:t>also</w:t>
                  </w:r>
                  <w:r>
                    <w:rPr>
                      <w:color w:val="004951"/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color w:val="004951"/>
                      <w:w w:val="110"/>
                      <w:sz w:val="20"/>
                    </w:rPr>
                    <w:t>be</w:t>
                  </w:r>
                  <w:r>
                    <w:rPr>
                      <w:color w:val="004951"/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color w:val="004951"/>
                      <w:w w:val="110"/>
                      <w:sz w:val="20"/>
                    </w:rPr>
                    <w:t>obtained  by  contacting  the  Bank  at:</w:t>
                  </w:r>
                  <w:r>
                    <w:rPr>
                      <w:color w:val="004951"/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color w:val="004951"/>
                      <w:w w:val="110"/>
                      <w:sz w:val="20"/>
                    </w:rPr>
                    <w:t>Telephone:</w:t>
                  </w:r>
                  <w:r>
                    <w:rPr>
                      <w:color w:val="004951"/>
                      <w:spacing w:val="42"/>
                      <w:w w:val="110"/>
                      <w:sz w:val="20"/>
                    </w:rPr>
                    <w:t> </w:t>
                  </w:r>
                  <w:r>
                    <w:rPr>
                      <w:color w:val="004951"/>
                      <w:w w:val="110"/>
                      <w:sz w:val="20"/>
                    </w:rPr>
                    <w:t>1</w:t>
                  </w:r>
                  <w:r>
                    <w:rPr>
                      <w:color w:val="004951"/>
                      <w:spacing w:val="43"/>
                      <w:w w:val="110"/>
                      <w:sz w:val="20"/>
                    </w:rPr>
                    <w:t> </w:t>
                  </w:r>
                  <w:r>
                    <w:rPr>
                      <w:color w:val="004951"/>
                      <w:w w:val="110"/>
                      <w:sz w:val="20"/>
                    </w:rPr>
                    <w:t>877</w:t>
                  </w:r>
                  <w:r>
                    <w:rPr>
                      <w:color w:val="004951"/>
                      <w:spacing w:val="42"/>
                      <w:w w:val="110"/>
                      <w:sz w:val="20"/>
                    </w:rPr>
                    <w:t> </w:t>
                  </w:r>
                  <w:r>
                    <w:rPr>
                      <w:color w:val="004951"/>
                      <w:w w:val="110"/>
                      <w:sz w:val="20"/>
                    </w:rPr>
                    <w:t>782-8248;</w:t>
                  </w:r>
                  <w:r>
                    <w:rPr>
                      <w:color w:val="004951"/>
                      <w:spacing w:val="44"/>
                      <w:w w:val="110"/>
                      <w:sz w:val="20"/>
                    </w:rPr>
                    <w:t> </w:t>
                  </w:r>
                  <w:r>
                    <w:rPr>
                      <w:color w:val="004951"/>
                      <w:w w:val="110"/>
                      <w:sz w:val="20"/>
                    </w:rPr>
                    <w:t>email:</w:t>
                  </w:r>
                  <w:r>
                    <w:rPr>
                      <w:color w:val="004951"/>
                      <w:spacing w:val="43"/>
                      <w:w w:val="110"/>
                      <w:sz w:val="20"/>
                    </w:rPr>
                    <w:t> </w:t>
                  </w:r>
                  <w:hyperlink r:id="rId14">
                    <w:r>
                      <w:rPr>
                        <w:color w:val="004951"/>
                        <w:w w:val="110"/>
                        <w:sz w:val="20"/>
                      </w:rPr>
                      <w:t>publications@bankofcanada.ca</w:t>
                    </w:r>
                  </w:hyperlink>
                </w:p>
              </w:txbxContent>
            </v:textbox>
            <v:stroke dashstyle="solid"/>
            <w10:wrap type="topAndBottom"/>
          </v:shape>
        </w:pict>
      </w:r>
    </w:p>
    <w:sectPr>
      <w:pgSz w:w="12240" w:h="15840"/>
      <w:pgMar w:header="661" w:footer="764" w:top="860" w:bottom="960" w:left="2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">
    <w:altName w:val="Palatino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Palatino-BoldItalic">
    <w:altName w:val="Palatino-BoldItalic"/>
    <w:charset w:val="0"/>
    <w:family w:val="roman"/>
    <w:pitch w:val="variable"/>
  </w:font>
  <w:font w:name="Helvetica">
    <w:altName w:val="Helvetic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8.399994pt;margin-top:742.792542pt;width:18.2pt;height:12.1pt;mso-position-horizontal-relative:page;mso-position-vertical-relative:page;z-index:-16584704" type="#_x0000_t202" id="docshape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color w:val="000000"/>
                    <w:sz w:val="18"/>
                    <w:shd w:fill="E5ECED" w:color="auto" w:val="clear"/>
                  </w:rPr>
                  <w:t> </w:t>
                </w:r>
                <w:r>
                  <w:rPr>
                    <w:rFonts w:ascii="Arial"/>
                    <w:color w:val="000000"/>
                    <w:spacing w:val="-20"/>
                    <w:sz w:val="18"/>
                    <w:shd w:fill="E5ECED" w:color="auto" w:val="clear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000000"/>
                    <w:sz w:val="18"/>
                    <w:shd w:fill="E5ECED" w:color="auto" w:val="clear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00"/>
                    <w:sz w:val="18"/>
                    <w:shd w:fill="E5ECED" w:color="auto" w:val="clear"/>
                  </w:rPr>
                  <w:t> </w:t>
                </w:r>
                <w:r>
                  <w:rPr>
                    <w:rFonts w:ascii="Arial"/>
                    <w:color w:val="000000"/>
                    <w:spacing w:val="-17"/>
                    <w:sz w:val="18"/>
                    <w:shd w:fill="E5ECED" w:color="auto" w:val="clear"/>
                  </w:rPr>
                  <w:t> 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4.10997pt;margin-top:33.087814pt;width:207.05pt;height:10.95pt;mso-position-horizontal-relative:page;mso-position-vertical-relative:page;z-index:-16585216" type="#_x0000_t202" id="docshape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004951"/>
                    <w:spacing w:val="-2"/>
                    <w:sz w:val="16"/>
                  </w:rPr>
                  <w:t>MONETARY</w:t>
                </w:r>
                <w:r>
                  <w:rPr>
                    <w:rFonts w:ascii="Arial"/>
                    <w:color w:val="004951"/>
                    <w:spacing w:val="-6"/>
                    <w:sz w:val="16"/>
                  </w:rPr>
                  <w:t> </w:t>
                </w:r>
                <w:r>
                  <w:rPr>
                    <w:rFonts w:ascii="Arial"/>
                    <w:color w:val="004951"/>
                    <w:spacing w:val="-2"/>
                    <w:sz w:val="16"/>
                  </w:rPr>
                  <w:t>POLICY</w:t>
                </w:r>
                <w:r>
                  <w:rPr>
                    <w:rFonts w:ascii="Arial"/>
                    <w:color w:val="004951"/>
                    <w:spacing w:val="-9"/>
                    <w:sz w:val="16"/>
                  </w:rPr>
                  <w:t> </w:t>
                </w:r>
                <w:r>
                  <w:rPr>
                    <w:rFonts w:ascii="Arial"/>
                    <w:color w:val="004951"/>
                    <w:spacing w:val="-2"/>
                    <w:sz w:val="16"/>
                  </w:rPr>
                  <w:t>REPORT</w:t>
                </w:r>
                <w:r>
                  <w:rPr>
                    <w:rFonts w:ascii="Arial"/>
                    <w:color w:val="004951"/>
                    <w:spacing w:val="-13"/>
                    <w:sz w:val="16"/>
                  </w:rPr>
                  <w:t> </w:t>
                </w:r>
                <w:r>
                  <w:rPr>
                    <w:rFonts w:ascii="Arial"/>
                    <w:color w:val="004951"/>
                    <w:spacing w:val="-2"/>
                    <w:sz w:val="16"/>
                  </w:rPr>
                  <w:t>UPDATE:</w:t>
                </w:r>
                <w:r>
                  <w:rPr>
                    <w:rFonts w:ascii="Arial"/>
                    <w:color w:val="004951"/>
                    <w:spacing w:val="6"/>
                    <w:sz w:val="16"/>
                  </w:rPr>
                  <w:t> </w:t>
                </w:r>
                <w:r>
                  <w:rPr>
                    <w:rFonts w:ascii="Arial"/>
                    <w:color w:val="004951"/>
                    <w:spacing w:val="-2"/>
                    <w:sz w:val="16"/>
                  </w:rPr>
                  <w:t>JANUARY</w:t>
                </w:r>
                <w:r>
                  <w:rPr>
                    <w:rFonts w:ascii="Arial"/>
                    <w:color w:val="004951"/>
                    <w:spacing w:val="1"/>
                    <w:sz w:val="16"/>
                  </w:rPr>
                  <w:t> </w:t>
                </w:r>
                <w:r>
                  <w:rPr>
                    <w:rFonts w:ascii="Arial"/>
                    <w:color w:val="004951"/>
                    <w:spacing w:val="-2"/>
                    <w:sz w:val="16"/>
                  </w:rPr>
                  <w:t>2008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Letter"/>
      <w:lvlText w:val="%1."/>
      <w:lvlJc w:val="left"/>
      <w:pPr>
        <w:ind w:left="1333" w:hanging="216"/>
        <w:jc w:val="left"/>
      </w:pPr>
      <w:rPr>
        <w:rFonts w:hint="default" w:ascii="Helvetica" w:hAnsi="Helvetica" w:eastAsia="Helvetica" w:cs="Helvetica"/>
        <w:b w:val="0"/>
        <w:bCs w:val="0"/>
        <w:i w:val="0"/>
        <w:iCs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6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4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13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31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49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68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86" w:hanging="21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1342" w:hanging="216"/>
        <w:jc w:val="left"/>
      </w:pPr>
      <w:rPr>
        <w:rFonts w:hint="default" w:ascii="Helvetica" w:hAnsi="Helvetica" w:eastAsia="Helvetica" w:cs="Helvetica"/>
        <w:b w:val="0"/>
        <w:bCs w:val="0"/>
        <w:i w:val="0"/>
        <w:iCs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7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5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14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32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51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69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88" w:hanging="21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decimal"/>
      <w:lvlText w:val="%1"/>
      <w:lvlJc w:val="left"/>
      <w:pPr>
        <w:ind w:left="558" w:hanging="315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558" w:hanging="315"/>
        <w:jc w:val="left"/>
      </w:pPr>
      <w:rPr>
        <w:rFonts w:hint="default" w:ascii="Palatino" w:hAnsi="Palatino" w:eastAsia="Palatino" w:cs="Palatino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68" w:hanging="231"/>
        <w:jc w:val="left"/>
      </w:pPr>
      <w:rPr>
        <w:rFonts w:hint="default" w:ascii="Palatino" w:hAnsi="Palatino" w:eastAsia="Palatino" w:cs="Palatino"/>
        <w:b w:val="0"/>
        <w:bCs w:val="0"/>
        <w:i w:val="0"/>
        <w:iCs w:val="0"/>
        <w:spacing w:val="-2"/>
        <w:w w:val="100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9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24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79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89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44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52" w:hanging="288"/>
      </w:pPr>
      <w:rPr>
        <w:rFonts w:hint="default" w:ascii="Palatino" w:hAnsi="Palatino" w:eastAsia="Palatino" w:cs="Palatino"/>
        <w:b w:val="0"/>
        <w:bCs w:val="0"/>
        <w:i w:val="0"/>
        <w:iCs w:val="0"/>
        <w:color w:val="004951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0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1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1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62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2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43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83" w:hanging="28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" w:hAnsi="Palatino" w:eastAsia="Palatino" w:cs="Palatin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" w:hAnsi="Palatino" w:eastAsia="Palatino" w:cs="Palatino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443" w:lineRule="exact"/>
      <w:ind w:left="1468"/>
      <w:jc w:val="both"/>
      <w:outlineLvl w:val="1"/>
    </w:pPr>
    <w:rPr>
      <w:rFonts w:ascii="Palatino" w:hAnsi="Palatino" w:eastAsia="Palatino" w:cs="Palatino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3" w:line="346" w:lineRule="exact"/>
      <w:ind w:left="558"/>
      <w:jc w:val="both"/>
      <w:outlineLvl w:val="2"/>
    </w:pPr>
    <w:rPr>
      <w:rFonts w:ascii="Palatino-BoldItalic" w:hAnsi="Palatino-BoldItalic" w:eastAsia="Palatino-BoldItalic" w:cs="Palatino-BoldItalic"/>
      <w:b/>
      <w:bCs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 w:line="823" w:lineRule="exact"/>
      <w:ind w:left="1468"/>
    </w:pPr>
    <w:rPr>
      <w:rFonts w:ascii="Palatino" w:hAnsi="Palatino" w:eastAsia="Palatino" w:cs="Palatino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33" w:hanging="216"/>
    </w:pPr>
    <w:rPr>
      <w:rFonts w:ascii="Palatino" w:hAnsi="Palatino" w:eastAsia="Palatino" w:cs="Palatin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Helvetica" w:hAnsi="Helvetica" w:eastAsia="Helvetica" w:cs="Helvetic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://www.bankofcanada.ca/" TargetMode="External"/><Relationship Id="rId14" Type="http://schemas.openxmlformats.org/officeDocument/2006/relationships/hyperlink" Target="mailto:publications@bankofcanada.ca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Canada</dc:creator>
  <dc:subject>MPR</dc:subject>
  <dc:title>Monetary Policy Update - January 2008</dc:title>
  <dcterms:created xsi:type="dcterms:W3CDTF">2021-12-23T22:27:28Z</dcterms:created>
  <dcterms:modified xsi:type="dcterms:W3CDTF">2021-12-23T22:27:28Z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2007-01-09T00:00:00Z</vt:filetime>
  </property>
  <property fmtid="{D5CDD505-2E9C-101B-9397-08002B2CF9AE}" pid="3" name="Creator">
    <vt:lpwstr>FrameMaker 5.5.6.</vt:lpwstr>
  </property>
  <property fmtid="{D5CDD505-2E9C-101B-9397-08002B2CF9AE}" pid="4" name="LastSaved">
    <vt:filetime>2021-12-23T00:00:00Z</vt:filetime>
  </property>
</Properties>
</file>