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DB6A7" w14:textId="7E473EC7" w:rsidR="003B2563" w:rsidRDefault="00983BA4" w:rsidP="000551D3">
      <w:pPr>
        <w:jc w:val="both"/>
        <w:rPr>
          <w:lang w:val="en-US"/>
        </w:rPr>
      </w:pPr>
      <w:r>
        <w:rPr>
          <w:lang w:val="en-US"/>
        </w:rPr>
        <w:t>Can COVID-19 vaccines control disease transmission?</w:t>
      </w:r>
    </w:p>
    <w:p w14:paraId="0E406217" w14:textId="56FFC154" w:rsidR="00987A24" w:rsidRDefault="00987A24" w:rsidP="000551D3">
      <w:pPr>
        <w:jc w:val="both"/>
        <w:rPr>
          <w:lang w:val="en-US"/>
        </w:rPr>
      </w:pPr>
    </w:p>
    <w:p w14:paraId="2CA89D77" w14:textId="5935F798" w:rsidR="00987A24" w:rsidRDefault="00987A24" w:rsidP="000551D3">
      <w:pPr>
        <w:jc w:val="both"/>
        <w:rPr>
          <w:lang w:val="en-US"/>
        </w:rPr>
      </w:pPr>
      <w:r>
        <w:rPr>
          <w:lang w:val="en-US"/>
        </w:rPr>
        <w:t>Introduction</w:t>
      </w:r>
    </w:p>
    <w:p w14:paraId="4995664C" w14:textId="77777777" w:rsidR="003B2563" w:rsidRDefault="003B2563" w:rsidP="000551D3">
      <w:pPr>
        <w:jc w:val="both"/>
        <w:rPr>
          <w:lang w:val="en-US"/>
        </w:rPr>
      </w:pPr>
    </w:p>
    <w:p w14:paraId="0C07FB9E" w14:textId="67D42027" w:rsidR="00983BA4" w:rsidRDefault="003B2563" w:rsidP="000551D3">
      <w:pPr>
        <w:jc w:val="both"/>
        <w:rPr>
          <w:lang w:val="en-US"/>
        </w:rPr>
      </w:pPr>
      <w:r>
        <w:rPr>
          <w:lang w:val="en-US"/>
        </w:rPr>
        <w:t>More than half a billion population has been infected with COVID-19 worldwide</w:t>
      </w:r>
      <w:r w:rsidR="00987A24">
        <w:rPr>
          <w:lang w:val="en-US"/>
        </w:rPr>
        <w:t>,</w:t>
      </w:r>
      <w:r>
        <w:rPr>
          <w:lang w:val="en-US"/>
        </w:rPr>
        <w:t xml:space="preserve"> with more than six million deaths.</w:t>
      </w:r>
      <w:r w:rsidR="005E73D6">
        <w:rPr>
          <w:lang w:val="en-US"/>
        </w:rPr>
        <w:t xml:space="preserve"> </w:t>
      </w:r>
      <w:r w:rsidR="00B17DC7">
        <w:rPr>
          <w:lang w:val="en-US"/>
        </w:rPr>
        <w:t>It was postulated that once</w:t>
      </w:r>
      <w:r w:rsidR="00987A24">
        <w:rPr>
          <w:lang w:val="en-US"/>
        </w:rPr>
        <w:t xml:space="preserve"> a</w:t>
      </w:r>
      <w:r w:rsidR="00B17DC7">
        <w:rPr>
          <w:lang w:val="en-US"/>
        </w:rPr>
        <w:t xml:space="preserve"> significant proportion of the population becomes immune to the disease by vaccination, the transmission rate of the infection would fall below a critical level. This study aims to evaluate if this concept of ‘herd-immunity’ actually behaved as </w:t>
      </w:r>
      <w:r w:rsidR="0089535D">
        <w:rPr>
          <w:lang w:val="en-US"/>
        </w:rPr>
        <w:t>was expected by retrospectively analyzing the epidemic curve and vaccination data in Sri Lanka.</w:t>
      </w:r>
    </w:p>
    <w:p w14:paraId="4FE25B4C" w14:textId="39D5585D" w:rsidR="00987A24" w:rsidRDefault="00987A24" w:rsidP="000551D3">
      <w:pPr>
        <w:jc w:val="both"/>
        <w:rPr>
          <w:lang w:val="en-US"/>
        </w:rPr>
      </w:pPr>
    </w:p>
    <w:p w14:paraId="48ABB4E3" w14:textId="4EFF0BD3" w:rsidR="00987A24" w:rsidRDefault="00214080" w:rsidP="000551D3">
      <w:pPr>
        <w:jc w:val="both"/>
        <w:rPr>
          <w:lang w:val="en-US"/>
        </w:rPr>
      </w:pPr>
      <w:r>
        <w:rPr>
          <w:lang w:val="en-US"/>
        </w:rPr>
        <w:t>Methodology</w:t>
      </w:r>
    </w:p>
    <w:p w14:paraId="29757D0A" w14:textId="43BC3011" w:rsidR="00214080" w:rsidRDefault="00214080" w:rsidP="000551D3">
      <w:pPr>
        <w:jc w:val="both"/>
        <w:rPr>
          <w:lang w:val="en-US"/>
        </w:rPr>
      </w:pPr>
    </w:p>
    <w:p w14:paraId="258CCFDF" w14:textId="17F511A7" w:rsidR="00214080" w:rsidRDefault="00214080" w:rsidP="000551D3">
      <w:pPr>
        <w:jc w:val="both"/>
        <w:rPr>
          <w:lang w:val="en-US"/>
        </w:rPr>
      </w:pPr>
      <w:r>
        <w:rPr>
          <w:lang w:val="en-US"/>
        </w:rPr>
        <w:t>The number of daily reported COVID-19 patients and</w:t>
      </w:r>
      <w:r w:rsidR="00573C98">
        <w:rPr>
          <w:lang w:val="en-US"/>
        </w:rPr>
        <w:t xml:space="preserve"> the number of COVID-19 vaccines daily administered were extracted from the Epidemiology Unit of Sri Lanka</w:t>
      </w:r>
      <w:r w:rsidR="00B80968">
        <w:rPr>
          <w:lang w:val="en-US"/>
        </w:rPr>
        <w:t>. A validated stochastic process-based disease transmission model was calibrated to each wave of COVID-19 infection observed in Sri Lanka</w:t>
      </w:r>
      <w:r w:rsidR="00D60447">
        <w:rPr>
          <w:lang w:val="en-US"/>
        </w:rPr>
        <w:t xml:space="preserve"> to estimate initial model parameters.</w:t>
      </w:r>
      <w:r w:rsidR="00B80968">
        <w:rPr>
          <w:lang w:val="en-US"/>
        </w:rPr>
        <w:t xml:space="preserve"> The pattern of </w:t>
      </w:r>
      <w:r w:rsidR="00CE6527">
        <w:rPr>
          <w:lang w:val="en-US"/>
        </w:rPr>
        <w:t>vaccine coverage</w:t>
      </w:r>
      <w:r w:rsidR="00B80968">
        <w:rPr>
          <w:lang w:val="en-US"/>
        </w:rPr>
        <w:t xml:space="preserve"> was simulated inside the model</w:t>
      </w:r>
      <w:r w:rsidR="00CE6527">
        <w:rPr>
          <w:lang w:val="en-US"/>
        </w:rPr>
        <w:t>,</w:t>
      </w:r>
      <w:r w:rsidR="00B80968">
        <w:rPr>
          <w:lang w:val="en-US"/>
        </w:rPr>
        <w:t xml:space="preserve"> and the</w:t>
      </w:r>
      <w:r w:rsidR="00CE6527">
        <w:rPr>
          <w:lang w:val="en-US"/>
        </w:rPr>
        <w:t xml:space="preserve"> expected overall efficacy of the vaccine for transmission-blocking </w:t>
      </w:r>
      <w:r w:rsidR="000551D3">
        <w:rPr>
          <w:lang w:val="en-US"/>
        </w:rPr>
        <w:t>was</w:t>
      </w:r>
      <w:r w:rsidR="00CE6527">
        <w:rPr>
          <w:lang w:val="en-US"/>
        </w:rPr>
        <w:t xml:space="preserve"> estimated. Expected epidemic curves </w:t>
      </w:r>
      <w:r w:rsidR="0034371E">
        <w:rPr>
          <w:lang w:val="en-US"/>
        </w:rPr>
        <w:t xml:space="preserve">were computed </w:t>
      </w:r>
      <w:r w:rsidR="00CE6527">
        <w:rPr>
          <w:lang w:val="en-US"/>
        </w:rPr>
        <w:t xml:space="preserve">under different vaccine coverage levels and </w:t>
      </w:r>
      <w:r w:rsidR="0034371E">
        <w:rPr>
          <w:lang w:val="en-US"/>
        </w:rPr>
        <w:t>transmission-blocking efficacies</w:t>
      </w:r>
      <w:r w:rsidR="00CE6527">
        <w:rPr>
          <w:lang w:val="en-US"/>
        </w:rPr>
        <w:t>.</w:t>
      </w:r>
    </w:p>
    <w:p w14:paraId="4490479D" w14:textId="6CB73C60" w:rsidR="00A875BD" w:rsidRDefault="00A875BD" w:rsidP="000551D3">
      <w:pPr>
        <w:jc w:val="both"/>
        <w:rPr>
          <w:lang w:val="en-US"/>
        </w:rPr>
      </w:pPr>
    </w:p>
    <w:p w14:paraId="4566C2AD" w14:textId="7AF173E1" w:rsidR="0041563F" w:rsidRDefault="0041563F" w:rsidP="000551D3">
      <w:pPr>
        <w:jc w:val="both"/>
        <w:rPr>
          <w:lang w:val="en-US"/>
        </w:rPr>
      </w:pPr>
      <w:r>
        <w:rPr>
          <w:lang w:val="en-US"/>
        </w:rPr>
        <w:t>Results</w:t>
      </w:r>
    </w:p>
    <w:p w14:paraId="1BF789F5" w14:textId="5E1D9295" w:rsidR="0041563F" w:rsidRDefault="0041563F" w:rsidP="000551D3">
      <w:pPr>
        <w:jc w:val="both"/>
        <w:rPr>
          <w:lang w:val="en-US"/>
        </w:rPr>
      </w:pPr>
    </w:p>
    <w:p w14:paraId="19945FA9" w14:textId="2A8CD029" w:rsidR="005669AC" w:rsidRDefault="00201AF9" w:rsidP="000551D3">
      <w:pPr>
        <w:jc w:val="both"/>
        <w:rPr>
          <w:lang w:val="en-US"/>
        </w:rPr>
      </w:pPr>
      <w:r>
        <w:rPr>
          <w:lang w:val="en-US"/>
        </w:rPr>
        <w:t xml:space="preserve">The first COVID-19 patient in Sri Lanka was reported on </w:t>
      </w:r>
      <w:r w:rsidR="00184788" w:rsidRPr="00184788">
        <w:rPr>
          <w:lang w:val="en-US"/>
        </w:rPr>
        <w:t>27 January 2020</w:t>
      </w:r>
      <w:r w:rsidR="009835D6">
        <w:rPr>
          <w:lang w:val="en-US"/>
        </w:rPr>
        <w:t>,</w:t>
      </w:r>
      <w:r w:rsidR="00184788">
        <w:rPr>
          <w:lang w:val="en-US"/>
        </w:rPr>
        <w:t xml:space="preserve"> and since then</w:t>
      </w:r>
      <w:r w:rsidR="009835D6">
        <w:rPr>
          <w:lang w:val="en-US"/>
        </w:rPr>
        <w:t>,</w:t>
      </w:r>
      <w:r w:rsidR="00184788">
        <w:rPr>
          <w:lang w:val="en-US"/>
        </w:rPr>
        <w:t xml:space="preserve"> more than </w:t>
      </w:r>
      <w:r w:rsidR="009835D6">
        <w:rPr>
          <w:lang w:val="en-US"/>
        </w:rPr>
        <w:t>six hundred</w:t>
      </w:r>
      <w:r w:rsidR="00184788">
        <w:rPr>
          <w:lang w:val="en-US"/>
        </w:rPr>
        <w:t xml:space="preserve"> thousand patients </w:t>
      </w:r>
      <w:r w:rsidR="009835D6">
        <w:rPr>
          <w:lang w:val="en-US"/>
        </w:rPr>
        <w:t>have been</w:t>
      </w:r>
      <w:r w:rsidR="00184788">
        <w:rPr>
          <w:lang w:val="en-US"/>
        </w:rPr>
        <w:t xml:space="preserve"> detected by June 2022. </w:t>
      </w:r>
    </w:p>
    <w:p w14:paraId="2F8D454E" w14:textId="2B93907A" w:rsidR="00A7037F" w:rsidRDefault="00184788" w:rsidP="000551D3">
      <w:pPr>
        <w:jc w:val="both"/>
        <w:rPr>
          <w:lang w:val="en-US"/>
        </w:rPr>
      </w:pPr>
      <w:r>
        <w:rPr>
          <w:lang w:val="en-US"/>
        </w:rPr>
        <w:t xml:space="preserve">The cumulative caseload </w:t>
      </w:r>
      <w:r w:rsidR="009835D6">
        <w:rPr>
          <w:lang w:val="en-US"/>
        </w:rPr>
        <w:t>on</w:t>
      </w:r>
      <w:r>
        <w:rPr>
          <w:lang w:val="en-US"/>
        </w:rPr>
        <w:t xml:space="preserve"> </w:t>
      </w:r>
      <w:r w:rsidR="009835D6">
        <w:rPr>
          <w:lang w:val="en-US"/>
        </w:rPr>
        <w:t xml:space="preserve">the </w:t>
      </w:r>
      <w:r>
        <w:rPr>
          <w:lang w:val="en-US"/>
        </w:rPr>
        <w:t xml:space="preserve">log scale is depicted in figure 01, from which </w:t>
      </w:r>
      <w:r w:rsidR="009835D6">
        <w:rPr>
          <w:lang w:val="en-US"/>
        </w:rPr>
        <w:t>three</w:t>
      </w:r>
      <w:r>
        <w:rPr>
          <w:lang w:val="en-US"/>
        </w:rPr>
        <w:t xml:space="preserve"> distinct waves of transmission can be identified. </w:t>
      </w:r>
      <w:r w:rsidR="00C67BBF">
        <w:rPr>
          <w:lang w:val="en-US"/>
        </w:rPr>
        <w:t>The first phase of the COVID-19 vaccination began in February 2021</w:t>
      </w:r>
      <w:r w:rsidR="00C67BBF">
        <w:rPr>
          <w:lang w:val="en-US"/>
        </w:rPr>
        <w:t>, during the third wave of transmission.</w:t>
      </w:r>
    </w:p>
    <w:p w14:paraId="7981F69A" w14:textId="77777777" w:rsidR="00304D09" w:rsidRDefault="00304D09" w:rsidP="000551D3">
      <w:pPr>
        <w:jc w:val="both"/>
        <w:rPr>
          <w:lang w:val="en-US"/>
        </w:rPr>
      </w:pPr>
    </w:p>
    <w:p w14:paraId="62C29C4C" w14:textId="30B0A593" w:rsidR="0054106B" w:rsidRDefault="003D7893" w:rsidP="000551D3">
      <w:pPr>
        <w:jc w:val="both"/>
        <w:rPr>
          <w:lang w:val="en-US"/>
        </w:rPr>
      </w:pPr>
      <w:r w:rsidRPr="003D7893">
        <w:rPr>
          <w:noProof/>
          <w:lang w:val="en-US"/>
        </w:rPr>
        <w:drawing>
          <wp:anchor distT="0" distB="0" distL="114300" distR="114300" simplePos="0" relativeHeight="251659264" behindDoc="0" locked="0" layoutInCell="1" allowOverlap="1" wp14:anchorId="5C2C789F" wp14:editId="1A398B58">
            <wp:simplePos x="0" y="0"/>
            <wp:positionH relativeFrom="column">
              <wp:posOffset>0</wp:posOffset>
            </wp:positionH>
            <wp:positionV relativeFrom="paragraph">
              <wp:posOffset>345842</wp:posOffset>
            </wp:positionV>
            <wp:extent cx="4457700" cy="2641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7700" cy="2641600"/>
                    </a:xfrm>
                    <a:prstGeom prst="rect">
                      <a:avLst/>
                    </a:prstGeom>
                  </pic:spPr>
                </pic:pic>
              </a:graphicData>
            </a:graphic>
          </wp:anchor>
        </w:drawing>
      </w:r>
      <w:r>
        <w:rPr>
          <w:lang w:val="en-US"/>
        </w:rPr>
        <w:t>Sri Lanka’s total caseload</w:t>
      </w:r>
      <w:r w:rsidR="009835D6">
        <w:rPr>
          <w:lang w:val="en-US"/>
        </w:rPr>
        <w:t xml:space="preserve"> </w:t>
      </w:r>
      <w:r w:rsidR="00B17FC9">
        <w:rPr>
          <w:lang w:val="en-US"/>
        </w:rPr>
        <w:t>on</w:t>
      </w:r>
      <w:r w:rsidR="009835D6">
        <w:rPr>
          <w:lang w:val="en-US"/>
        </w:rPr>
        <w:t xml:space="preserve"> </w:t>
      </w:r>
      <w:r w:rsidR="00583577">
        <w:rPr>
          <w:lang w:val="en-US"/>
        </w:rPr>
        <w:t xml:space="preserve">the </w:t>
      </w:r>
      <w:r w:rsidR="009835D6">
        <w:rPr>
          <w:lang w:val="en-US"/>
        </w:rPr>
        <w:t>log scale</w:t>
      </w:r>
    </w:p>
    <w:p w14:paraId="4F10321A" w14:textId="6532AD73" w:rsidR="003D7893" w:rsidRDefault="003D7893" w:rsidP="000551D3">
      <w:pPr>
        <w:jc w:val="both"/>
        <w:rPr>
          <w:lang w:val="en-US"/>
        </w:rPr>
      </w:pPr>
    </w:p>
    <w:p w14:paraId="41B597E0" w14:textId="2E5E830D" w:rsidR="003D7893" w:rsidRDefault="003D7893" w:rsidP="000551D3">
      <w:pPr>
        <w:jc w:val="both"/>
        <w:rPr>
          <w:lang w:val="en-US"/>
        </w:rPr>
      </w:pPr>
    </w:p>
    <w:p w14:paraId="2EFF67DF" w14:textId="259E548F" w:rsidR="003D7893" w:rsidRDefault="00CE6527" w:rsidP="000551D3">
      <w:pPr>
        <w:jc w:val="both"/>
        <w:rPr>
          <w:lang w:val="en-US"/>
        </w:rPr>
      </w:pPr>
      <w:r>
        <w:rPr>
          <w:lang w:val="en-US"/>
        </w:rPr>
        <w:lastRenderedPageBreak/>
        <w:t>The end</w:t>
      </w:r>
      <w:r w:rsidR="003D7893">
        <w:rPr>
          <w:lang w:val="en-US"/>
        </w:rPr>
        <w:t xml:space="preserve"> of the first wave was observed on 2020-10-04</w:t>
      </w:r>
      <w:r w:rsidR="005669AC">
        <w:rPr>
          <w:lang w:val="en-US"/>
        </w:rPr>
        <w:t xml:space="preserve">. The calibrated stochastic model simulation of the isolated first wave is shown in figure 02, along with the observed cumulative caseload. </w:t>
      </w:r>
    </w:p>
    <w:p w14:paraId="127E357C" w14:textId="13E2C776" w:rsidR="003D7893" w:rsidRDefault="003D7893" w:rsidP="000551D3">
      <w:pPr>
        <w:jc w:val="both"/>
        <w:rPr>
          <w:lang w:val="en-US"/>
        </w:rPr>
      </w:pPr>
    </w:p>
    <w:p w14:paraId="7E0AC3E5" w14:textId="50C3F9C1" w:rsidR="003035E7" w:rsidRDefault="003035E7" w:rsidP="000551D3">
      <w:pPr>
        <w:jc w:val="both"/>
        <w:rPr>
          <w:lang w:val="en-US"/>
        </w:rPr>
      </w:pPr>
      <w:r w:rsidRPr="003035E7">
        <w:rPr>
          <w:noProof/>
          <w:lang w:val="en-US"/>
        </w:rPr>
        <w:drawing>
          <wp:anchor distT="0" distB="0" distL="114300" distR="114300" simplePos="0" relativeHeight="251661312" behindDoc="0" locked="0" layoutInCell="1" allowOverlap="1" wp14:anchorId="09513CFB" wp14:editId="0C9D10D3">
            <wp:simplePos x="0" y="0"/>
            <wp:positionH relativeFrom="column">
              <wp:posOffset>0</wp:posOffset>
            </wp:positionH>
            <wp:positionV relativeFrom="paragraph">
              <wp:posOffset>180975</wp:posOffset>
            </wp:positionV>
            <wp:extent cx="4457700" cy="264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700" cy="2641600"/>
                    </a:xfrm>
                    <a:prstGeom prst="rect">
                      <a:avLst/>
                    </a:prstGeom>
                  </pic:spPr>
                </pic:pic>
              </a:graphicData>
            </a:graphic>
          </wp:anchor>
        </w:drawing>
      </w:r>
    </w:p>
    <w:p w14:paraId="4030EDB6" w14:textId="7991C233" w:rsidR="003D7893" w:rsidRDefault="003035E7" w:rsidP="000551D3">
      <w:pPr>
        <w:jc w:val="both"/>
        <w:rPr>
          <w:lang w:val="en-US"/>
        </w:rPr>
      </w:pPr>
      <w:r>
        <w:rPr>
          <w:lang w:val="en-US"/>
        </w:rPr>
        <w:t>The observed cumulative caseload vs stochastic model predictions for the first wave</w:t>
      </w:r>
    </w:p>
    <w:p w14:paraId="0BDA4C6C" w14:textId="50B284A1" w:rsidR="003035E7" w:rsidRDefault="003035E7" w:rsidP="000551D3">
      <w:pPr>
        <w:jc w:val="both"/>
        <w:rPr>
          <w:lang w:val="en-US"/>
        </w:rPr>
      </w:pPr>
    </w:p>
    <w:p w14:paraId="0CED50B9" w14:textId="098E61D3" w:rsidR="003035E7" w:rsidRDefault="003035E7" w:rsidP="000551D3">
      <w:pPr>
        <w:jc w:val="both"/>
        <w:rPr>
          <w:lang w:val="en-US"/>
        </w:rPr>
      </w:pPr>
      <w:r>
        <w:rPr>
          <w:lang w:val="en-US"/>
        </w:rPr>
        <w:t>The pattern of vaccination</w:t>
      </w:r>
      <w:r w:rsidR="003A76CE">
        <w:rPr>
          <w:lang w:val="en-US"/>
        </w:rPr>
        <w:t xml:space="preserve"> </w:t>
      </w:r>
      <w:r w:rsidR="002573A0">
        <w:rPr>
          <w:lang w:val="en-US"/>
        </w:rPr>
        <w:t>is shown in figure 03.</w:t>
      </w:r>
    </w:p>
    <w:p w14:paraId="76994D36" w14:textId="7233F578" w:rsidR="003035E7" w:rsidRDefault="003035E7" w:rsidP="000551D3">
      <w:pPr>
        <w:jc w:val="both"/>
        <w:rPr>
          <w:lang w:val="en-US"/>
        </w:rPr>
      </w:pPr>
    </w:p>
    <w:p w14:paraId="4E5CE950" w14:textId="2E637102" w:rsidR="003035E7" w:rsidRDefault="003A76CE" w:rsidP="000551D3">
      <w:pPr>
        <w:jc w:val="both"/>
        <w:rPr>
          <w:lang w:val="en-US"/>
        </w:rPr>
      </w:pPr>
      <w:r w:rsidRPr="003A76CE">
        <w:rPr>
          <w:noProof/>
          <w:lang w:val="en-US"/>
        </w:rPr>
        <w:drawing>
          <wp:inline distT="0" distB="0" distL="0" distR="0" wp14:anchorId="25D3DEAE" wp14:editId="3FFB7FD2">
            <wp:extent cx="4457700" cy="264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57700" cy="2641600"/>
                    </a:xfrm>
                    <a:prstGeom prst="rect">
                      <a:avLst/>
                    </a:prstGeom>
                  </pic:spPr>
                </pic:pic>
              </a:graphicData>
            </a:graphic>
          </wp:inline>
        </w:drawing>
      </w:r>
    </w:p>
    <w:p w14:paraId="37F32BC6" w14:textId="06E320CD" w:rsidR="005665D6" w:rsidRDefault="005665D6" w:rsidP="000551D3">
      <w:pPr>
        <w:jc w:val="both"/>
        <w:rPr>
          <w:lang w:val="en-US"/>
        </w:rPr>
      </w:pPr>
    </w:p>
    <w:p w14:paraId="3A72E94A" w14:textId="77777777" w:rsidR="00F235DD" w:rsidRDefault="00F235DD" w:rsidP="000551D3">
      <w:pPr>
        <w:jc w:val="both"/>
        <w:rPr>
          <w:lang w:val="en-US"/>
        </w:rPr>
      </w:pPr>
    </w:p>
    <w:p w14:paraId="0BAA8E88" w14:textId="03CCC415" w:rsidR="005665D6" w:rsidRDefault="005665D6" w:rsidP="000551D3">
      <w:pPr>
        <w:jc w:val="both"/>
        <w:rPr>
          <w:lang w:val="en-US"/>
        </w:rPr>
      </w:pPr>
      <w:r>
        <w:rPr>
          <w:lang w:val="en-US"/>
        </w:rPr>
        <w:t>The observed caseload in the third wave after initiation of vaccination</w:t>
      </w:r>
      <w:r w:rsidR="00395118">
        <w:rPr>
          <w:lang w:val="en-US"/>
        </w:rPr>
        <w:t xml:space="preserve"> </w:t>
      </w:r>
      <w:r w:rsidR="00737983">
        <w:rPr>
          <w:lang w:val="en-US"/>
        </w:rPr>
        <w:t>and the</w:t>
      </w:r>
      <w:r w:rsidR="00395118">
        <w:rPr>
          <w:lang w:val="en-US"/>
        </w:rPr>
        <w:t xml:space="preserve"> model estimations</w:t>
      </w:r>
      <w:r w:rsidR="00737983">
        <w:rPr>
          <w:lang w:val="en-US"/>
        </w:rPr>
        <w:t xml:space="preserve"> are plotted in figure 04.</w:t>
      </w:r>
    </w:p>
    <w:p w14:paraId="0E3F110A" w14:textId="247D6DF9" w:rsidR="002579D4" w:rsidRDefault="002579D4" w:rsidP="000551D3">
      <w:pPr>
        <w:jc w:val="both"/>
        <w:rPr>
          <w:lang w:val="en-US"/>
        </w:rPr>
      </w:pPr>
    </w:p>
    <w:p w14:paraId="7AF0ABEA" w14:textId="77F4A4D1" w:rsidR="002579D4" w:rsidRDefault="00395118" w:rsidP="000551D3">
      <w:pPr>
        <w:jc w:val="both"/>
        <w:rPr>
          <w:lang w:val="en-US"/>
        </w:rPr>
      </w:pPr>
      <w:r w:rsidRPr="00395118">
        <w:rPr>
          <w:noProof/>
          <w:lang w:val="en-US"/>
        </w:rPr>
        <w:lastRenderedPageBreak/>
        <w:drawing>
          <wp:inline distT="0" distB="0" distL="0" distR="0" wp14:anchorId="18F1695D" wp14:editId="45CA2B87">
            <wp:extent cx="4457700" cy="264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57700" cy="2641600"/>
                    </a:xfrm>
                    <a:prstGeom prst="rect">
                      <a:avLst/>
                    </a:prstGeom>
                  </pic:spPr>
                </pic:pic>
              </a:graphicData>
            </a:graphic>
          </wp:inline>
        </w:drawing>
      </w:r>
    </w:p>
    <w:p w14:paraId="780B9137" w14:textId="29735A28" w:rsidR="009C1659" w:rsidRDefault="009C1659" w:rsidP="000551D3">
      <w:pPr>
        <w:jc w:val="both"/>
        <w:rPr>
          <w:lang w:val="en-US"/>
        </w:rPr>
      </w:pPr>
      <w:r>
        <w:rPr>
          <w:lang w:val="en-US"/>
        </w:rPr>
        <w:t xml:space="preserve">The model estimated vaccine efficacy for </w:t>
      </w:r>
      <w:r w:rsidR="00B17FC9">
        <w:rPr>
          <w:lang w:val="en-US"/>
        </w:rPr>
        <w:t>transmission-blocking</w:t>
      </w:r>
      <w:r>
        <w:rPr>
          <w:lang w:val="en-US"/>
        </w:rPr>
        <w:t xml:space="preserve"> was 42.06%.</w:t>
      </w:r>
    </w:p>
    <w:p w14:paraId="490FD3E5" w14:textId="7F40C7E9" w:rsidR="000113B8" w:rsidRDefault="000113B8" w:rsidP="000551D3">
      <w:pPr>
        <w:jc w:val="both"/>
        <w:rPr>
          <w:lang w:val="en-US"/>
        </w:rPr>
      </w:pPr>
    </w:p>
    <w:p w14:paraId="73424009" w14:textId="7523E492" w:rsidR="000113B8" w:rsidRPr="00A875BD" w:rsidRDefault="00B17FC9" w:rsidP="000551D3">
      <w:pPr>
        <w:jc w:val="both"/>
        <w:rPr>
          <w:lang w:val="en-US"/>
        </w:rPr>
      </w:pPr>
      <w:r>
        <w:rPr>
          <w:lang w:val="en-US"/>
        </w:rPr>
        <w:t>The estimated</w:t>
      </w:r>
      <w:r w:rsidR="000113B8">
        <w:rPr>
          <w:lang w:val="en-US"/>
        </w:rPr>
        <w:t xml:space="preserve"> cumulative caseload in different vaccine efficacies, if the pattern of vaccination coverage was the same</w:t>
      </w:r>
      <w:r w:rsidR="00583577">
        <w:rPr>
          <w:lang w:val="en-US"/>
        </w:rPr>
        <w:t>,</w:t>
      </w:r>
      <w:r w:rsidR="00737983">
        <w:rPr>
          <w:lang w:val="en-US"/>
        </w:rPr>
        <w:t xml:space="preserve"> </w:t>
      </w:r>
      <w:r w:rsidR="00583577">
        <w:rPr>
          <w:lang w:val="en-US"/>
        </w:rPr>
        <w:t>is</w:t>
      </w:r>
      <w:r w:rsidR="00737983">
        <w:rPr>
          <w:lang w:val="en-US"/>
        </w:rPr>
        <w:t xml:space="preserve"> shown in figure 05</w:t>
      </w:r>
      <w:r w:rsidR="00A2262A">
        <w:rPr>
          <w:lang w:val="en-US"/>
        </w:rPr>
        <w:t>.</w:t>
      </w:r>
    </w:p>
    <w:p w14:paraId="7F63F0C4" w14:textId="6ECEED94" w:rsidR="00F235DD" w:rsidRDefault="00F235DD" w:rsidP="000551D3">
      <w:pPr>
        <w:jc w:val="both"/>
        <w:rPr>
          <w:lang w:val="en-US"/>
        </w:rPr>
      </w:pPr>
    </w:p>
    <w:p w14:paraId="137D37B0" w14:textId="7B15C8B8" w:rsidR="009C1659" w:rsidRDefault="009C1659" w:rsidP="000551D3">
      <w:pPr>
        <w:jc w:val="both"/>
        <w:rPr>
          <w:lang w:val="en-US"/>
        </w:rPr>
      </w:pPr>
    </w:p>
    <w:p w14:paraId="0DC24444" w14:textId="15318308" w:rsidR="00270F6D" w:rsidRDefault="00270F6D" w:rsidP="000551D3">
      <w:pPr>
        <w:jc w:val="both"/>
        <w:rPr>
          <w:lang w:val="en-US"/>
        </w:rPr>
      </w:pPr>
      <w:r>
        <w:rPr>
          <w:noProof/>
          <w:lang w:val="en-US"/>
        </w:rPr>
        <w:drawing>
          <wp:inline distT="0" distB="0" distL="0" distR="0" wp14:anchorId="06351FB6" wp14:editId="419287F3">
            <wp:extent cx="5731198"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198" cy="3044825"/>
                    </a:xfrm>
                    <a:prstGeom prst="rect">
                      <a:avLst/>
                    </a:prstGeom>
                  </pic:spPr>
                </pic:pic>
              </a:graphicData>
            </a:graphic>
          </wp:inline>
        </w:drawing>
      </w:r>
    </w:p>
    <w:p w14:paraId="277C89AC" w14:textId="6FBA5510" w:rsidR="00197F97" w:rsidRDefault="00197F97" w:rsidP="000551D3">
      <w:pPr>
        <w:jc w:val="both"/>
        <w:rPr>
          <w:lang w:val="en-US"/>
        </w:rPr>
      </w:pPr>
    </w:p>
    <w:p w14:paraId="5A5E2EE3" w14:textId="7D04BB15" w:rsidR="00197F97" w:rsidRDefault="00197F97" w:rsidP="000551D3">
      <w:pPr>
        <w:jc w:val="both"/>
        <w:rPr>
          <w:lang w:val="en-US"/>
        </w:rPr>
      </w:pPr>
      <w:r>
        <w:rPr>
          <w:lang w:val="en-US"/>
        </w:rPr>
        <w:t>Estimated cumulative caseloads under different vaccine coverages</w:t>
      </w:r>
      <w:r w:rsidR="00737983">
        <w:rPr>
          <w:lang w:val="en-US"/>
        </w:rPr>
        <w:t xml:space="preserve"> when the transmission-blocking efficacy is held constant at the model estimate are shown in figure</w:t>
      </w:r>
      <w:r w:rsidR="00774263">
        <w:rPr>
          <w:lang w:val="en-US"/>
        </w:rPr>
        <w:t xml:space="preserve"> 06</w:t>
      </w:r>
      <w:r w:rsidR="00737983">
        <w:rPr>
          <w:lang w:val="en-US"/>
        </w:rPr>
        <w:t>.</w:t>
      </w:r>
    </w:p>
    <w:p w14:paraId="6F812780" w14:textId="77777777" w:rsidR="00862D11" w:rsidRDefault="00862D11" w:rsidP="000551D3">
      <w:pPr>
        <w:jc w:val="both"/>
        <w:rPr>
          <w:lang w:val="en-US"/>
        </w:rPr>
      </w:pPr>
    </w:p>
    <w:p w14:paraId="66954537" w14:textId="078D32F0" w:rsidR="00197F97" w:rsidRDefault="00197F97" w:rsidP="000551D3">
      <w:pPr>
        <w:jc w:val="both"/>
        <w:rPr>
          <w:lang w:val="en-US"/>
        </w:rPr>
      </w:pPr>
    </w:p>
    <w:p w14:paraId="4EE7E080" w14:textId="1A50128C" w:rsidR="00197F97" w:rsidRDefault="00862D11" w:rsidP="000551D3">
      <w:pPr>
        <w:jc w:val="both"/>
        <w:rPr>
          <w:lang w:val="en-US"/>
        </w:rPr>
      </w:pPr>
      <w:r>
        <w:rPr>
          <w:noProof/>
          <w:lang w:val="en-US"/>
        </w:rPr>
        <w:lastRenderedPageBreak/>
        <w:drawing>
          <wp:inline distT="0" distB="0" distL="0" distR="0" wp14:anchorId="35730D54" wp14:editId="0FE2A32C">
            <wp:extent cx="5732969" cy="30456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969" cy="3045600"/>
                    </a:xfrm>
                    <a:prstGeom prst="rect">
                      <a:avLst/>
                    </a:prstGeom>
                  </pic:spPr>
                </pic:pic>
              </a:graphicData>
            </a:graphic>
          </wp:inline>
        </w:drawing>
      </w:r>
    </w:p>
    <w:p w14:paraId="0CE43557" w14:textId="29DF1217" w:rsidR="00B17FC9" w:rsidRDefault="00B17FC9" w:rsidP="000551D3">
      <w:pPr>
        <w:jc w:val="both"/>
        <w:rPr>
          <w:lang w:val="en-US"/>
        </w:rPr>
      </w:pPr>
    </w:p>
    <w:p w14:paraId="6AE0517B" w14:textId="77777777" w:rsidR="00B17FC9" w:rsidRDefault="00B17FC9" w:rsidP="000551D3">
      <w:pPr>
        <w:jc w:val="both"/>
        <w:rPr>
          <w:lang w:val="en-US"/>
        </w:rPr>
      </w:pPr>
    </w:p>
    <w:p w14:paraId="6DC5BAC5" w14:textId="3AA2CACE" w:rsidR="00B17FC9" w:rsidRDefault="00B17FC9" w:rsidP="000551D3">
      <w:pPr>
        <w:jc w:val="both"/>
        <w:rPr>
          <w:lang w:val="en-US"/>
        </w:rPr>
      </w:pPr>
      <w:r>
        <w:rPr>
          <w:lang w:val="en-US"/>
        </w:rPr>
        <w:t>Discussions</w:t>
      </w:r>
    </w:p>
    <w:p w14:paraId="124B02B3" w14:textId="62B359E7" w:rsidR="00B17FC9" w:rsidRDefault="00B17FC9" w:rsidP="000551D3">
      <w:pPr>
        <w:jc w:val="both"/>
        <w:rPr>
          <w:lang w:val="en-US"/>
        </w:rPr>
      </w:pPr>
    </w:p>
    <w:p w14:paraId="158CDAB2" w14:textId="2E80EF64" w:rsidR="00B17FC9" w:rsidRDefault="00B17FC9" w:rsidP="000551D3">
      <w:pPr>
        <w:jc w:val="both"/>
        <w:rPr>
          <w:lang w:val="en-US"/>
        </w:rPr>
      </w:pPr>
      <w:r>
        <w:rPr>
          <w:lang w:val="en-US"/>
        </w:rPr>
        <w:t xml:space="preserve">The critical proportion of </w:t>
      </w:r>
      <w:r w:rsidR="00583577">
        <w:rPr>
          <w:lang w:val="en-US"/>
        </w:rPr>
        <w:t xml:space="preserve">the </w:t>
      </w:r>
      <w:r>
        <w:rPr>
          <w:lang w:val="en-US"/>
        </w:rPr>
        <w:t>population to be vaccinated</w:t>
      </w:r>
      <w:r w:rsidR="000069E3">
        <w:rPr>
          <w:lang w:val="en-US"/>
        </w:rPr>
        <w:t xml:space="preserve"> (p) </w:t>
      </w:r>
      <w:r w:rsidR="00583577">
        <w:rPr>
          <w:lang w:val="en-US"/>
        </w:rPr>
        <w:t>to</w:t>
      </w:r>
      <w:r>
        <w:rPr>
          <w:lang w:val="en-US"/>
        </w:rPr>
        <w:t xml:space="preserve"> curb the </w:t>
      </w:r>
      <w:r w:rsidR="0000673B">
        <w:rPr>
          <w:lang w:val="en-US"/>
        </w:rPr>
        <w:t>transmission can</w:t>
      </w:r>
      <w:r>
        <w:rPr>
          <w:lang w:val="en-US"/>
        </w:rPr>
        <w:t xml:space="preserve"> be calculated using the formula 01.</w:t>
      </w:r>
      <w:r w:rsidR="0000673B">
        <w:rPr>
          <w:lang w:val="en-US"/>
        </w:rPr>
        <w:t xml:space="preserve"> R0 is the basic reproduction number.</w:t>
      </w:r>
    </w:p>
    <w:p w14:paraId="219D3C31" w14:textId="281AF7F2" w:rsidR="00B17FC9" w:rsidRDefault="00B17FC9" w:rsidP="000551D3">
      <w:pPr>
        <w:jc w:val="both"/>
        <w:rPr>
          <w:lang w:val="en-US"/>
        </w:rPr>
      </w:pPr>
    </w:p>
    <w:p w14:paraId="2DA6D815" w14:textId="21423928" w:rsidR="00B17FC9" w:rsidRPr="00691328" w:rsidRDefault="00B17FC9" w:rsidP="000551D3">
      <w:pPr>
        <w:jc w:val="both"/>
        <w:rPr>
          <w:rFonts w:eastAsiaTheme="minorEastAsia"/>
          <w:lang w:val="en-US"/>
        </w:rPr>
      </w:pPr>
      <m:oMathPara>
        <m:oMath>
          <m:r>
            <w:rPr>
              <w:rFonts w:ascii="Cambria Math" w:hAnsi="Cambria Math"/>
              <w:lang w:val="en-US"/>
            </w:rPr>
            <m:t>p=</m:t>
          </m:r>
          <m:r>
            <w:rPr>
              <w:rFonts w:ascii="Cambria Math" w:hAnsi="Cambria Math"/>
              <w:lang w:val="en-US"/>
            </w:rPr>
            <m:t xml:space="preserve">1-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R0</m:t>
              </m:r>
            </m:den>
          </m:f>
        </m:oMath>
      </m:oMathPara>
    </w:p>
    <w:p w14:paraId="049786DB" w14:textId="441D326F" w:rsidR="00691328" w:rsidRDefault="00691328" w:rsidP="000551D3">
      <w:pPr>
        <w:jc w:val="both"/>
        <w:rPr>
          <w:rFonts w:eastAsiaTheme="minorEastAsia"/>
          <w:lang w:val="en-US"/>
        </w:rPr>
      </w:pPr>
    </w:p>
    <w:p w14:paraId="2F24B2FA" w14:textId="02FC1445" w:rsidR="00691328" w:rsidRDefault="00691328" w:rsidP="000551D3">
      <w:pPr>
        <w:jc w:val="both"/>
        <w:rPr>
          <w:rFonts w:eastAsiaTheme="minorEastAsia"/>
          <w:lang w:val="en-US"/>
        </w:rPr>
      </w:pPr>
      <w:r>
        <w:rPr>
          <w:rFonts w:eastAsiaTheme="minorEastAsia"/>
          <w:lang w:val="en-US"/>
        </w:rPr>
        <w:t>The variation of this critical p</w:t>
      </w:r>
      <w:r w:rsidR="00583577">
        <w:rPr>
          <w:rFonts w:eastAsiaTheme="minorEastAsia"/>
          <w:lang w:val="en-US"/>
        </w:rPr>
        <w:t>roportion</w:t>
      </w:r>
      <w:r>
        <w:rPr>
          <w:rFonts w:eastAsiaTheme="minorEastAsia"/>
          <w:lang w:val="en-US"/>
        </w:rPr>
        <w:t xml:space="preserve"> with R0 is shown in figure 07.</w:t>
      </w:r>
    </w:p>
    <w:p w14:paraId="1293F7EE" w14:textId="7C905D58" w:rsidR="00691328" w:rsidRDefault="00691328" w:rsidP="000551D3">
      <w:pPr>
        <w:jc w:val="both"/>
        <w:rPr>
          <w:rFonts w:eastAsiaTheme="minorEastAsia"/>
          <w:lang w:val="en-US"/>
        </w:rPr>
      </w:pPr>
    </w:p>
    <w:p w14:paraId="4959F2CD" w14:textId="393A9044" w:rsidR="00691328" w:rsidRDefault="00E050AD" w:rsidP="000551D3">
      <w:pPr>
        <w:jc w:val="both"/>
        <w:rPr>
          <w:rFonts w:eastAsiaTheme="minorEastAsia"/>
          <w:lang w:val="en-US"/>
        </w:rPr>
      </w:pPr>
      <w:r w:rsidRPr="00E050AD">
        <w:rPr>
          <w:rFonts w:eastAsiaTheme="minorEastAsia"/>
          <w:lang w:val="en-US"/>
        </w:rPr>
        <w:drawing>
          <wp:anchor distT="0" distB="0" distL="114300" distR="114300" simplePos="0" relativeHeight="251663360" behindDoc="0" locked="0" layoutInCell="1" allowOverlap="1" wp14:anchorId="16BD4E8E" wp14:editId="777B6CDB">
            <wp:simplePos x="0" y="0"/>
            <wp:positionH relativeFrom="column">
              <wp:posOffset>0</wp:posOffset>
            </wp:positionH>
            <wp:positionV relativeFrom="paragraph">
              <wp:posOffset>187960</wp:posOffset>
            </wp:positionV>
            <wp:extent cx="3962400" cy="2298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2298700"/>
                    </a:xfrm>
                    <a:prstGeom prst="rect">
                      <a:avLst/>
                    </a:prstGeom>
                  </pic:spPr>
                </pic:pic>
              </a:graphicData>
            </a:graphic>
          </wp:anchor>
        </w:drawing>
      </w:r>
    </w:p>
    <w:p w14:paraId="476BB199" w14:textId="77777777" w:rsidR="00691328" w:rsidRPr="000069E3" w:rsidRDefault="00691328" w:rsidP="000551D3">
      <w:pPr>
        <w:jc w:val="both"/>
        <w:rPr>
          <w:rFonts w:eastAsiaTheme="minorEastAsia"/>
          <w:lang w:val="en-US"/>
        </w:rPr>
      </w:pPr>
    </w:p>
    <w:p w14:paraId="34214CEC" w14:textId="76CC1A31" w:rsidR="000069E3" w:rsidRDefault="00166D4D" w:rsidP="000551D3">
      <w:pPr>
        <w:jc w:val="both"/>
        <w:rPr>
          <w:lang w:val="en-US"/>
        </w:rPr>
      </w:pPr>
      <w:r>
        <w:rPr>
          <w:lang w:val="en-US"/>
        </w:rPr>
        <w:t>The estimated basic reproduction number (R0) for the COVID-19 in Sri Lanka was 1.23 with a 95% confidence interval of 0.94 to 1.57.</w:t>
      </w:r>
      <w:r w:rsidR="00ED0379">
        <w:rPr>
          <w:rFonts w:eastAsiaTheme="minorEastAsia"/>
          <w:lang w:val="en-US"/>
        </w:rPr>
        <w:t xml:space="preserve"> </w:t>
      </w:r>
      <w:r w:rsidR="000069E3">
        <w:rPr>
          <w:lang w:val="en-US"/>
        </w:rPr>
        <w:t xml:space="preserve">Therefore, vaccinating only </w:t>
      </w:r>
      <w:r w:rsidR="00E050AD">
        <w:rPr>
          <w:lang w:val="en-US"/>
        </w:rPr>
        <w:t xml:space="preserve">18.6% (CI 0 – 36.3%) </w:t>
      </w:r>
      <w:r w:rsidR="000069E3">
        <w:rPr>
          <w:lang w:val="en-US"/>
        </w:rPr>
        <w:t xml:space="preserve">of the population should be sufficient </w:t>
      </w:r>
      <w:r w:rsidR="00E050AD">
        <w:rPr>
          <w:lang w:val="en-US"/>
        </w:rPr>
        <w:t>to control the spread of the disease.</w:t>
      </w:r>
      <w:r w:rsidR="00ED0379">
        <w:rPr>
          <w:lang w:val="en-US"/>
        </w:rPr>
        <w:t xml:space="preserve"> But the expected level of transmission control was not achieved even with </w:t>
      </w:r>
      <w:r w:rsidR="00744D6A">
        <w:rPr>
          <w:lang w:val="en-US"/>
        </w:rPr>
        <w:t xml:space="preserve">a </w:t>
      </w:r>
      <w:r w:rsidR="00ED0379">
        <w:rPr>
          <w:lang w:val="en-US"/>
        </w:rPr>
        <w:t xml:space="preserve">much higher proportion of full vaccination. This can be attributed to two reasons; lower than expected efficacy of vaccines for </w:t>
      </w:r>
      <w:r w:rsidR="00ED0379">
        <w:rPr>
          <w:lang w:val="en-US"/>
        </w:rPr>
        <w:lastRenderedPageBreak/>
        <w:t>blocking disease transmission and</w:t>
      </w:r>
      <w:r w:rsidR="00583577">
        <w:rPr>
          <w:lang w:val="en-US"/>
        </w:rPr>
        <w:t xml:space="preserve"> </w:t>
      </w:r>
      <w:r w:rsidR="0001082F">
        <w:rPr>
          <w:lang w:val="en-US"/>
        </w:rPr>
        <w:t xml:space="preserve">the </w:t>
      </w:r>
      <w:r w:rsidR="00583577">
        <w:rPr>
          <w:lang w:val="en-US"/>
        </w:rPr>
        <w:t xml:space="preserve">inability to apply classic epidemiological model assumptions to </w:t>
      </w:r>
      <w:r w:rsidR="00744D6A">
        <w:rPr>
          <w:lang w:val="en-US"/>
        </w:rPr>
        <w:t xml:space="preserve">the </w:t>
      </w:r>
      <w:r w:rsidR="00583577">
        <w:rPr>
          <w:lang w:val="en-US"/>
        </w:rPr>
        <w:t xml:space="preserve">COVID-19 pandemic. </w:t>
      </w:r>
    </w:p>
    <w:p w14:paraId="0F15AFB5" w14:textId="4E02676E" w:rsidR="00643BEB" w:rsidRDefault="00643BEB" w:rsidP="000551D3">
      <w:pPr>
        <w:jc w:val="both"/>
        <w:rPr>
          <w:lang w:val="en-US"/>
        </w:rPr>
      </w:pPr>
    </w:p>
    <w:p w14:paraId="4D46B509" w14:textId="2FFF50DF" w:rsidR="00643BEB" w:rsidRDefault="00142D6F" w:rsidP="000551D3">
      <w:pPr>
        <w:jc w:val="both"/>
        <w:rPr>
          <w:rFonts w:eastAsiaTheme="minorEastAsia"/>
          <w:lang w:val="en-US"/>
        </w:rPr>
      </w:pPr>
      <w:r>
        <w:rPr>
          <w:rFonts w:eastAsiaTheme="minorEastAsia"/>
          <w:lang w:val="en-US"/>
        </w:rPr>
        <w:t xml:space="preserve">The type of vaccine administered depended on the phase of the vaccination program and the geographical area. Additionally, special groups identified were provided with specific types of vaccines. The vaccines deployed were </w:t>
      </w:r>
      <w:r w:rsidR="00262330" w:rsidRPr="00262330">
        <w:rPr>
          <w:rFonts w:eastAsiaTheme="minorEastAsia"/>
          <w:lang w:val="en-US"/>
        </w:rPr>
        <w:t>Oxford–AstraZeneca</w:t>
      </w:r>
      <w:r w:rsidR="00262330">
        <w:rPr>
          <w:rFonts w:eastAsiaTheme="minorEastAsia"/>
          <w:lang w:val="en-US"/>
        </w:rPr>
        <w:t xml:space="preserve">, </w:t>
      </w:r>
      <w:r w:rsidR="00262330" w:rsidRPr="00262330">
        <w:rPr>
          <w:rFonts w:eastAsiaTheme="minorEastAsia"/>
          <w:lang w:val="en-US"/>
        </w:rPr>
        <w:t>Pfizer–BioNTech</w:t>
      </w:r>
      <w:r w:rsidR="00262330">
        <w:rPr>
          <w:rFonts w:eastAsiaTheme="minorEastAsia"/>
          <w:lang w:val="en-US"/>
        </w:rPr>
        <w:t xml:space="preserve">, </w:t>
      </w:r>
      <w:proofErr w:type="spellStart"/>
      <w:r w:rsidR="00262330" w:rsidRPr="00262330">
        <w:rPr>
          <w:rFonts w:eastAsiaTheme="minorEastAsia"/>
          <w:lang w:val="en-US"/>
        </w:rPr>
        <w:t>Sinopharm</w:t>
      </w:r>
      <w:proofErr w:type="spellEnd"/>
      <w:r w:rsidR="00262330" w:rsidRPr="00262330">
        <w:rPr>
          <w:rFonts w:eastAsiaTheme="minorEastAsia"/>
          <w:lang w:val="en-US"/>
        </w:rPr>
        <w:t xml:space="preserve"> BIBP</w:t>
      </w:r>
      <w:r w:rsidR="00262330">
        <w:rPr>
          <w:rFonts w:eastAsiaTheme="minorEastAsia"/>
          <w:lang w:val="en-US"/>
        </w:rPr>
        <w:t xml:space="preserve">, </w:t>
      </w:r>
      <w:r w:rsidR="00262330" w:rsidRPr="00262330">
        <w:rPr>
          <w:rFonts w:eastAsiaTheme="minorEastAsia"/>
          <w:lang w:val="en-US"/>
        </w:rPr>
        <w:t>Sputnik V</w:t>
      </w:r>
      <w:r w:rsidR="00262330">
        <w:rPr>
          <w:rFonts w:eastAsiaTheme="minorEastAsia"/>
          <w:lang w:val="en-US"/>
        </w:rPr>
        <w:t xml:space="preserve"> and</w:t>
      </w:r>
      <w:r w:rsidR="00262330" w:rsidRPr="00262330">
        <w:rPr>
          <w:rFonts w:eastAsiaTheme="minorEastAsia"/>
          <w:lang w:val="en-US"/>
        </w:rPr>
        <w:t xml:space="preserve"> </w:t>
      </w:r>
      <w:proofErr w:type="spellStart"/>
      <w:r w:rsidR="00262330" w:rsidRPr="00262330">
        <w:rPr>
          <w:rFonts w:eastAsiaTheme="minorEastAsia"/>
          <w:lang w:val="en-US"/>
        </w:rPr>
        <w:t>Moderna</w:t>
      </w:r>
      <w:proofErr w:type="spellEnd"/>
      <w:r w:rsidR="00262330">
        <w:rPr>
          <w:rFonts w:eastAsiaTheme="minorEastAsia"/>
          <w:lang w:val="en-US"/>
        </w:rPr>
        <w:t>.</w:t>
      </w:r>
      <w:r w:rsidR="00091430">
        <w:rPr>
          <w:rFonts w:eastAsiaTheme="minorEastAsia"/>
          <w:lang w:val="en-US"/>
        </w:rPr>
        <w:t xml:space="preserve"> The efficacies reported for each of these vaccines by randomized </w:t>
      </w:r>
      <w:r w:rsidR="00C73945">
        <w:rPr>
          <w:rFonts w:eastAsiaTheme="minorEastAsia"/>
          <w:lang w:val="en-US"/>
        </w:rPr>
        <w:t>placebo-controlled</w:t>
      </w:r>
      <w:r w:rsidR="00091430">
        <w:rPr>
          <w:rFonts w:eastAsiaTheme="minorEastAsia"/>
          <w:lang w:val="en-US"/>
        </w:rPr>
        <w:t xml:space="preserve"> studies are summarized in table 01.</w:t>
      </w:r>
    </w:p>
    <w:p w14:paraId="5C495634" w14:textId="047CDF96" w:rsidR="00C73945" w:rsidRDefault="00C73945" w:rsidP="000551D3">
      <w:pPr>
        <w:jc w:val="both"/>
        <w:rPr>
          <w:rFonts w:eastAsiaTheme="minorEastAsia"/>
          <w:lang w:val="en-US"/>
        </w:rPr>
      </w:pPr>
    </w:p>
    <w:tbl>
      <w:tblPr>
        <w:tblStyle w:val="TableGrid"/>
        <w:tblW w:w="0" w:type="auto"/>
        <w:tblLook w:val="04A0" w:firstRow="1" w:lastRow="0" w:firstColumn="1" w:lastColumn="0" w:noHBand="0" w:noVBand="1"/>
      </w:tblPr>
      <w:tblGrid>
        <w:gridCol w:w="3005"/>
        <w:gridCol w:w="3005"/>
        <w:gridCol w:w="3006"/>
      </w:tblGrid>
      <w:tr w:rsidR="00361FFB" w:rsidRPr="00361FFB" w14:paraId="3F4D0FF0" w14:textId="77777777" w:rsidTr="00361FFB">
        <w:tc>
          <w:tcPr>
            <w:tcW w:w="3005" w:type="dxa"/>
          </w:tcPr>
          <w:p w14:paraId="37B0306D" w14:textId="58512E30" w:rsidR="00361FFB" w:rsidRPr="00361FFB" w:rsidRDefault="00361FFB" w:rsidP="000551D3">
            <w:pPr>
              <w:jc w:val="both"/>
              <w:rPr>
                <w:rFonts w:eastAsiaTheme="minorEastAsia"/>
                <w:b/>
                <w:bCs/>
                <w:lang w:val="en-US"/>
              </w:rPr>
            </w:pPr>
            <w:r w:rsidRPr="00361FFB">
              <w:rPr>
                <w:rFonts w:eastAsiaTheme="minorEastAsia"/>
                <w:b/>
                <w:bCs/>
                <w:lang w:val="en-US"/>
              </w:rPr>
              <w:t>Institution</w:t>
            </w:r>
          </w:p>
        </w:tc>
        <w:tc>
          <w:tcPr>
            <w:tcW w:w="3005" w:type="dxa"/>
          </w:tcPr>
          <w:p w14:paraId="7D3EA640" w14:textId="773828A3" w:rsidR="00361FFB" w:rsidRPr="00361FFB" w:rsidRDefault="00361FFB" w:rsidP="000551D3">
            <w:pPr>
              <w:jc w:val="both"/>
              <w:rPr>
                <w:rFonts w:eastAsiaTheme="minorEastAsia"/>
                <w:b/>
                <w:bCs/>
                <w:lang w:val="en-US"/>
              </w:rPr>
            </w:pPr>
            <w:r w:rsidRPr="00361FFB">
              <w:rPr>
                <w:rFonts w:eastAsiaTheme="minorEastAsia"/>
                <w:b/>
                <w:bCs/>
                <w:lang w:val="en-US"/>
              </w:rPr>
              <w:t>Vaccine candidate</w:t>
            </w:r>
          </w:p>
        </w:tc>
        <w:tc>
          <w:tcPr>
            <w:tcW w:w="3006" w:type="dxa"/>
          </w:tcPr>
          <w:p w14:paraId="677CF197" w14:textId="3825764E" w:rsidR="00361FFB" w:rsidRPr="00361FFB" w:rsidRDefault="00361FFB" w:rsidP="000551D3">
            <w:pPr>
              <w:jc w:val="both"/>
              <w:rPr>
                <w:rFonts w:eastAsiaTheme="minorEastAsia"/>
                <w:b/>
                <w:bCs/>
                <w:lang w:val="en-US"/>
              </w:rPr>
            </w:pPr>
            <w:r w:rsidRPr="00361FFB">
              <w:rPr>
                <w:rFonts w:eastAsiaTheme="minorEastAsia"/>
                <w:b/>
                <w:bCs/>
                <w:lang w:val="en-US"/>
              </w:rPr>
              <w:t>Efficacy</w:t>
            </w:r>
          </w:p>
        </w:tc>
      </w:tr>
      <w:tr w:rsidR="00361FFB" w14:paraId="24ACBF9D" w14:textId="77777777" w:rsidTr="00361FFB">
        <w:tc>
          <w:tcPr>
            <w:tcW w:w="3005" w:type="dxa"/>
          </w:tcPr>
          <w:p w14:paraId="0A693B1D" w14:textId="5C4C9730" w:rsidR="00361FFB" w:rsidRDefault="00361FFB" w:rsidP="000551D3">
            <w:pPr>
              <w:jc w:val="both"/>
              <w:rPr>
                <w:rFonts w:eastAsiaTheme="minorEastAsia"/>
                <w:lang w:val="en-US"/>
              </w:rPr>
            </w:pPr>
            <w:r w:rsidRPr="00262330">
              <w:rPr>
                <w:rFonts w:eastAsiaTheme="minorEastAsia"/>
                <w:lang w:val="en-US"/>
              </w:rPr>
              <w:t>Pfizer–BioNTech</w:t>
            </w:r>
          </w:p>
        </w:tc>
        <w:tc>
          <w:tcPr>
            <w:tcW w:w="3005" w:type="dxa"/>
          </w:tcPr>
          <w:p w14:paraId="542A7E44" w14:textId="77777777" w:rsidR="000204D2" w:rsidRPr="000204D2" w:rsidRDefault="000204D2" w:rsidP="000204D2">
            <w:pPr>
              <w:jc w:val="both"/>
              <w:rPr>
                <w:rFonts w:eastAsiaTheme="minorEastAsia"/>
                <w:lang w:val="en-US"/>
              </w:rPr>
            </w:pPr>
            <w:proofErr w:type="spellStart"/>
            <w:r w:rsidRPr="000204D2">
              <w:rPr>
                <w:rFonts w:eastAsiaTheme="minorEastAsia"/>
                <w:lang w:val="en-US"/>
              </w:rPr>
              <w:t>Comirnaty</w:t>
            </w:r>
            <w:proofErr w:type="spellEnd"/>
            <w:r w:rsidRPr="000204D2">
              <w:rPr>
                <w:rFonts w:eastAsiaTheme="minorEastAsia"/>
                <w:lang w:val="en-US"/>
              </w:rPr>
              <w:t>/</w:t>
            </w:r>
          </w:p>
          <w:p w14:paraId="020D819C" w14:textId="7D3AD183" w:rsidR="00361FFB" w:rsidRDefault="000204D2" w:rsidP="000204D2">
            <w:pPr>
              <w:jc w:val="both"/>
              <w:rPr>
                <w:rFonts w:eastAsiaTheme="minorEastAsia"/>
                <w:lang w:val="en-US"/>
              </w:rPr>
            </w:pPr>
            <w:r w:rsidRPr="000204D2">
              <w:rPr>
                <w:rFonts w:eastAsiaTheme="minorEastAsia"/>
                <w:lang w:val="en-US"/>
              </w:rPr>
              <w:t>BNT162b2</w:t>
            </w:r>
          </w:p>
        </w:tc>
        <w:tc>
          <w:tcPr>
            <w:tcW w:w="3006" w:type="dxa"/>
          </w:tcPr>
          <w:p w14:paraId="5B31E861" w14:textId="0C154FDA" w:rsidR="00361FFB" w:rsidRDefault="005C7E20" w:rsidP="000551D3">
            <w:pPr>
              <w:jc w:val="both"/>
              <w:rPr>
                <w:rFonts w:eastAsiaTheme="minorEastAsia"/>
                <w:lang w:val="en-US"/>
              </w:rPr>
            </w:pPr>
            <w:r>
              <w:rPr>
                <w:rFonts w:eastAsiaTheme="minorEastAsia"/>
                <w:lang w:val="en-US"/>
              </w:rPr>
              <w:t>95%</w:t>
            </w:r>
          </w:p>
        </w:tc>
      </w:tr>
      <w:tr w:rsidR="00361FFB" w14:paraId="634BB761" w14:textId="77777777" w:rsidTr="00361FFB">
        <w:tc>
          <w:tcPr>
            <w:tcW w:w="3005" w:type="dxa"/>
          </w:tcPr>
          <w:p w14:paraId="123FA382" w14:textId="2700B683" w:rsidR="00361FFB" w:rsidRDefault="00361FFB" w:rsidP="000551D3">
            <w:pPr>
              <w:jc w:val="both"/>
              <w:rPr>
                <w:rFonts w:eastAsiaTheme="minorEastAsia"/>
                <w:lang w:val="en-US"/>
              </w:rPr>
            </w:pPr>
            <w:proofErr w:type="spellStart"/>
            <w:r w:rsidRPr="00262330">
              <w:rPr>
                <w:rFonts w:eastAsiaTheme="minorEastAsia"/>
                <w:lang w:val="en-US"/>
              </w:rPr>
              <w:t>Sinopharm</w:t>
            </w:r>
            <w:proofErr w:type="spellEnd"/>
          </w:p>
        </w:tc>
        <w:tc>
          <w:tcPr>
            <w:tcW w:w="3005" w:type="dxa"/>
          </w:tcPr>
          <w:p w14:paraId="2E7071EB" w14:textId="5EB1BD52" w:rsidR="00361FFB" w:rsidRDefault="000204D2" w:rsidP="000551D3">
            <w:pPr>
              <w:jc w:val="both"/>
              <w:rPr>
                <w:rFonts w:eastAsiaTheme="minorEastAsia"/>
                <w:lang w:val="en-US"/>
              </w:rPr>
            </w:pPr>
            <w:r w:rsidRPr="000204D2">
              <w:rPr>
                <w:rFonts w:eastAsiaTheme="minorEastAsia"/>
                <w:lang w:val="en-US"/>
              </w:rPr>
              <w:t>BBIBP-</w:t>
            </w:r>
            <w:proofErr w:type="spellStart"/>
            <w:r w:rsidRPr="000204D2">
              <w:rPr>
                <w:rFonts w:eastAsiaTheme="minorEastAsia"/>
                <w:lang w:val="en-US"/>
              </w:rPr>
              <w:t>CorV</w:t>
            </w:r>
            <w:proofErr w:type="spellEnd"/>
          </w:p>
        </w:tc>
        <w:tc>
          <w:tcPr>
            <w:tcW w:w="3006" w:type="dxa"/>
          </w:tcPr>
          <w:p w14:paraId="2ACF06FC" w14:textId="722C5DE7" w:rsidR="00361FFB" w:rsidRDefault="005C7E20" w:rsidP="000551D3">
            <w:pPr>
              <w:jc w:val="both"/>
              <w:rPr>
                <w:rFonts w:eastAsiaTheme="minorEastAsia"/>
                <w:lang w:val="en-US"/>
              </w:rPr>
            </w:pPr>
            <w:r w:rsidRPr="005C7E20">
              <w:rPr>
                <w:rFonts w:eastAsiaTheme="minorEastAsia"/>
                <w:lang w:val="en-US"/>
              </w:rPr>
              <w:t>50.65-83.5%</w:t>
            </w:r>
          </w:p>
        </w:tc>
      </w:tr>
      <w:tr w:rsidR="00361FFB" w14:paraId="2C2F4FD1" w14:textId="77777777" w:rsidTr="00361FFB">
        <w:tc>
          <w:tcPr>
            <w:tcW w:w="3005" w:type="dxa"/>
          </w:tcPr>
          <w:p w14:paraId="6AC6E92A" w14:textId="57AD4FCF" w:rsidR="00361FFB" w:rsidRDefault="00361FFB" w:rsidP="000551D3">
            <w:pPr>
              <w:jc w:val="both"/>
              <w:rPr>
                <w:rFonts w:eastAsiaTheme="minorEastAsia"/>
                <w:lang w:val="en-US"/>
              </w:rPr>
            </w:pPr>
            <w:r w:rsidRPr="00262330">
              <w:rPr>
                <w:rFonts w:eastAsiaTheme="minorEastAsia"/>
                <w:lang w:val="en-US"/>
              </w:rPr>
              <w:t>Oxford–AstraZeneca</w:t>
            </w:r>
          </w:p>
        </w:tc>
        <w:tc>
          <w:tcPr>
            <w:tcW w:w="3005" w:type="dxa"/>
          </w:tcPr>
          <w:p w14:paraId="6BEBE3CB" w14:textId="14A7E967" w:rsidR="00361FFB" w:rsidRDefault="000204D2" w:rsidP="000551D3">
            <w:pPr>
              <w:jc w:val="both"/>
              <w:rPr>
                <w:rFonts w:eastAsiaTheme="minorEastAsia"/>
                <w:lang w:val="en-US"/>
              </w:rPr>
            </w:pPr>
            <w:r w:rsidRPr="000204D2">
              <w:rPr>
                <w:rFonts w:eastAsiaTheme="minorEastAsia"/>
                <w:lang w:val="en-US"/>
              </w:rPr>
              <w:t>ADZ1222</w:t>
            </w:r>
          </w:p>
        </w:tc>
        <w:tc>
          <w:tcPr>
            <w:tcW w:w="3006" w:type="dxa"/>
          </w:tcPr>
          <w:p w14:paraId="538EE68B" w14:textId="434A6269" w:rsidR="00361FFB" w:rsidRDefault="005C7E20" w:rsidP="000551D3">
            <w:pPr>
              <w:jc w:val="both"/>
              <w:rPr>
                <w:rFonts w:eastAsiaTheme="minorEastAsia"/>
                <w:lang w:val="en-US"/>
              </w:rPr>
            </w:pPr>
            <w:r w:rsidRPr="005C7E20">
              <w:rPr>
                <w:rFonts w:eastAsiaTheme="minorEastAsia"/>
                <w:lang w:val="en-US"/>
              </w:rPr>
              <w:t>70%</w:t>
            </w:r>
          </w:p>
        </w:tc>
      </w:tr>
      <w:tr w:rsidR="00361FFB" w14:paraId="3545E6D9" w14:textId="77777777" w:rsidTr="00361FFB">
        <w:tc>
          <w:tcPr>
            <w:tcW w:w="3005" w:type="dxa"/>
          </w:tcPr>
          <w:p w14:paraId="2E15DF4A" w14:textId="6B81A59C" w:rsidR="00361FFB" w:rsidRPr="00361FFB" w:rsidRDefault="00361FFB" w:rsidP="00361FFB">
            <w:r>
              <w:t>Gamelaya Research Institute</w:t>
            </w:r>
          </w:p>
        </w:tc>
        <w:tc>
          <w:tcPr>
            <w:tcW w:w="3005" w:type="dxa"/>
          </w:tcPr>
          <w:p w14:paraId="1823F5F9" w14:textId="145CF027" w:rsidR="00361FFB" w:rsidRDefault="000204D2" w:rsidP="000551D3">
            <w:pPr>
              <w:jc w:val="both"/>
              <w:rPr>
                <w:rFonts w:eastAsiaTheme="minorEastAsia"/>
                <w:lang w:val="en-US"/>
              </w:rPr>
            </w:pPr>
            <w:r w:rsidRPr="000204D2">
              <w:rPr>
                <w:rFonts w:eastAsiaTheme="minorEastAsia"/>
                <w:lang w:val="en-US"/>
              </w:rPr>
              <w:t>Sputnik V</w:t>
            </w:r>
          </w:p>
        </w:tc>
        <w:tc>
          <w:tcPr>
            <w:tcW w:w="3006" w:type="dxa"/>
          </w:tcPr>
          <w:p w14:paraId="36A00E00" w14:textId="360C0CF3" w:rsidR="00361FFB" w:rsidRDefault="00F02501" w:rsidP="000551D3">
            <w:pPr>
              <w:jc w:val="both"/>
              <w:rPr>
                <w:rFonts w:eastAsiaTheme="minorEastAsia"/>
                <w:lang w:val="en-US"/>
              </w:rPr>
            </w:pPr>
            <w:r w:rsidRPr="00F02501">
              <w:rPr>
                <w:rFonts w:eastAsiaTheme="minorEastAsia"/>
                <w:lang w:val="en-US"/>
              </w:rPr>
              <w:t>91.6%</w:t>
            </w:r>
          </w:p>
        </w:tc>
      </w:tr>
      <w:tr w:rsidR="00361FFB" w14:paraId="28C61B26" w14:textId="77777777" w:rsidTr="00361FFB">
        <w:tc>
          <w:tcPr>
            <w:tcW w:w="3005" w:type="dxa"/>
          </w:tcPr>
          <w:p w14:paraId="3414013A" w14:textId="1AC2148D" w:rsidR="00361FFB" w:rsidRDefault="00361FFB" w:rsidP="00361FFB">
            <w:r>
              <w:t>Moderna</w:t>
            </w:r>
          </w:p>
        </w:tc>
        <w:tc>
          <w:tcPr>
            <w:tcW w:w="3005" w:type="dxa"/>
          </w:tcPr>
          <w:p w14:paraId="7E7FD699" w14:textId="0A993818" w:rsidR="00361FFB" w:rsidRDefault="008A44D2" w:rsidP="000551D3">
            <w:pPr>
              <w:jc w:val="both"/>
              <w:rPr>
                <w:rFonts w:eastAsiaTheme="minorEastAsia"/>
                <w:lang w:val="en-US"/>
              </w:rPr>
            </w:pPr>
            <w:r w:rsidRPr="008A44D2">
              <w:rPr>
                <w:rFonts w:eastAsiaTheme="minorEastAsia"/>
                <w:lang w:val="en-US"/>
              </w:rPr>
              <w:t>mRNA-1237</w:t>
            </w:r>
          </w:p>
        </w:tc>
        <w:tc>
          <w:tcPr>
            <w:tcW w:w="3006" w:type="dxa"/>
          </w:tcPr>
          <w:p w14:paraId="0958A532" w14:textId="24FD8D24" w:rsidR="00361FFB" w:rsidRDefault="00F02501" w:rsidP="000551D3">
            <w:pPr>
              <w:jc w:val="both"/>
              <w:rPr>
                <w:rFonts w:eastAsiaTheme="minorEastAsia"/>
                <w:lang w:val="en-US"/>
              </w:rPr>
            </w:pPr>
            <w:r w:rsidRPr="00F02501">
              <w:rPr>
                <w:rFonts w:eastAsiaTheme="minorEastAsia"/>
                <w:lang w:val="en-US"/>
              </w:rPr>
              <w:t>94.1%</w:t>
            </w:r>
          </w:p>
        </w:tc>
      </w:tr>
    </w:tbl>
    <w:p w14:paraId="459A3709" w14:textId="539A5EEC" w:rsidR="00C73945" w:rsidRDefault="00C73945" w:rsidP="000551D3">
      <w:pPr>
        <w:jc w:val="both"/>
        <w:rPr>
          <w:rFonts w:eastAsiaTheme="minorEastAsia"/>
          <w:lang w:val="en-US"/>
        </w:rPr>
      </w:pPr>
    </w:p>
    <w:p w14:paraId="64386BE2" w14:textId="1AB6E78F" w:rsidR="00E746EE" w:rsidRDefault="00E746EE" w:rsidP="000551D3">
      <w:pPr>
        <w:jc w:val="both"/>
        <w:rPr>
          <w:rFonts w:eastAsiaTheme="minorEastAsia"/>
          <w:lang w:val="en-US"/>
        </w:rPr>
      </w:pPr>
      <w:r>
        <w:rPr>
          <w:rFonts w:eastAsiaTheme="minorEastAsia"/>
          <w:lang w:val="en-US"/>
        </w:rPr>
        <w:t>In contrast, the retrospectively estimated overall efficacy of the vaccines by the stochastic model was only 42.06%</w:t>
      </w:r>
      <w:r w:rsidR="009E7F96">
        <w:rPr>
          <w:rFonts w:eastAsiaTheme="minorEastAsia"/>
          <w:lang w:val="en-US"/>
        </w:rPr>
        <w:t>.</w:t>
      </w:r>
    </w:p>
    <w:p w14:paraId="75DE0DEC" w14:textId="62C900AE" w:rsidR="009E7F96" w:rsidRDefault="009E7F96" w:rsidP="000551D3">
      <w:pPr>
        <w:jc w:val="both"/>
        <w:rPr>
          <w:rFonts w:eastAsiaTheme="minorEastAsia"/>
          <w:lang w:val="en-US"/>
        </w:rPr>
      </w:pPr>
    </w:p>
    <w:p w14:paraId="542C0D6B" w14:textId="1283E304" w:rsidR="009E7F96" w:rsidRPr="00ED0379" w:rsidRDefault="00824B7C" w:rsidP="000551D3">
      <w:pPr>
        <w:jc w:val="both"/>
        <w:rPr>
          <w:rFonts w:eastAsiaTheme="minorEastAsia"/>
          <w:lang w:val="en-US"/>
        </w:rPr>
      </w:pPr>
      <w:r>
        <w:rPr>
          <w:rFonts w:eastAsiaTheme="minorEastAsia"/>
          <w:lang w:val="en-US"/>
        </w:rPr>
        <w:t xml:space="preserve">The concept of herd immunity threshold can be explained through compartment epidemiological models. </w:t>
      </w:r>
      <w:r w:rsidR="00BA45EA">
        <w:rPr>
          <w:rFonts w:eastAsiaTheme="minorEastAsia"/>
          <w:lang w:val="en-US"/>
        </w:rPr>
        <w:t>They assume the population receives the vaccine before the onset of the epidemic and remains immune for life after vaccination. The vaccine is also assumed to be 100% effective in blocking the transmission. These assumptions are valid for a certain extent for diseases like measles, mumps and rubella, where vaccination is routinely carried out at an early stage in life</w:t>
      </w:r>
      <w:r w:rsidR="00A8358D">
        <w:rPr>
          <w:rFonts w:eastAsiaTheme="minorEastAsia"/>
          <w:lang w:val="en-US"/>
        </w:rPr>
        <w:t xml:space="preserve"> which mount long standing immunity.</w:t>
      </w:r>
      <w:r w:rsidR="00BA45EA">
        <w:rPr>
          <w:rFonts w:eastAsiaTheme="minorEastAsia"/>
          <w:lang w:val="en-US"/>
        </w:rPr>
        <w:t xml:space="preserve"> </w:t>
      </w:r>
    </w:p>
    <w:sectPr w:rsidR="009E7F96" w:rsidRPr="00ED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BD"/>
    <w:rsid w:val="0000673B"/>
    <w:rsid w:val="000069E3"/>
    <w:rsid w:val="0001082F"/>
    <w:rsid w:val="000113B8"/>
    <w:rsid w:val="000204D2"/>
    <w:rsid w:val="000551D3"/>
    <w:rsid w:val="00091430"/>
    <w:rsid w:val="00142D6F"/>
    <w:rsid w:val="00166D4D"/>
    <w:rsid w:val="00184788"/>
    <w:rsid w:val="0019247C"/>
    <w:rsid w:val="00197F97"/>
    <w:rsid w:val="00201AF9"/>
    <w:rsid w:val="00214080"/>
    <w:rsid w:val="002573A0"/>
    <w:rsid w:val="002579D4"/>
    <w:rsid w:val="00262330"/>
    <w:rsid w:val="00270F6D"/>
    <w:rsid w:val="003035E7"/>
    <w:rsid w:val="00304D09"/>
    <w:rsid w:val="0034371E"/>
    <w:rsid w:val="00361FFB"/>
    <w:rsid w:val="00395118"/>
    <w:rsid w:val="003A76CE"/>
    <w:rsid w:val="003B2563"/>
    <w:rsid w:val="003D7893"/>
    <w:rsid w:val="0041563F"/>
    <w:rsid w:val="0054106B"/>
    <w:rsid w:val="005665D6"/>
    <w:rsid w:val="005669AC"/>
    <w:rsid w:val="00573C98"/>
    <w:rsid w:val="00583577"/>
    <w:rsid w:val="005C7E20"/>
    <w:rsid w:val="005E73D6"/>
    <w:rsid w:val="00643BEB"/>
    <w:rsid w:val="00691328"/>
    <w:rsid w:val="006F0FE4"/>
    <w:rsid w:val="00737983"/>
    <w:rsid w:val="00744D6A"/>
    <w:rsid w:val="00774263"/>
    <w:rsid w:val="00824B7C"/>
    <w:rsid w:val="00862D11"/>
    <w:rsid w:val="00891BFD"/>
    <w:rsid w:val="0089535D"/>
    <w:rsid w:val="008A44D2"/>
    <w:rsid w:val="00937191"/>
    <w:rsid w:val="009835D6"/>
    <w:rsid w:val="00983BA4"/>
    <w:rsid w:val="00987A24"/>
    <w:rsid w:val="009B3A58"/>
    <w:rsid w:val="009C1659"/>
    <w:rsid w:val="009E7F96"/>
    <w:rsid w:val="00A2262A"/>
    <w:rsid w:val="00A7037F"/>
    <w:rsid w:val="00A8358D"/>
    <w:rsid w:val="00A875BD"/>
    <w:rsid w:val="00B17DC7"/>
    <w:rsid w:val="00B17FC9"/>
    <w:rsid w:val="00B80968"/>
    <w:rsid w:val="00BA45EA"/>
    <w:rsid w:val="00C67BBF"/>
    <w:rsid w:val="00C73945"/>
    <w:rsid w:val="00CE6527"/>
    <w:rsid w:val="00D60447"/>
    <w:rsid w:val="00E050AD"/>
    <w:rsid w:val="00E746EE"/>
    <w:rsid w:val="00EC373D"/>
    <w:rsid w:val="00ED0379"/>
    <w:rsid w:val="00EE381F"/>
    <w:rsid w:val="00F02501"/>
    <w:rsid w:val="00F235DD"/>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6D9E4CED"/>
  <w15:chartTrackingRefBased/>
  <w15:docId w15:val="{62776B89-CC3A-B24C-993F-E1CBF2F0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F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FC9"/>
    <w:rPr>
      <w:color w:val="808080"/>
    </w:rPr>
  </w:style>
  <w:style w:type="table" w:styleId="TableGrid">
    <w:name w:val="Table Grid"/>
    <w:basedOn w:val="TableNormal"/>
    <w:uiPriority w:val="39"/>
    <w:rsid w:val="00361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312">
      <w:bodyDiv w:val="1"/>
      <w:marLeft w:val="0"/>
      <w:marRight w:val="0"/>
      <w:marTop w:val="0"/>
      <w:marBottom w:val="0"/>
      <w:divBdr>
        <w:top w:val="none" w:sz="0" w:space="0" w:color="auto"/>
        <w:left w:val="none" w:sz="0" w:space="0" w:color="auto"/>
        <w:bottom w:val="none" w:sz="0" w:space="0" w:color="auto"/>
        <w:right w:val="none" w:sz="0" w:space="0" w:color="auto"/>
      </w:divBdr>
    </w:div>
    <w:div w:id="73599799">
      <w:bodyDiv w:val="1"/>
      <w:marLeft w:val="0"/>
      <w:marRight w:val="0"/>
      <w:marTop w:val="0"/>
      <w:marBottom w:val="0"/>
      <w:divBdr>
        <w:top w:val="none" w:sz="0" w:space="0" w:color="auto"/>
        <w:left w:val="none" w:sz="0" w:space="0" w:color="auto"/>
        <w:bottom w:val="none" w:sz="0" w:space="0" w:color="auto"/>
        <w:right w:val="none" w:sz="0" w:space="0" w:color="auto"/>
      </w:divBdr>
    </w:div>
    <w:div w:id="374937137">
      <w:bodyDiv w:val="1"/>
      <w:marLeft w:val="0"/>
      <w:marRight w:val="0"/>
      <w:marTop w:val="0"/>
      <w:marBottom w:val="0"/>
      <w:divBdr>
        <w:top w:val="none" w:sz="0" w:space="0" w:color="auto"/>
        <w:left w:val="none" w:sz="0" w:space="0" w:color="auto"/>
        <w:bottom w:val="none" w:sz="0" w:space="0" w:color="auto"/>
        <w:right w:val="none" w:sz="0" w:space="0" w:color="auto"/>
      </w:divBdr>
    </w:div>
    <w:div w:id="548877965">
      <w:bodyDiv w:val="1"/>
      <w:marLeft w:val="0"/>
      <w:marRight w:val="0"/>
      <w:marTop w:val="0"/>
      <w:marBottom w:val="0"/>
      <w:divBdr>
        <w:top w:val="none" w:sz="0" w:space="0" w:color="auto"/>
        <w:left w:val="none" w:sz="0" w:space="0" w:color="auto"/>
        <w:bottom w:val="none" w:sz="0" w:space="0" w:color="auto"/>
        <w:right w:val="none" w:sz="0" w:space="0" w:color="auto"/>
      </w:divBdr>
    </w:div>
    <w:div w:id="557400329">
      <w:bodyDiv w:val="1"/>
      <w:marLeft w:val="0"/>
      <w:marRight w:val="0"/>
      <w:marTop w:val="0"/>
      <w:marBottom w:val="0"/>
      <w:divBdr>
        <w:top w:val="none" w:sz="0" w:space="0" w:color="auto"/>
        <w:left w:val="none" w:sz="0" w:space="0" w:color="auto"/>
        <w:bottom w:val="none" w:sz="0" w:space="0" w:color="auto"/>
        <w:right w:val="none" w:sz="0" w:space="0" w:color="auto"/>
      </w:divBdr>
    </w:div>
    <w:div w:id="667176154">
      <w:bodyDiv w:val="1"/>
      <w:marLeft w:val="0"/>
      <w:marRight w:val="0"/>
      <w:marTop w:val="0"/>
      <w:marBottom w:val="0"/>
      <w:divBdr>
        <w:top w:val="none" w:sz="0" w:space="0" w:color="auto"/>
        <w:left w:val="none" w:sz="0" w:space="0" w:color="auto"/>
        <w:bottom w:val="none" w:sz="0" w:space="0" w:color="auto"/>
        <w:right w:val="none" w:sz="0" w:space="0" w:color="auto"/>
      </w:divBdr>
    </w:div>
    <w:div w:id="883715019">
      <w:bodyDiv w:val="1"/>
      <w:marLeft w:val="0"/>
      <w:marRight w:val="0"/>
      <w:marTop w:val="0"/>
      <w:marBottom w:val="0"/>
      <w:divBdr>
        <w:top w:val="none" w:sz="0" w:space="0" w:color="auto"/>
        <w:left w:val="none" w:sz="0" w:space="0" w:color="auto"/>
        <w:bottom w:val="none" w:sz="0" w:space="0" w:color="auto"/>
        <w:right w:val="none" w:sz="0" w:space="0" w:color="auto"/>
      </w:divBdr>
    </w:div>
    <w:div w:id="991908171">
      <w:bodyDiv w:val="1"/>
      <w:marLeft w:val="0"/>
      <w:marRight w:val="0"/>
      <w:marTop w:val="0"/>
      <w:marBottom w:val="0"/>
      <w:divBdr>
        <w:top w:val="none" w:sz="0" w:space="0" w:color="auto"/>
        <w:left w:val="none" w:sz="0" w:space="0" w:color="auto"/>
        <w:bottom w:val="none" w:sz="0" w:space="0" w:color="auto"/>
        <w:right w:val="none" w:sz="0" w:space="0" w:color="auto"/>
      </w:divBdr>
    </w:div>
    <w:div w:id="1002123899">
      <w:bodyDiv w:val="1"/>
      <w:marLeft w:val="0"/>
      <w:marRight w:val="0"/>
      <w:marTop w:val="0"/>
      <w:marBottom w:val="0"/>
      <w:divBdr>
        <w:top w:val="none" w:sz="0" w:space="0" w:color="auto"/>
        <w:left w:val="none" w:sz="0" w:space="0" w:color="auto"/>
        <w:bottom w:val="none" w:sz="0" w:space="0" w:color="auto"/>
        <w:right w:val="none" w:sz="0" w:space="0" w:color="auto"/>
      </w:divBdr>
    </w:div>
    <w:div w:id="1174806399">
      <w:bodyDiv w:val="1"/>
      <w:marLeft w:val="0"/>
      <w:marRight w:val="0"/>
      <w:marTop w:val="0"/>
      <w:marBottom w:val="0"/>
      <w:divBdr>
        <w:top w:val="none" w:sz="0" w:space="0" w:color="auto"/>
        <w:left w:val="none" w:sz="0" w:space="0" w:color="auto"/>
        <w:bottom w:val="none" w:sz="0" w:space="0" w:color="auto"/>
        <w:right w:val="none" w:sz="0" w:space="0" w:color="auto"/>
      </w:divBdr>
    </w:div>
    <w:div w:id="1286810258">
      <w:bodyDiv w:val="1"/>
      <w:marLeft w:val="0"/>
      <w:marRight w:val="0"/>
      <w:marTop w:val="0"/>
      <w:marBottom w:val="0"/>
      <w:divBdr>
        <w:top w:val="none" w:sz="0" w:space="0" w:color="auto"/>
        <w:left w:val="none" w:sz="0" w:space="0" w:color="auto"/>
        <w:bottom w:val="none" w:sz="0" w:space="0" w:color="auto"/>
        <w:right w:val="none" w:sz="0" w:space="0" w:color="auto"/>
      </w:divBdr>
    </w:div>
    <w:div w:id="1328358931">
      <w:bodyDiv w:val="1"/>
      <w:marLeft w:val="0"/>
      <w:marRight w:val="0"/>
      <w:marTop w:val="0"/>
      <w:marBottom w:val="0"/>
      <w:divBdr>
        <w:top w:val="none" w:sz="0" w:space="0" w:color="auto"/>
        <w:left w:val="none" w:sz="0" w:space="0" w:color="auto"/>
        <w:bottom w:val="none" w:sz="0" w:space="0" w:color="auto"/>
        <w:right w:val="none" w:sz="0" w:space="0" w:color="auto"/>
      </w:divBdr>
    </w:div>
    <w:div w:id="1421097775">
      <w:bodyDiv w:val="1"/>
      <w:marLeft w:val="0"/>
      <w:marRight w:val="0"/>
      <w:marTop w:val="0"/>
      <w:marBottom w:val="0"/>
      <w:divBdr>
        <w:top w:val="none" w:sz="0" w:space="0" w:color="auto"/>
        <w:left w:val="none" w:sz="0" w:space="0" w:color="auto"/>
        <w:bottom w:val="none" w:sz="0" w:space="0" w:color="auto"/>
        <w:right w:val="none" w:sz="0" w:space="0" w:color="auto"/>
      </w:divBdr>
    </w:div>
    <w:div w:id="1618416051">
      <w:bodyDiv w:val="1"/>
      <w:marLeft w:val="0"/>
      <w:marRight w:val="0"/>
      <w:marTop w:val="0"/>
      <w:marBottom w:val="0"/>
      <w:divBdr>
        <w:top w:val="none" w:sz="0" w:space="0" w:color="auto"/>
        <w:left w:val="none" w:sz="0" w:space="0" w:color="auto"/>
        <w:bottom w:val="none" w:sz="0" w:space="0" w:color="auto"/>
        <w:right w:val="none" w:sz="0" w:space="0" w:color="auto"/>
      </w:divBdr>
    </w:div>
    <w:div w:id="1656492119">
      <w:bodyDiv w:val="1"/>
      <w:marLeft w:val="0"/>
      <w:marRight w:val="0"/>
      <w:marTop w:val="0"/>
      <w:marBottom w:val="0"/>
      <w:divBdr>
        <w:top w:val="none" w:sz="0" w:space="0" w:color="auto"/>
        <w:left w:val="none" w:sz="0" w:space="0" w:color="auto"/>
        <w:bottom w:val="none" w:sz="0" w:space="0" w:color="auto"/>
        <w:right w:val="none" w:sz="0" w:space="0" w:color="auto"/>
      </w:divBdr>
    </w:div>
    <w:div w:id="19310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96E15E-5685-4F47-980F-E764FC652095}">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277</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2022-05-25T13:18:00Z</dcterms:created>
  <dcterms:modified xsi:type="dcterms:W3CDTF">2022-06-16T14:43:00Z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documentId_3148</vt:lpwstr>
  </property>
  <property fmtid="{D5CDD505-2E9C-101B-9397-08002B2CF9AE}" pid="3" name="grammarly_documentContext">
    <vt:lpwstr>{"goals":[],"domain":"general","emotions":[],"dialect":"british"}</vt:lpwstr>
  </property>
</Properties>
</file>