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COMPUTIS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DESIGN SYSTEM CONSISTENCY AUDIT</w:t>
      </w:r>
    </w:p>
    <w:p>
      <w:pPr>
        <w:pBdr>
          <w:top w:val="single" w:color="D4AF37" w:sz="8" w:space="8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Comprehensive UI/UX Findings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&amp; Design System Recommendations Guide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Platform: computis.netlify.app  |  Repository: github.com/ssmith129/computis-app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March 14, 2026</w:t>
      </w:r>
    </w:p>
    <w:p>
      <w:pPr>
        <w:spacing w:before="40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50"/>
        <w:gridCol w:w="1750"/>
        <w:gridCol w:w="1750"/>
      </w:tblGrid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audit examines the Computis cryptocurrency tax preparation platform across 18 pages and 60+ UI components, analyzing the live deployment at computis.netlify.app against the source repository. The platform uses React with Tailwind CSS, shadcn/ui primitives, and a custom design token system defined in global.css and tailwind.config.ts.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While Computis has invested in a Design System v2.0 with comprehensive token definitions, the audit reveals a significant gap between the documented system and actual implementation. The codebase contains systematic inconsistencies that undermine the design system’s effectiveness and create visual fragmentation across the platform.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Issues Identified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47 distinct inconsistency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 issues (component duplication, token bypass)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12 issues (typography, color fragmentation)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19 issues (spacing, layout, tab patterns)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12 issues (interactive states, minor variations)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Token Adoption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~1% (6 token usages vs 597 hardcoded sizes)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Audit 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audit was conducted using three complementary approaches: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Platform Analysis: Examination of the deployed application at computis.netlify.app across multiple viewport sizes (mobile, tablet, desktop, ultra-wide).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Code Analysis: Systematic grep and inspection of the full codebase (React/TSX components, CSS, Tailwind config) from the GitHub repository to identify patterns, inconsistencies, and deviations from the documented design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Token Compliance: Cross-referencing the Design System v2.0 documentation and token definitions against actual component implementations to measure adoption rates.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Critical: Component Duplication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SEVERITY: CRITICAL — Breaks design system integrity and creates maintenance burden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Dual Button Systems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codebase maintains two separate button components with conflicting specifications. This is the single most impactful inconsistency in the system.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(button.tsx)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EnhancedButton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h-btn-md (36px 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h-10 (40px hardcoded)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h-btn-sm (32px 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h-9 (36px hardcoded)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h-btn-md w-9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h-10 w-10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bg-success (token)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bg-green-600 (hardcoded)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bg-warning (token)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bg-yellow-500 text-black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transition-colors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transition-all duration-200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active:scale-95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Hover 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hover:shadow-md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Impact: A Button (36px) placed beside an EnhancedButton (40px) produces misaligned heights. The warning variant renders as white-on-orange vs black-on-yellow depending on which component is used.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Dual Input Systems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Same pattern: Input (22 lines, h-input-md token, text-body-md) vs EnhancedInput (303 lines, h-10 hardcoded, text-sm hardcoded). Settings page uses Input; other forms may use EnhancedInput. Error handling exists only in EnhancedInput.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Raw HTML Buttons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Dashboard contains 6 raw &lt;button&gt; elements (lines 163, 206, 247, 580, 623, 664) with inline styles like "bg-blue-600 text-white py-2 rounded-lg" — lacking focus rings, disabled states, and aria attributes. Uses rounded-lg (8px) while the Button component uses rounded-md (6px).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Critical: Design Token Bypass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SEVERITY: CRITICAL — Renders the entire design token system ineffective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Tailwind sizes (text-sm, text-xs,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token utilities (text-body-md,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Breakdown: text-sm (410 uses), text-xs (163), text-base (24). This means 99% of typography cannot be updated by changing design tokens. The same bypass pattern exists for spacing, where raw classes (p-4, p-6) are used instead of token utilities (p-standard, p-compact, p-featured).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High: Typography Inconsistencies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SEVERITY: HIGH — Significantly impacts brand consistency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Page Title (h1) — Three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(responsive)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text-xl sm:text-2xl text-gray-900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 (hardcoded gray)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text-2xl text-gray-900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 (semantic color)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other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text-2xl text-foreground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None use the design system’s text-display-sm or text-heading-lg tokens. Two color approaches coexist: text-gray-900 (hardcoded) vs text-foreground (semantic token).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CSS clamp() Conflict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Global CSS lines 897–912 apply clamp()-based responsive sizing to ALL h1–h4 elements. These conflict with Tailwind utility classes applied at the component level, creating unpredictable sizing behavior where both rules compete.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High: Color System Fragmentation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SEVERITY: HIGH — Undermines semantic consistency and theming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Duplicate Status Color Systems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parallel status color systems in global.css with a warning color conflict: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--semantic token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--status-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32 95% 38%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32 95% 44%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Success/Error/Info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values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Hardcoded Colors (30+ instances)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bg-blue-600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button.tsx, enhanced-button.tsx, dashboard-content.tsx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bg-green-600/500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enhanced-button.tsx, dashboard, classification-insights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bg-red-500/600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loading-states, enhanced-button,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text-gray-900/500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text-foreground/muted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dashboard, wallets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Impact: Changing the primary brand color via the --primary token would NOT update either button component’s default variant, as both hardcode bg-blue-600.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Direct Hex Values in CSS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Lines 161–167 of global.css define colors in direct hex (--blue-500: #3b82f6; etc.) rather than HSL format, used by animated chart components. These cannot participate in the HSL theming system.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Medium: Spacing &amp; Layout Drift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F9A825"/>
          <w:sz w:val="22"/>
          <w:szCs w:val="22"/>
        </w:rPr>
        <w:t xml:space="preserve">SEVERITY: MEDIUM — Noticeable inconsistencies affecting polish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Page Content Padding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Dashboard: p-4 sm:p-6 (responsive). Most pages: p-6 (fixed). Rule Engine: p-4 (smaller). The design token system is not leveraged.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Card Padding Fragmentation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Five different padding values (p-3, p-4, p-5, p-6, p-8) with no correlation to card purpose. The defined tokens (p-compact: 12px, p-standard: 16px, p-featured: 20px) are used only in the Card base component, overridden everywhere via className.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Medium: Page Header Inconsistencies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F9A825"/>
          <w:sz w:val="22"/>
          <w:szCs w:val="22"/>
        </w:rPr>
        <w:t xml:space="preserve">SEVERITY: MEDIUM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p-4 sm:p-6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flex-col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Reset +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 between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 between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 between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Dashboard uniquely wraps tabs inside the titlebar and uses responsive padding. Rule Engine uses p-4 while others use p-6.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Medium: Tab Component Variations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F9A825"/>
          <w:sz w:val="22"/>
          <w:szCs w:val="22"/>
        </w:rPr>
        <w:t xml:space="preserve">SEVERITY: MEDIUM — Same conceptual component renders as 4 different UI patterns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h-11 rounded-lg bg-gray-100, active: bg-white shadow-sm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h-auto p-0 bg-transparent, active: yellow border-b-2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w-full grid-cols-5 (full-width segmented)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Gain/Loss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shadcn base (no overrides)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Low: Interactive State Gaps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SEVERITY: LOW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Border radius: Buttons = rounded-md (6px), Cards = rounded-lg (8px), Raw buttons = rounded-lg, Badges = rounded-full. Raw buttons match cards instead of the Button component.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Icon sizing: Three sizes used (h-3.5, h-4, h-5) with no documented mapping to contexts. Wallets uses h-3.5 for status icons while most pages use h-4.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Focus ring: Button has ring-offset-2. Raw HTML buttons have no focus ring. EnhancedButton adds active:scale-95 not present on base Button.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Loading states: EnhancedButton has Loader2 spinner. Standard Button has none. Dashboard uses opacity-50 on entire content area.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11. Issue Frequency Matrix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Category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typography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 component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pairs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HTML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colors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Subtitle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status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conflict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 override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padding variations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padding fragmentation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 size inconsistency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sizes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 radius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12. Design System Recommendations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12.1 Unified Component Consolidation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Merge Button + EnhancedButton into a single component using design tokens: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Height (sm/md/lg)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32px / 36px / 44px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var(--button-height-*)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bg-primary hover:bg-primary-hover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var(--primary)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Success/Warning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bg-success / bg-warning text-white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var(--success/warning)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 radius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rounded-md (6px)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var(--radius-md)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Focus 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ring-2 ring-ring ring-offset-2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12.2 Token Adoption Migration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text-sm (body 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text-body-md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text-xs (captions)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text-caption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text-2xl font-bold (titles)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text-display-sm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text-gray-900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text-foreground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text-gray-500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text-muted-foreground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bg-blue-600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bg-primary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bg-green-600/500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bg-red-500/600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bg-error / bg-destructive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p-6 (page content)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PageContent wrapper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12.3 Resolve Duplicate Tokens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Eliminate --status-* tokens; use only --success/--warning/--error/--info. Standardize warning to 32 95% 38% (higher contrast). Remove hex color block (lines 161–167) and convert animated components to HSL references.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12.4 Standardized Page Template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PageLayout component enforcing: title (text-display-sm text-foreground), subtitle (text-body-md text-muted-foreground), header padding (p-6 all breakpoints), content padding (p-4 sm:p-6 responsive), section spacing (space-y-6), and a right-aligned actions slot.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12.5 Tab Variants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Define 3 intentional variants instead of per-page overrides: Pill Tabs (role/mode selection), Underline Tabs (content sections with border-b-2 indicator), and Segmented Tabs (full-width grid for settings/config).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12.6 Remove Global clamp() Overrides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Delete lines 897–912 from global.css. Responsive typography should be handled at the component level via token utilities or responsive Tailwind classes, not globally on heading elements.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13. Implementation Priority Roadmap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Phase 1: Foundation (Week 1–2)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Consolidate Button into single token-based component (eliminates 3 button variants)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Consolidate Input into single component with optional enhanced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 duplicate --status-* tokens, standardize on semantic tokens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 global clamp() heading overrides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Replace all raw HTML &lt;button&gt; elements with unified Button component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Phase 2: Token Migration (Week 3–4)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Migrate all page titles to text-display-sm text-foreground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Migrate body text from text-sm to text-body-md (410 instances)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Migrate captions from text-xs to text-caption (163 instances)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Replace hardcoded gray-900/gray-500 with semantic foreground/muted-foreground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Replace hardcoded blue-600/green-600/red-500 with semantic primary/success/error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Phase 3: Layout Standardization (Week 5–6)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PageLayout wrapper enforcing consistent header/content structure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Define and implement 2–3 Tab component variants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Standardize card padding using p-compact/p-standard/p-featured tokens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Standardize section spacing using gap-dense/gap-comfortable/gap-spacious tokens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Phase 4: Governance (Week 7+)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ESLint rule to flag hardcoded Tailwind sizes/colors with token equivalents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Storybook documentation for all unified components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automated visual regression testing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Integrate PR review checklist requiring design token usage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14. Appendix: Pages Audited</w:t>
      </w:r>
    </w:p>
    <w:p>
      <w:pPr>
        <w:pBdr>
          <w:bottom w:val="single" w:color="1A3A5C" w:sz="6" w:space="1"/>
        </w:pBdr>
        <w:spacing w:after="200" w:before="20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095"/>
        <w:gridCol w:w="4095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File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transactions-content.tsx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Wallets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wallets-content.tsx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Wallet Ingestion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wallet-ingestion-content.tsx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Gain/Loss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gain-loss-content.tsx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IRS Form 8949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irs-8949-content.tsx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preferences-content.tsx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exports-content.tsx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rule-engine-content.tsx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Anomaly Detection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data-anomaly-detection-content.tsx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clients-content.tsx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Management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users-management.tsx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permissions-management.tsx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 Entities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tax-entities-management.tsx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System Showcase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DesignSystemShowcase.tsx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 Page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HelpPage.tsx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Account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MyAccount.tsx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999999"/>
          <w:sz w:val="22"/>
          <w:szCs w:val="22"/>
        </w:rPr>
        <w:t xml:space="preserve">End of Audit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Computis Design System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2026-03-14T23:04:52.553Z</dcterms:created>
  <dcterms:modified xsi:type="dcterms:W3CDTF">2026-03-14T23:04:52.555Z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