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2563EB"/>
          <w:spacing w:val="30"/>
          <w:sz w:val="18"/>
          <w:szCs w:val="18"/>
        </w:rPr>
        <w:t xml:space="preserve">DESIGN SYSTEM AUDIT</w:t>
      </w:r>
    </w:p>
    <w:p>
      <w:pPr>
        <w:spacing w:after="60"/>
      </w:pPr>
      <w:r>
        <w:rPr>
          <w:rFonts w:ascii="Arial" w:cs="Arial" w:eastAsia="Arial" w:hAnsi="Arial"/>
          <w:b/>
          <w:bCs/>
          <w:color w:val="0A2540"/>
          <w:sz w:val="40"/>
          <w:szCs w:val="40"/>
        </w:rPr>
        <w:t xml:space="preserve">Computis v2.0.4 — Dev Draft Review</w:t>
      </w:r>
    </w:p>
    <w:p>
      <w:pPr>
        <w:pBdr>
          <w:bottom w:val="single" w:color="0A2540" w:sz="12" w:space="6"/>
        </w:pBdr>
        <w:spacing w:after="160"/>
      </w:pPr>
      <w:r>
        <w:rPr>
          <w:i/>
          <w:iCs/>
          <w:color w:val="6B7280"/>
          <w:sz w:val="20"/>
          <w:szCs w:val="20"/>
        </w:rPr>
        <w:t xml:space="preserve">Full codebase audit · client-side static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80"/>
        <w:gridCol w:w="1700"/>
        <w:gridCol w:w="2980"/>
      </w:tblGrid>
      <w:tr>
        <w:tc>
          <w:tcPr>
            <w:tcW w:type="dxa" w:w="17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7"/>
                <w:szCs w:val="17"/>
              </w:rPr>
              <w:t xml:space="preserve">Date</w:t>
            </w:r>
          </w:p>
        </w:tc>
        <w:tc>
          <w:tcPr>
            <w:tcW w:type="dxa" w:w="298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March 29, 2023</w:t>
            </w:r>
          </w:p>
        </w:tc>
        <w:tc>
          <w:tcPr>
            <w:tcW w:type="dxa" w:w="17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7"/>
                <w:szCs w:val="17"/>
              </w:rPr>
              <w:t xml:space="preserve">Stage</w:t>
            </w:r>
          </w:p>
        </w:tc>
        <w:tc>
          <w:tcPr>
            <w:tcW w:type="dxa" w:w="298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v2.0.4 · Draft 1</w:t>
            </w:r>
          </w:p>
        </w:tc>
      </w:tr>
      <w:tr>
        <w:tc>
          <w:tcPr>
            <w:tcW w:type="dxa" w:w="17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7"/>
                <w:szCs w:val="17"/>
              </w:rPr>
              <w:t xml:space="preserve">Components</w:t>
            </w:r>
          </w:p>
        </w:tc>
        <w:tc>
          <w:tcPr>
            <w:tcW w:type="dxa" w:w="298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111+ reviewed</w:t>
            </w:r>
          </w:p>
        </w:tc>
        <w:tc>
          <w:tcPr>
            <w:tcW w:type="dxa" w:w="17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7"/>
                <w:szCs w:val="17"/>
              </w:rPr>
              <w:t xml:space="preserve">Issues</w:t>
            </w:r>
          </w:p>
        </w:tc>
        <w:tc>
          <w:tcPr>
            <w:tcW w:type="dxa" w:w="298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34 found</w:t>
            </w:r>
          </w:p>
        </w:tc>
      </w:tr>
      <w:tr>
        <w:tc>
          <w:tcPr>
            <w:tcW w:type="dxa" w:w="17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7"/>
                <w:szCs w:val="17"/>
              </w:rPr>
              <w:t xml:space="preserve">Scope</w:t>
            </w:r>
          </w:p>
        </w:tc>
        <w:tc>
          <w:tcPr>
            <w:tcW w:type="dxa" w:w="298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49 components · 14 dirs</w:t>
            </w:r>
          </w:p>
        </w:tc>
        <w:tc>
          <w:tcPr>
            <w:tcW w:type="dxa" w:w="17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7"/>
                <w:szCs w:val="17"/>
              </w:rPr>
              <w:t xml:space="preserve">Audit Score</w:t>
            </w:r>
          </w:p>
        </w:tc>
        <w:tc>
          <w:tcPr>
            <w:tcW w:type="dxa" w:w="298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b/>
                <w:bCs/>
                <w:sz w:val="18"/>
                <w:szCs w:val="18"/>
              </w:rPr>
              <w:t xml:space="preserve">68 / 100</w:t>
            </w:r>
          </w:p>
        </w:tc>
      </w:tr>
    </w:tbl>
    <w:p>
      <w:pPr>
        <w:spacing w:after="160"/>
      </w:pPr>
      <w:r>
        <w:t xml:space="preserve"/>
      </w:r>
    </w:p>
    <w:p>
      <w:pPr>
        <w:pStyle w:val="Heading1"/>
        <w:pBdr>
          <w:bottom w:val="single" w:color="2563EB" w:sz="8" w:space="4"/>
        </w:pBdr>
        <w:spacing w:after="140" w:before="300"/>
      </w:pPr>
      <w:r>
        <w:rPr>
          <w:rFonts w:ascii="Arial" w:cs="Arial" w:eastAsia="Arial" w:hAnsi="Arial"/>
          <w:b/>
          <w:bCs/>
          <w:color w:val="0A2540"/>
          <w:sz w:val="28"/>
          <w:szCs w:val="28"/>
        </w:rPr>
        <w:t xml:space="preserve">Overall Impression</w:t>
      </w:r>
    </w:p>
    <w:p>
      <w:pPr>
        <w:spacing w:after="120" w:line="264"/>
      </w:pPr>
      <w:r>
        <w:t xml:space="preserve">The foundation is strong — a well-architected token system (CSS variables → Tailwind → CVA), consistent file and export naming, and solid accessibility primitives from Radix UI.</w:t>
      </w:r>
    </w:p>
    <w:p>
      <w:pPr>
        <w:spacing w:after="120" w:line="264"/>
      </w:pPr>
      <w:r>
        <w:t xml:space="preserve">However, a significant gap exists between the design system's </w:t>
      </w:r>
      <w:r>
        <w:rPr>
          <w:b/>
          <w:bCs/>
        </w:rPr>
        <w:t xml:space="preserve">intent</w:t>
      </w:r>
      <w:r>
        <w:t xml:space="preserve"> and its </w:t>
      </w:r>
      <w:r>
        <w:rPr>
          <w:b/>
          <w:bCs/>
        </w:rPr>
        <w:t xml:space="preserve">implementation</w:t>
      </w:r>
      <w:r>
        <w:t xml:space="preserve">: roughly 40% of feature components bypass the token system entirely, using hardcoded Tailwind color classes and arbitrary pixel values. For a final polish pass, the biggest opportunity is closing this gap to make the system truly consistent and themeable.</w:t>
      </w:r>
    </w:p>
    <w:p>
      <w:pPr>
        <w:pStyle w:val="Heading1"/>
        <w:pBdr>
          <w:bottom w:val="single" w:color="2563EB" w:sz="8" w:space="4"/>
        </w:pBdr>
        <w:spacing w:after="140" w:before="300"/>
      </w:pPr>
      <w:r>
        <w:rPr>
          <w:rFonts w:ascii="Arial" w:cs="Arial" w:eastAsia="Arial" w:hAnsi="Arial"/>
          <w:b/>
          <w:bCs/>
          <w:color w:val="0A2540"/>
          <w:sz w:val="28"/>
          <w:szCs w:val="28"/>
        </w:rPr>
        <w:t xml:space="preserve">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240"/>
        <w:gridCol w:w="2560"/>
      </w:tblGrid>
      <w:tr>
        <w:trPr>
          <w:cantSplit/>
          <w:tblHeader w:val="false"/>
        </w:trPr>
        <w:tc>
          <w:tcPr>
            <w:tcW w:type="dxa" w:w="55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Finding</w:t>
            </w:r>
          </w:p>
        </w:tc>
        <w:tc>
          <w:tcPr>
            <w:tcW w:type="dxa" w:w="124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Severity</w:t>
            </w:r>
          </w:p>
        </w:tc>
        <w:tc>
          <w:tcPr>
            <w:tcW w:type="dxa" w:w="25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Recommendation</w:t>
            </w:r>
          </w:p>
        </w:tc>
      </w:tr>
      <w:tr>
        <w:trPr>
          <w:cantSplit/>
        </w:trPr>
        <w:tc>
          <w:tcPr>
            <w:tcW w:type="dxa" w:w="5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Duplicate Button and Input components create consumer confusion (button.tsx vs enhanced-button.tsx, input.tsx vs enhanced-input.tsx)</w:t>
            </w:r>
          </w:p>
        </w:tc>
        <w:tc>
          <w:tcPr>
            <w:tcW w:type="dxa" w:w="124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b/>
                <w:bCs/>
                <w:color w:val="C0392B"/>
                <w:sz w:val="18"/>
                <w:szCs w:val="18"/>
              </w:rPr>
              <w:t xml:space="preserve">Critical</w:t>
            </w:r>
          </w:p>
        </w:tc>
        <w:tc>
          <w:tcPr>
            <w:tcW w:type="dxa" w:w="2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Merge into single components. enhanced-* versions bypass the token system with hardcoded pixel sizing.</w:t>
            </w:r>
          </w:p>
        </w:tc>
      </w:tr>
      <w:tr>
        <w:trPr>
          <w:cantSplit/>
        </w:trPr>
        <w:tc>
          <w:tcPr>
            <w:tcW w:type="dxa" w:w="5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Two toast systems running simultaneously (Radix Toaster + Sonner) in App.tsx</w:t>
            </w:r>
          </w:p>
        </w:tc>
        <w:tc>
          <w:tcPr>
            <w:tcW w:type="dxa" w:w="124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b/>
                <w:bCs/>
                <w:color w:val="B7791F"/>
                <w:sz w:val="18"/>
                <w:szCs w:val="18"/>
              </w:rPr>
              <w:t xml:space="preserve">Moderate</w:t>
            </w:r>
          </w:p>
        </w:tc>
        <w:tc>
          <w:tcPr>
            <w:tcW w:type="dxa" w:w="2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Consolidate to one. Both creates inconsistent notification UX and inflates bundle size.</w:t>
            </w:r>
          </w:p>
        </w:tc>
      </w:tr>
      <w:tr>
        <w:trPr>
          <w:cantSplit/>
        </w:trPr>
        <w:tc>
          <w:tcPr>
            <w:tcW w:type="dxa" w:w="5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Confidence filter buttons in TransactionsContent use hardcoded color classes instead of semantic Badge variants</w:t>
            </w:r>
          </w:p>
        </w:tc>
        <w:tc>
          <w:tcPr>
            <w:tcW w:type="dxa" w:w="124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b/>
                <w:bCs/>
                <w:color w:val="B7791F"/>
                <w:sz w:val="18"/>
                <w:szCs w:val="18"/>
              </w:rPr>
              <w:t xml:space="preserve">Moderate</w:t>
            </w:r>
          </w:p>
        </w:tc>
        <w:tc>
          <w:tcPr>
            <w:tcW w:type="dxa" w:w="2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Replace with Badge variant=success / warning / error — these already exist in the system.</w:t>
            </w:r>
          </w:p>
        </w:tc>
      </w:tr>
      <w:tr>
        <w:trPr>
          <w:cantSplit/>
        </w:trPr>
        <w:tc>
          <w:tcPr>
            <w:tcW w:type="dxa" w:w="5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Icon-only buttons throughout dashboard (MoreHorizontal, menu triggers) lack aria-label attributes</w:t>
            </w:r>
          </w:p>
        </w:tc>
        <w:tc>
          <w:tcPr>
            <w:tcW w:type="dxa" w:w="124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b/>
                <w:bCs/>
                <w:color w:val="B7791F"/>
                <w:sz w:val="18"/>
                <w:szCs w:val="18"/>
              </w:rPr>
              <w:t xml:space="preserve">Moderate</w:t>
            </w:r>
          </w:p>
        </w:tc>
        <w:tc>
          <w:tcPr>
            <w:tcW w:type="dxa" w:w="2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Add aria-label=More options or equivalent to every icon-only Button.</w:t>
            </w:r>
          </w:p>
        </w:tc>
      </w:tr>
    </w:tbl>
    <w:p>
      <w:pPr>
        <w:pStyle w:val="Heading1"/>
        <w:pBdr>
          <w:bottom w:val="single" w:color="2563EB" w:sz="8" w:space="4"/>
        </w:pBdr>
        <w:spacing w:after="140" w:before="300"/>
      </w:pPr>
      <w:r>
        <w:rPr>
          <w:rFonts w:ascii="Arial" w:cs="Arial" w:eastAsia="Arial" w:hAnsi="Arial"/>
          <w:b/>
          <w:bCs/>
          <w:color w:val="0A2540"/>
          <w:sz w:val="28"/>
          <w:szCs w:val="28"/>
        </w:rPr>
        <w:t xml:space="preserve">Visual Hierarchy</w:t>
      </w:r>
    </w:p>
    <w:p>
      <w:pPr>
        <w:spacing w:after="110" w:line="264"/>
      </w:pPr>
      <w:r>
        <w:rPr>
          <w:b/>
          <w:bCs/>
          <w:color w:val="0A2540"/>
        </w:rPr>
        <w:t xml:space="preserve">What draws the eye first:  </w:t>
      </w:r>
      <w:r>
        <w:t xml:space="preserve">Page titles and large metric displays (text-display-lg) — correct for a data-dense financial dashboard.</w:t>
      </w:r>
    </w:p>
    <w:p>
      <w:pPr>
        <w:spacing w:after="110" w:line="264"/>
      </w:pPr>
      <w:r>
        <w:rPr>
          <w:b/>
          <w:bCs/>
          <w:color w:val="0A2540"/>
        </w:rPr>
        <w:t xml:space="preserve">Reading flow:  </w:t>
      </w:r>
      <w:r>
        <w:t xml:space="preserve">Title → KPI cards → Data tables → Sidebar navigation. Well-structured, though some components break it by using raw Tailwind sizes (text-2xl, text-lg) instead of the semantic scale (text-heading-lg, text-display-sm).</w:t>
      </w:r>
    </w:p>
    <w:p>
      <w:pPr>
        <w:spacing w:after="80" w:before="40"/>
      </w:pPr>
      <w:r>
        <w:rPr>
          <w:b/>
          <w:bCs/>
          <w:color w:val="0A2540"/>
          <w:sz w:val="20"/>
          <w:szCs w:val="20"/>
        </w:rPr>
        <w:t xml:space="preserve">Emphasis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val="false"/>
        </w:trPr>
        <w:tc>
          <w:tcPr>
            <w:tcW w:type="dxa" w:w="24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Area</w:t>
            </w:r>
          </w:p>
        </w:tc>
        <w:tc>
          <w:tcPr>
            <w:tcW w:type="dxa" w:w="69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Issue</w:t>
            </w:r>
          </w:p>
        </w:tc>
      </w:tr>
      <w:tr>
        <w:trPr>
          <w:cantSplit/>
        </w:trPr>
        <w:tc>
          <w:tcPr>
            <w:tcW w:type="dxa" w:w="24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Dashboard cards</w:t>
            </w:r>
          </w:p>
        </w:tc>
        <w:tc>
          <w:tcPr>
            <w:tcW w:type="dxa" w:w="69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Trend indicators use text-green-600 / text-red-600 (hardcoded) rather than text-success / text-error tokens. Functional but not themeable.</w:t>
            </w:r>
          </w:p>
        </w:tc>
      </w:tr>
      <w:tr>
        <w:trPr>
          <w:cantSplit/>
        </w:trPr>
        <w:tc>
          <w:tcPr>
            <w:tcW w:type="dxa" w:w="24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Sidebar active state</w:t>
            </w:r>
          </w:p>
        </w:tc>
        <w:tc>
          <w:tcPr>
            <w:tcW w:type="dxa" w:w="69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Active items use bg-sidebar-accent text-white — good. But inactive text is hardcoded text-[#a3a3a3] (9 instances) instead of a token.</w:t>
            </w:r>
          </w:p>
        </w:tc>
      </w:tr>
      <w:tr>
        <w:trPr>
          <w:cantSplit/>
        </w:trPr>
        <w:tc>
          <w:tcPr>
            <w:tcW w:type="dxa" w:w="24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Chart sections</w:t>
            </w:r>
          </w:p>
        </w:tc>
        <w:tc>
          <w:tcPr>
            <w:tcW w:type="dxa" w:w="69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10+ raw hex values for segment colors in enhanced-pie-charts.tsx and pie-chart-sections.tsx. Won't adapt to dark mode or theme changes.</w:t>
            </w:r>
          </w:p>
        </w:tc>
      </w:tr>
    </w:tbl>
    <w:p>
      <w:pPr>
        <w:pStyle w:val="Heading1"/>
        <w:pBdr>
          <w:bottom w:val="single" w:color="2563EB" w:sz="8" w:space="4"/>
        </w:pBdr>
        <w:spacing w:after="140" w:before="300"/>
      </w:pPr>
      <w:r>
        <w:rPr>
          <w:rFonts w:ascii="Arial" w:cs="Arial" w:eastAsia="Arial" w:hAnsi="Arial"/>
          <w:b/>
          <w:bCs/>
          <w:color w:val="0A2540"/>
          <w:sz w:val="28"/>
          <w:szCs w:val="28"/>
        </w:rPr>
        <w:t xml:space="preserve">Consistency</w:t>
      </w:r>
    </w:p>
    <w:p>
      <w:pPr>
        <w:pStyle w:val="Heading2"/>
        <w:spacing w:after="100" w:before="200"/>
      </w:pPr>
      <w:r>
        <w:rPr>
          <w:rFonts w:ascii="Arial" w:cs="Arial" w:eastAsia="Arial" w:hAnsi="Arial"/>
          <w:b/>
          <w:bCs/>
          <w:color w:val="2563EB"/>
          <w:sz w:val="22"/>
          <w:szCs w:val="22"/>
        </w:rPr>
        <w:t xml:space="preserve">Token Adherence — Color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cantSplit/>
          <w:tblHeader w:val="false"/>
        </w:trPr>
        <w:tc>
          <w:tcPr>
            <w:tcW w:type="dxa" w:w="26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Element</w:t>
            </w:r>
          </w:p>
        </w:tc>
        <w:tc>
          <w:tcPr>
            <w:tcW w:type="dxa" w:w="22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Issue</w:t>
            </w:r>
          </w:p>
        </w:tc>
        <w:tc>
          <w:tcPr>
            <w:tcW w:type="dxa" w:w="45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Recommendation</w:t>
            </w:r>
          </w:p>
        </w:tc>
      </w:tr>
      <w:tr>
        <w:trPr>
          <w:cantSplit/>
        </w:trPr>
        <w:tc>
          <w:tcPr>
            <w:tcW w:type="dxa" w:w="26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Hardcoded Tailwind colors (bg-red/green/blue-*)</w:t>
            </w:r>
          </w:p>
        </w:tc>
        <w:tc>
          <w:tcPr>
            <w:tcW w:type="dxa" w:w="2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~30 instances bypass semantic tokens</w:t>
            </w:r>
          </w:p>
        </w:tc>
        <w:tc>
          <w:tcPr>
            <w:tcW w:type="dxa" w:w="4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Replace with bg-success, bg-error, bg-warning, text-success-text — all already defined in global.css and Tailwind config.</w:t>
            </w:r>
          </w:p>
        </w:tc>
      </w:tr>
      <w:tr>
        <w:trPr>
          <w:cantSplit/>
        </w:trPr>
        <w:tc>
          <w:tcPr>
            <w:tcW w:type="dxa" w:w="26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Sidebar muted text #a3a3a3</w:t>
            </w:r>
          </w:p>
        </w:tc>
        <w:tc>
          <w:tcPr>
            <w:tcW w:type="dxa" w:w="2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Hardcoded hex repeated 9 times (sidebar.tsx)</w:t>
            </w:r>
          </w:p>
        </w:tc>
        <w:tc>
          <w:tcPr>
            <w:tcW w:type="dxa" w:w="4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Create --sidebar-muted token, use text-sidebar-muted utility.</w:t>
            </w:r>
          </w:p>
        </w:tc>
      </w:tr>
      <w:tr>
        <w:trPr>
          <w:cantSplit/>
        </w:trPr>
        <w:tc>
          <w:tcPr>
            <w:tcW w:type="dxa" w:w="26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Chart segment colors</w:t>
            </w:r>
          </w:p>
        </w:tc>
        <w:tc>
          <w:tcPr>
            <w:tcW w:type="dxa" w:w="2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10+ inline hex values</w:t>
            </w:r>
          </w:p>
        </w:tc>
        <w:tc>
          <w:tcPr>
            <w:tcW w:type="dxa" w:w="4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Move to --chart-* tokens (6 already exist — extend the set).</w:t>
            </w:r>
          </w:p>
        </w:tc>
      </w:tr>
      <w:tr>
        <w:trPr>
          <w:cantSplit/>
        </w:trPr>
        <w:tc>
          <w:tcPr>
            <w:tcW w:type="dxa" w:w="26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Modal overlays bg-black/80</w:t>
            </w:r>
          </w:p>
        </w:tc>
        <w:tc>
          <w:tcPr>
            <w:tcW w:type="dxa" w:w="2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Hardcoded in 4 components</w:t>
            </w:r>
          </w:p>
        </w:tc>
        <w:tc>
          <w:tcPr>
            <w:tcW w:type="dxa" w:w="4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Create --overlay token, e.g. hsl(0 0% 0% / 0.8).</w:t>
            </w:r>
          </w:p>
        </w:tc>
      </w:tr>
    </w:tbl>
    <w:p>
      <w:pPr>
        <w:spacing w:after="100"/>
      </w:pPr>
      <w:r>
        <w:t xml:space="preserve"/>
      </w:r>
    </w:p>
    <w:p>
      <w:pPr>
        <w:pStyle w:val="Heading2"/>
        <w:spacing w:after="100" w:before="200"/>
      </w:pPr>
      <w:r>
        <w:rPr>
          <w:rFonts w:ascii="Arial" w:cs="Arial" w:eastAsia="Arial" w:hAnsi="Arial"/>
          <w:b/>
          <w:bCs/>
          <w:color w:val="2563EB"/>
          <w:sz w:val="22"/>
          <w:szCs w:val="22"/>
        </w:rPr>
        <w:t xml:space="preserve">Token Adherence — Spacing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val="false"/>
        </w:trPr>
        <w:tc>
          <w:tcPr>
            <w:tcW w:type="dxa" w:w="26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Element</w:t>
            </w:r>
          </w:p>
        </w:tc>
        <w:tc>
          <w:tcPr>
            <w:tcW w:type="dxa" w:w="32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Issue</w:t>
            </w:r>
          </w:p>
        </w:tc>
        <w:tc>
          <w:tcPr>
            <w:tcW w:type="dxa" w:w="35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Recommendation</w:t>
            </w:r>
          </w:p>
        </w:tc>
      </w:tr>
      <w:tr>
        <w:trPr>
          <w:cantSplit/>
        </w:trPr>
        <w:tc>
          <w:tcPr>
            <w:tcW w:type="dxa" w:w="26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Arbitrary bracket values (w-[120px], max-w-[160px])</w:t>
            </w:r>
          </w:p>
        </w:tc>
        <w:tc>
          <w:tcPr>
            <w:tcW w:type="dxa" w:w="3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~25 instances across tables and dashboard components</w:t>
            </w:r>
          </w:p>
        </w:tc>
        <w:tc>
          <w:tcPr>
            <w:tcW w:type="dxa" w:w="3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For recurring widths (120/140/160px), add named width tokens to Tailwind config.</w:t>
            </w:r>
          </w:p>
        </w:tc>
      </w:tr>
      <w:tr>
        <w:trPr>
          <w:cantSplit/>
        </w:trPr>
        <w:tc>
          <w:tcPr>
            <w:tcW w:type="dxa" w:w="26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Drawer radius rounded-t-[10px]</w:t>
            </w:r>
          </w:p>
        </w:tc>
        <w:tc>
          <w:tcPr>
            <w:tcW w:type="dxa" w:w="3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Doesn't match radius token scale (drawer.tsx)</w:t>
            </w:r>
          </w:p>
        </w:tc>
        <w:tc>
          <w:tcPr>
            <w:tcW w:type="dxa" w:w="3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Use rounded-t-lg (--radius-lg) instead.</w:t>
            </w:r>
          </w:p>
        </w:tc>
      </w:tr>
      <w:tr>
        <w:trPr>
          <w:cantSplit/>
        </w:trPr>
        <w:tc>
          <w:tcPr>
            <w:tcW w:type="dxa" w:w="26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Mixed spacing approaches</w:t>
            </w:r>
          </w:p>
        </w:tc>
        <w:tc>
          <w:tcPr>
            <w:tcW w:type="dxa" w:w="3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p-standard vs p-4 vs p-[16px] — all meaning 16px</w:t>
            </w:r>
          </w:p>
        </w:tc>
        <w:tc>
          <w:tcPr>
            <w:tcW w:type="dxa" w:w="3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Pick one convention: p-4 for simple cases, p-standard for semantic density contexts.</w:t>
            </w:r>
          </w:p>
        </w:tc>
      </w:tr>
    </w:tbl>
    <w:p>
      <w:pPr>
        <w:spacing w:after="100"/>
      </w:pPr>
      <w:r>
        <w:t xml:space="preserve"/>
      </w:r>
    </w:p>
    <w:p>
      <w:pPr>
        <w:pStyle w:val="Heading2"/>
        <w:spacing w:after="100" w:before="200"/>
      </w:pPr>
      <w:r>
        <w:rPr>
          <w:rFonts w:ascii="Arial" w:cs="Arial" w:eastAsia="Arial" w:hAnsi="Arial"/>
          <w:b/>
          <w:bCs/>
          <w:color w:val="2563EB"/>
          <w:sz w:val="22"/>
          <w:szCs w:val="22"/>
        </w:rPr>
        <w:t xml:space="preserve">Token Adherence — Z-Index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cantSplit/>
          <w:tblHeader w:val="false"/>
        </w:trPr>
        <w:tc>
          <w:tcPr>
            <w:tcW w:type="dxa" w:w="28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Value</w:t>
            </w:r>
          </w:p>
        </w:tc>
        <w:tc>
          <w:tcPr>
            <w:tcW w:type="dxa" w:w="33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Location</w:t>
            </w:r>
          </w:p>
        </w:tc>
        <w:tc>
          <w:tcPr>
            <w:tcW w:type="dxa" w:w="32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Recommendation</w:t>
            </w:r>
          </w:p>
        </w:tc>
      </w:tr>
      <w:tr>
        <w:trPr>
          <w:cantSplit/>
        </w:trPr>
        <w:tc>
          <w:tcPr>
            <w:tcW w:type="dxa" w:w="28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z-[1]</w:t>
            </w:r>
          </w:p>
        </w:tc>
        <w:tc>
          <w:tcPr>
            <w:tcW w:type="dxa" w:w="33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navigation-menu.tsx</w:t>
            </w:r>
          </w:p>
        </w:tc>
        <w:tc>
          <w:tcPr>
            <w:tcW w:type="dxa" w:w="3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Define --z-dropdown: 50</w:t>
            </w:r>
          </w:p>
        </w:tc>
      </w:tr>
      <w:tr>
        <w:trPr>
          <w:cantSplit/>
        </w:trPr>
        <w:tc>
          <w:tcPr>
            <w:tcW w:type="dxa" w:w="28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z-[100]</w:t>
            </w:r>
          </w:p>
        </w:tc>
        <w:tc>
          <w:tcPr>
            <w:tcW w:type="dxa" w:w="33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toast.tsx</w:t>
            </w:r>
          </w:p>
        </w:tc>
        <w:tc>
          <w:tcPr>
            <w:tcW w:type="dxa" w:w="3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Define --z-toast: 200</w:t>
            </w:r>
          </w:p>
        </w:tc>
      </w:tr>
      <w:tr>
        <w:trPr>
          <w:cantSplit/>
        </w:trPr>
        <w:tc>
          <w:tcPr>
            <w:tcW w:type="dxa" w:w="28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z-[9998], z-[9999]</w:t>
            </w:r>
          </w:p>
        </w:tc>
        <w:tc>
          <w:tcPr>
            <w:tcW w:type="dxa" w:w="33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Various overlays</w:t>
            </w:r>
          </w:p>
        </w:tc>
        <w:tc>
          <w:tcPr>
            <w:tcW w:type="dxa" w:w="3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Define --z-overlay: 300</w:t>
            </w:r>
          </w:p>
        </w:tc>
      </w:tr>
      <w:tr>
        <w:trPr>
          <w:cantSplit/>
        </w:trPr>
        <w:tc>
          <w:tcPr>
            <w:tcW w:type="dxa" w:w="28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z-50</w:t>
            </w:r>
          </w:p>
        </w:tc>
        <w:tc>
          <w:tcPr>
            <w:tcW w:type="dxa" w:w="33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enhanced-button.tsx, header</w:t>
            </w:r>
          </w:p>
        </w:tc>
        <w:tc>
          <w:tcPr>
            <w:tcW w:type="dxa" w:w="3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Align with token scale</w:t>
            </w:r>
          </w:p>
        </w:tc>
      </w:tr>
    </w:tbl>
    <w:p>
      <w:pPr>
        <w:spacing w:after="100"/>
      </w:pPr>
      <w:r>
        <w:t xml:space="preserve"/>
      </w:r>
    </w:p>
    <w:p>
      <w:pPr>
        <w:pStyle w:val="Heading2"/>
        <w:spacing w:after="100" w:before="200"/>
      </w:pPr>
      <w:r>
        <w:rPr>
          <w:rFonts w:ascii="Arial" w:cs="Arial" w:eastAsia="Arial" w:hAnsi="Arial"/>
          <w:b/>
          <w:bCs/>
          <w:color w:val="2563EB"/>
          <w:sz w:val="22"/>
          <w:szCs w:val="22"/>
        </w:rPr>
        <w:t xml:space="preserve">Variant Parity Across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850"/>
        <w:gridCol w:w="1850"/>
        <w:gridCol w:w="1850"/>
        <w:gridCol w:w="1850"/>
      </w:tblGrid>
      <w:tr>
        <w:trPr>
          <w:cantSplit/>
          <w:tblHeader w:val="false"/>
        </w:trPr>
        <w:tc>
          <w:tcPr>
            <w:tcW w:type="dxa" w:w="19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Variant</w:t>
            </w:r>
          </w:p>
        </w:tc>
        <w:tc>
          <w:tcPr>
            <w:tcW w:type="dxa" w:w="185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Badge</w:t>
            </w:r>
          </w:p>
        </w:tc>
        <w:tc>
          <w:tcPr>
            <w:tcW w:type="dxa" w:w="185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Button</w:t>
            </w:r>
          </w:p>
        </w:tc>
        <w:tc>
          <w:tcPr>
            <w:tcW w:type="dxa" w:w="185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Alert</w:t>
            </w:r>
          </w:p>
        </w:tc>
        <w:tc>
          <w:tcPr>
            <w:tcW w:type="dxa" w:w="185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Input</w:t>
            </w:r>
          </w:p>
        </w:tc>
      </w:tr>
      <w:tr>
        <w:trPr>
          <w:cantSplit/>
        </w:trPr>
        <w:tc>
          <w:tcPr>
            <w:tcW w:type="dxa" w:w="19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success</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Yes</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Yes</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Enhanced only</w:t>
            </w:r>
          </w:p>
        </w:tc>
      </w:tr>
      <w:tr>
        <w:trPr>
          <w:cantSplit/>
        </w:trPr>
        <w:tc>
          <w:tcPr>
            <w:tcW w:type="dxa" w:w="19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warning</w:t>
            </w:r>
          </w:p>
        </w:tc>
        <w:tc>
          <w:tcPr>
            <w:tcW w:type="dxa" w:w="185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Yes</w:t>
            </w:r>
          </w:p>
        </w:tc>
        <w:tc>
          <w:tcPr>
            <w:tcW w:type="dxa" w:w="185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Yes</w:t>
            </w:r>
          </w:p>
        </w:tc>
        <w:tc>
          <w:tcPr>
            <w:tcW w:type="dxa" w:w="185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No</w:t>
            </w:r>
          </w:p>
        </w:tc>
        <w:tc>
          <w:tcPr>
            <w:tcW w:type="dxa" w:w="185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Enhanced only</w:t>
            </w:r>
          </w:p>
        </w:tc>
      </w:tr>
      <w:tr>
        <w:trPr>
          <w:cantSplit/>
        </w:trPr>
        <w:tc>
          <w:tcPr>
            <w:tcW w:type="dxa" w:w="19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error</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Yes</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Enhanced only</w:t>
            </w:r>
          </w:p>
        </w:tc>
      </w:tr>
      <w:tr>
        <w:trPr>
          <w:cantSplit/>
        </w:trPr>
        <w:tc>
          <w:tcPr>
            <w:tcW w:type="dxa" w:w="19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info</w:t>
            </w:r>
          </w:p>
        </w:tc>
        <w:tc>
          <w:tcPr>
            <w:tcW w:type="dxa" w:w="185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Yes</w:t>
            </w:r>
          </w:p>
        </w:tc>
        <w:tc>
          <w:tcPr>
            <w:tcW w:type="dxa" w:w="185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No</w:t>
            </w:r>
          </w:p>
        </w:tc>
        <w:tc>
          <w:tcPr>
            <w:tcW w:type="dxa" w:w="185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No</w:t>
            </w:r>
          </w:p>
        </w:tc>
        <w:tc>
          <w:tcPr>
            <w:tcW w:type="dxa" w:w="185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No</w:t>
            </w:r>
          </w:p>
        </w:tc>
      </w:tr>
      <w:tr>
        <w:trPr>
          <w:cantSplit/>
        </w:trPr>
        <w:tc>
          <w:tcPr>
            <w:tcW w:type="dxa" w:w="19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neutral</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Yes</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c>
          <w:tcPr>
            <w:tcW w:type="dxa" w:w="185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r>
    </w:tbl>
    <w:p>
      <w:pPr>
        <w:spacing w:after="120" w:before="90"/>
      </w:pPr>
      <w:r>
        <w:rPr>
          <w:b/>
          <w:bCs/>
        </w:rPr>
        <w:t xml:space="preserve">Recommendation:</w:t>
      </w:r>
      <w:r>
        <w:t xml:space="preserve"> Either promote error, info, and neutral to Button and Alert, or document why Badge intentionally diverges.</w:t>
      </w:r>
    </w:p>
    <w:p>
      <w:pPr>
        <w:spacing w:after="60"/>
      </w:pPr>
      <w:r>
        <w:t xml:space="preserve"/>
      </w:r>
    </w:p>
    <w:p>
      <w:pPr>
        <w:pStyle w:val="Heading2"/>
        <w:spacing w:after="100" w:before="200"/>
      </w:pPr>
      <w:r>
        <w:rPr>
          <w:rFonts w:ascii="Arial" w:cs="Arial" w:eastAsia="Arial" w:hAnsi="Arial"/>
          <w:b/>
          <w:bCs/>
          <w:color w:val="2563EB"/>
          <w:sz w:val="22"/>
          <w:szCs w:val="22"/>
        </w:rPr>
        <w:t xml:space="preserve">Documentation vs Implementation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560"/>
        <w:gridCol w:w="1200"/>
      </w:tblGrid>
      <w:tr>
        <w:trPr>
          <w:cantSplit/>
          <w:tblHeader w:val="false"/>
        </w:trPr>
        <w:tc>
          <w:tcPr>
            <w:tcW w:type="dxa" w:w="27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Token</w:t>
            </w:r>
          </w:p>
        </w:tc>
        <w:tc>
          <w:tcPr>
            <w:tcW w:type="dxa" w:w="29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global.css (source of truth)</w:t>
            </w:r>
          </w:p>
        </w:tc>
        <w:tc>
          <w:tcPr>
            <w:tcW w:type="dxa" w:w="25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Documentation files</w:t>
            </w:r>
          </w:p>
        </w:tc>
        <w:tc>
          <w:tcPr>
            <w:tcW w:type="dxa" w:w="12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Match</w:t>
            </w:r>
          </w:p>
        </w:tc>
      </w:tr>
      <w:tr>
        <w:trPr>
          <w:cantSplit/>
        </w:trPr>
        <w:tc>
          <w:tcPr>
            <w:tcW w:type="dxa" w:w="27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Primary color</w:t>
            </w:r>
          </w:p>
        </w:tc>
        <w:tc>
          <w:tcPr>
            <w:tcW w:type="dxa" w:w="29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218 91% 45% (#2563EB)</w:t>
            </w:r>
          </w:p>
        </w:tc>
        <w:tc>
          <w:tcPr>
            <w:tcW w:type="dxa" w:w="2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218 91% 48% (lighter)</w:t>
            </w:r>
          </w:p>
        </w:tc>
        <w:tc>
          <w:tcPr>
            <w:tcW w:type="dxa" w:w="1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r>
      <w:tr>
        <w:trPr>
          <w:cantSplit/>
        </w:trPr>
        <w:tc>
          <w:tcPr>
            <w:tcW w:type="dxa" w:w="27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Accent color</w:t>
            </w:r>
          </w:p>
        </w:tc>
        <w:tc>
          <w:tcPr>
            <w:tcW w:type="dxa" w:w="29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45 90% 51% (Gold)</w:t>
            </w:r>
          </w:p>
        </w:tc>
        <w:tc>
          <w:tcPr>
            <w:tcW w:type="dxa" w:w="2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210 40% 96.1% (gray)</w:t>
            </w:r>
          </w:p>
        </w:tc>
        <w:tc>
          <w:tcPr>
            <w:tcW w:type="dxa" w:w="1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No</w:t>
            </w:r>
          </w:p>
        </w:tc>
      </w:tr>
      <w:tr>
        <w:trPr>
          <w:cantSplit/>
        </w:trPr>
        <w:tc>
          <w:tcPr>
            <w:tcW w:type="dxa" w:w="27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Button height sm</w:t>
            </w:r>
          </w:p>
        </w:tc>
        <w:tc>
          <w:tcPr>
            <w:tcW w:type="dxa" w:w="29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32px</w:t>
            </w:r>
          </w:p>
        </w:tc>
        <w:tc>
          <w:tcPr>
            <w:tcW w:type="dxa" w:w="2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36px (spacing.json)</w:t>
            </w:r>
          </w:p>
        </w:tc>
        <w:tc>
          <w:tcPr>
            <w:tcW w:type="dxa" w:w="1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r>
      <w:tr>
        <w:trPr>
          <w:cantSplit/>
        </w:trPr>
        <w:tc>
          <w:tcPr>
            <w:tcW w:type="dxa" w:w="27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Button height md</w:t>
            </w:r>
          </w:p>
        </w:tc>
        <w:tc>
          <w:tcPr>
            <w:tcW w:type="dxa" w:w="29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36px</w:t>
            </w:r>
          </w:p>
        </w:tc>
        <w:tc>
          <w:tcPr>
            <w:tcW w:type="dxa" w:w="2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44px (spacing.json)</w:t>
            </w:r>
          </w:p>
        </w:tc>
        <w:tc>
          <w:tcPr>
            <w:tcW w:type="dxa" w:w="1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No</w:t>
            </w:r>
          </w:p>
        </w:tc>
      </w:tr>
      <w:tr>
        <w:trPr>
          <w:cantSplit/>
        </w:trPr>
        <w:tc>
          <w:tcPr>
            <w:tcW w:type="dxa" w:w="27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Button height lg</w:t>
            </w:r>
          </w:p>
        </w:tc>
        <w:tc>
          <w:tcPr>
            <w:tcW w:type="dxa" w:w="29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44px</w:t>
            </w:r>
          </w:p>
        </w:tc>
        <w:tc>
          <w:tcPr>
            <w:tcW w:type="dxa" w:w="2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48px (spacing.json)</w:t>
            </w:r>
          </w:p>
        </w:tc>
        <w:tc>
          <w:tcPr>
            <w:tcW w:type="dxa" w:w="1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No</w:t>
            </w:r>
          </w:p>
        </w:tc>
      </w:tr>
      <w:tr>
        <w:trPr>
          <w:cantSplit/>
        </w:trPr>
        <w:tc>
          <w:tcPr>
            <w:tcW w:type="dxa" w:w="27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Typography scale</w:t>
            </w:r>
          </w:p>
        </w:tc>
        <w:tc>
          <w:tcPr>
            <w:tcW w:type="dxa" w:w="29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All 10 sizes</w:t>
            </w:r>
          </w:p>
        </w:tc>
        <w:tc>
          <w:tcPr>
            <w:tcW w:type="dxa" w:w="25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All 10 sizes</w:t>
            </w:r>
          </w:p>
        </w:tc>
        <w:tc>
          <w:tcPr>
            <w:tcW w:type="dxa" w:w="1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Yes</w:t>
            </w:r>
          </w:p>
        </w:tc>
      </w:tr>
      <w:tr>
        <w:trPr>
          <w:cantSplit/>
        </w:trPr>
        <w:tc>
          <w:tcPr>
            <w:tcW w:type="dxa" w:w="27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Gray scale</w:t>
            </w:r>
          </w:p>
        </w:tc>
        <w:tc>
          <w:tcPr>
            <w:tcW w:type="dxa" w:w="29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50–900</w:t>
            </w:r>
          </w:p>
        </w:tc>
        <w:tc>
          <w:tcPr>
            <w:tcW w:type="dxa" w:w="25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50–900</w:t>
            </w:r>
          </w:p>
        </w:tc>
        <w:tc>
          <w:tcPr>
            <w:tcW w:type="dxa" w:w="1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Yes</w:t>
            </w:r>
          </w:p>
        </w:tc>
      </w:tr>
    </w:tbl>
    <w:p>
      <w:pPr>
        <w:spacing w:after="120" w:before="90"/>
      </w:pPr>
      <w:r>
        <w:t xml:space="preserve">Developers referencing documentation files will build against incorrect values. Reconcile immediately.</w:t>
      </w:r>
    </w:p>
    <w:p>
      <w:pPr>
        <w:pStyle w:val="Heading1"/>
        <w:pBdr>
          <w:bottom w:val="single" w:color="2563EB" w:sz="8" w:space="4"/>
        </w:pBdr>
        <w:spacing w:after="140" w:before="300"/>
      </w:pPr>
      <w:r>
        <w:rPr>
          <w:rFonts w:ascii="Arial" w:cs="Arial" w:eastAsia="Arial" w:hAnsi="Arial"/>
          <w:b/>
          <w:bCs/>
          <w:color w:val="0A2540"/>
          <w:sz w:val="28"/>
          <w:szCs w:val="28"/>
        </w:rPr>
        <w:t xml:space="preserve">Accessibility</w:t>
      </w:r>
    </w:p>
    <w:p>
      <w:pPr>
        <w:pStyle w:val="Heading2"/>
        <w:spacing w:after="100" w:before="200"/>
      </w:pPr>
      <w:r>
        <w:rPr>
          <w:rFonts w:ascii="Arial" w:cs="Arial" w:eastAsia="Arial" w:hAnsi="Arial"/>
          <w:b/>
          <w:bCs/>
          <w:color w:val="2563EB"/>
          <w:sz w:val="22"/>
          <w:szCs w:val="22"/>
        </w:rPr>
        <w:t xml:space="preserve">Color Contrast</w:t>
      </w:r>
    </w:p>
    <w:p>
      <w:pPr>
        <w:spacing w:after="120" w:line="264"/>
      </w:pPr>
      <w:r>
        <w:t xml:space="preserve">The semantic color system in global.css is WCAG 2.1 AA compliant — all *-text on *-bg combinations meet the 4.5:1 ratio. However, feature components using hardcoded Tailwind colors (e.g. text-green-600 on bg-green-100) have not been verified. The standalone HTML pages use their own palettes entirely outside the token system.</w:t>
      </w:r>
    </w:p>
    <w:p>
      <w:pPr>
        <w:pStyle w:val="Heading2"/>
        <w:spacing w:after="100" w:before="200"/>
      </w:pPr>
      <w:r>
        <w:rPr>
          <w:rFonts w:ascii="Arial" w:cs="Arial" w:eastAsia="Arial" w:hAnsi="Arial"/>
          <w:b/>
          <w:bCs/>
          <w:color w:val="2563EB"/>
          <w:sz w:val="22"/>
          <w:szCs w:val="22"/>
        </w:rPr>
        <w:t xml:space="preserve">Touch Targets</w:t>
      </w:r>
    </w:p>
    <w:p>
      <w:pPr>
        <w:spacing w:after="120" w:line="264"/>
      </w:pPr>
      <w:r>
        <w:t xml:space="preserve">Button sizes (sm 32px, md 36px, lg 44px) are documented correctly. The sm size (32px) falls below the 44px WCAG 2.5.5 minimum — the system correctly notes this should be desktop-only, but no enforcement mechanism exists.</w:t>
      </w:r>
    </w:p>
    <w:p>
      <w:pPr>
        <w:pStyle w:val="Heading2"/>
        <w:spacing w:after="100" w:before="200"/>
      </w:pPr>
      <w:r>
        <w:rPr>
          <w:rFonts w:ascii="Arial" w:cs="Arial" w:eastAsia="Arial" w:hAnsi="Arial"/>
          <w:b/>
          <w:bCs/>
          <w:color w:val="2563EB"/>
          <w:sz w:val="22"/>
          <w:szCs w:val="22"/>
        </w:rPr>
        <w:t xml:space="preserve">Semantic HTML</w:t>
      </w:r>
    </w:p>
    <w:p>
      <w:pPr>
        <w:spacing w:after="120" w:line="264"/>
      </w:pPr>
      <w:r>
        <w:t xml:space="preserve">The React app has good landmark structure: nav (sidebar), header (top bar with role=banner), main (content via SidebarInset). However, heading hierarchy is inconsistent — some pages use h1 correctly, while others use p className=text-display-lg for primary headings, breaking the document outline.</w:t>
      </w:r>
    </w:p>
    <w:p>
      <w:pPr>
        <w:spacing w:after="80" w:before="40"/>
      </w:pPr>
      <w:r>
        <w:rPr>
          <w:b/>
          <w:bCs/>
          <w:color w:val="0A2540"/>
          <w:sz w:val="20"/>
          <w:szCs w:val="20"/>
        </w:rPr>
        <w:t xml:space="preserve">Missing Accessibility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760"/>
        <w:gridCol w:w="2200"/>
      </w:tblGrid>
      <w:tr>
        <w:trPr>
          <w:cantSplit/>
          <w:tblHeader w:val="false"/>
        </w:trPr>
        <w:tc>
          <w:tcPr>
            <w:tcW w:type="dxa" w:w="34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Issue</w:t>
            </w:r>
          </w:p>
        </w:tc>
        <w:tc>
          <w:tcPr>
            <w:tcW w:type="dxa" w:w="376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Components</w:t>
            </w:r>
          </w:p>
        </w:tc>
        <w:tc>
          <w:tcPr>
            <w:tcW w:type="dxa" w:w="2200"/>
            <w:tcBorders>
              <w:top w:val="single" w:color="D7DBE0" w:sz="1"/>
              <w:left w:val="single" w:color="D7DBE0" w:sz="1"/>
              <w:bottom w:val="single" w:color="D7DBE0" w:sz="1"/>
              <w:right w:val="single" w:color="D7DBE0" w:sz="1"/>
            </w:tcBorders>
            <w:shd w:fill="0A2540" w:val="clear"/>
            <w:tcMar>
              <w:top w:type="dxa" w:w="60"/>
              <w:left w:type="dxa" w:w="120"/>
              <w:bottom w:type="dxa" w:w="60"/>
              <w:right w:type="dxa" w:w="120"/>
            </w:tcMar>
            <w:vAlign w:val="center"/>
          </w:tcPr>
          <w:p>
            <w:pPr>
              <w:spacing w:after="0"/>
            </w:pPr>
            <w:r>
              <w:rPr>
                <w:rFonts w:ascii="Arial" w:cs="Arial" w:eastAsia="Arial" w:hAnsi="Arial"/>
                <w:b/>
                <w:bCs/>
                <w:color w:val="FFFFFF"/>
                <w:sz w:val="18"/>
                <w:szCs w:val="18"/>
              </w:rPr>
              <w:t xml:space="preserve">Fix</w:t>
            </w:r>
          </w:p>
        </w:tc>
      </w:tr>
      <w:tr>
        <w:trPr>
          <w:cantSplit/>
        </w:trPr>
        <w:tc>
          <w:tcPr>
            <w:tcW w:type="dxa" w:w="34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Icon-only buttons without aria-label</w:t>
            </w:r>
          </w:p>
        </w:tc>
        <w:tc>
          <w:tcPr>
            <w:tcW w:type="dxa" w:w="37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dashboard-cards.tsx, dashboard-content.tsx, pie-chart-sections.tsx</w:t>
            </w:r>
          </w:p>
        </w:tc>
        <w:tc>
          <w:tcPr>
            <w:tcW w:type="dxa" w:w="2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Add descriptive labels</w:t>
            </w:r>
          </w:p>
        </w:tc>
      </w:tr>
      <w:tr>
        <w:trPr>
          <w:cantSplit/>
        </w:trPr>
        <w:tc>
          <w:tcPr>
            <w:tcW w:type="dxa" w:w="34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Badge / Skeleton / Calendar missing forwardRef</w:t>
            </w:r>
          </w:p>
        </w:tc>
        <w:tc>
          <w:tcPr>
            <w:tcW w:type="dxa" w:w="37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badge.tsx, skeleton.tsx, calendar.tsx</w:t>
            </w:r>
          </w:p>
        </w:tc>
        <w:tc>
          <w:tcPr>
            <w:tcW w:type="dxa" w:w="2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Add React.forwardRef wrapper and displayName</w:t>
            </w:r>
          </w:p>
        </w:tc>
      </w:tr>
      <w:tr>
        <w:trPr>
          <w:cantSplit/>
        </w:trPr>
        <w:tc>
          <w:tcPr>
            <w:tcW w:type="dxa" w:w="34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HTML page tables missing aria-label</w:t>
            </w:r>
          </w:p>
        </w:tc>
        <w:tc>
          <w:tcPr>
            <w:tcW w:type="dxa" w:w="376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Both standalone HTML files</w:t>
            </w:r>
          </w:p>
        </w:tc>
        <w:tc>
          <w:tcPr>
            <w:tcW w:type="dxa" w:w="2200"/>
            <w:tcBorders>
              <w:top w:val="single" w:color="D7DBE0" w:sz="1"/>
              <w:left w:val="single" w:color="D7DBE0" w:sz="1"/>
              <w:bottom w:val="single" w:color="D7DBE0" w:sz="1"/>
              <w:right w:val="single" w:color="D7DBE0" w:sz="1"/>
            </w:tcBorders>
            <w:shd w:fill="FFFFFF" w:val="clear"/>
            <w:tcMar>
              <w:top w:type="dxa" w:w="60"/>
              <w:left w:type="dxa" w:w="120"/>
              <w:bottom w:type="dxa" w:w="60"/>
              <w:right w:type="dxa" w:w="120"/>
            </w:tcMar>
            <w:vAlign w:val="center"/>
          </w:tcPr>
          <w:p>
            <w:pPr>
              <w:spacing w:after="0"/>
            </w:pPr>
            <w:r>
              <w:rPr>
                <w:sz w:val="18"/>
                <w:szCs w:val="18"/>
              </w:rPr>
              <w:t xml:space="preserve">Add aria-label=Transaction data or similar</w:t>
            </w:r>
          </w:p>
        </w:tc>
      </w:tr>
      <w:tr>
        <w:trPr>
          <w:cantSplit/>
        </w:trPr>
        <w:tc>
          <w:tcPr>
            <w:tcW w:type="dxa" w:w="34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Confidence slider missing aria-describedby</w:t>
            </w:r>
          </w:p>
        </w:tc>
        <w:tc>
          <w:tcPr>
            <w:tcW w:type="dxa" w:w="376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sliding-confidence-transactions.html</w:t>
            </w:r>
          </w:p>
        </w:tc>
        <w:tc>
          <w:tcPr>
            <w:tcW w:type="dxa" w:w="2200"/>
            <w:tcBorders>
              <w:top w:val="single" w:color="D7DBE0" w:sz="1"/>
              <w:left w:val="single" w:color="D7DBE0" w:sz="1"/>
              <w:bottom w:val="single" w:color="D7DBE0" w:sz="1"/>
              <w:right w:val="single" w:color="D7DBE0" w:sz="1"/>
            </w:tcBorders>
            <w:shd w:fill="F3F4F6" w:val="clear"/>
            <w:tcMar>
              <w:top w:type="dxa" w:w="60"/>
              <w:left w:type="dxa" w:w="120"/>
              <w:bottom w:type="dxa" w:w="60"/>
              <w:right w:type="dxa" w:w="120"/>
            </w:tcMar>
            <w:vAlign w:val="center"/>
          </w:tcPr>
          <w:p>
            <w:pPr>
              <w:spacing w:after="0"/>
            </w:pPr>
            <w:r>
              <w:rPr>
                <w:sz w:val="18"/>
                <w:szCs w:val="18"/>
              </w:rPr>
              <w:t xml:space="preserve">Link tooltip content via aria-describedby</w:t>
            </w:r>
          </w:p>
        </w:tc>
      </w:tr>
    </w:tbl>
    <w:p>
      <w:pPr>
        <w:spacing w:after="100"/>
      </w:pPr>
      <w:r>
        <w:t xml:space="preserve"/>
      </w:r>
    </w:p>
    <w:p>
      <w:pPr>
        <w:pStyle w:val="Heading2"/>
        <w:spacing w:after="100" w:before="200"/>
      </w:pPr>
      <w:r>
        <w:rPr>
          <w:rFonts w:ascii="Arial" w:cs="Arial" w:eastAsia="Arial" w:hAnsi="Arial"/>
          <w:b/>
          <w:bCs/>
          <w:color w:val="2563EB"/>
          <w:sz w:val="22"/>
          <w:szCs w:val="22"/>
        </w:rPr>
        <w:t xml:space="preserve">Standalone HTML Pages vs React App</w:t>
      </w:r>
    </w:p>
    <w:p>
      <w:pPr>
        <w:spacing w:after="120" w:line="264"/>
      </w:pPr>
      <w:r>
        <w:t xml:space="preserve">The two standalone HTML pages (binary-automation-transactions.html and sliding-confidence-transactions.html) operate entirely outside the design system — different color palettes, typography scales, spacing, and responsive breakpoints. If these are production pages, they need to be migrated to the React component system or, at minimum, adopt the same CSS custom properties.</w:t>
      </w:r>
    </w:p>
    <w:p>
      <w:pPr>
        <w:pStyle w:val="Heading1"/>
        <w:pBdr>
          <w:bottom w:val="single" w:color="2563EB" w:sz="8" w:space="4"/>
        </w:pBdr>
        <w:spacing w:after="140" w:before="300"/>
      </w:pPr>
      <w:r>
        <w:rPr>
          <w:rFonts w:ascii="Arial" w:cs="Arial" w:eastAsia="Arial" w:hAnsi="Arial"/>
          <w:b/>
          <w:bCs/>
          <w:color w:val="0A2540"/>
          <w:sz w:val="28"/>
          <w:szCs w:val="28"/>
        </w:rPr>
        <w:t xml:space="preserve">What Works Well</w:t>
      </w:r>
    </w:p>
    <w:p>
      <w:pPr>
        <w:spacing w:after="100" w:line="264"/>
      </w:pPr>
      <w:r>
        <w:t xml:space="preserve">The audit identified several areas of genuine strength that should be preserved and built on:</w:t>
      </w:r>
    </w:p>
    <w:p>
      <w:pPr>
        <w:pStyle w:val="ListParagraph"/>
        <w:numPr>
          <w:ilvl w:val="0"/>
          <w:numId w:val="2"/>
        </w:numPr>
        <w:spacing w:after="70" w:line="256"/>
      </w:pPr>
      <w:r>
        <w:rPr>
          <w:b/>
          <w:bCs/>
        </w:rPr>
        <w:t xml:space="preserve">Token architecture is sound.</w:t>
      </w:r>
      <w:r>
        <w:t xml:space="preserve"> CSS variables → Tailwind config → CVA variants is the right pattern. The foundation supports theming, dark mode, and density adjustments.</w:t>
      </w:r>
    </w:p>
    <w:p>
      <w:pPr>
        <w:pStyle w:val="ListParagraph"/>
        <w:numPr>
          <w:ilvl w:val="0"/>
          <w:numId w:val="2"/>
        </w:numPr>
        <w:spacing w:after="70" w:line="256"/>
      </w:pPr>
      <w:r>
        <w:rPr>
          <w:b/>
          <w:bCs/>
        </w:rPr>
        <w:t xml:space="preserve">File and export naming is 100% consistent.</w:t>
      </w:r>
      <w:r>
        <w:t xml:space="preserve"> All 52 UI files use kebab-case; all exports use PascalCase.</w:t>
      </w:r>
    </w:p>
    <w:p>
      <w:pPr>
        <w:pStyle w:val="ListParagraph"/>
        <w:numPr>
          <w:ilvl w:val="0"/>
          <w:numId w:val="2"/>
        </w:numPr>
        <w:spacing w:after="70" w:line="256"/>
      </w:pPr>
      <w:r>
        <w:rPr>
          <w:b/>
          <w:bCs/>
        </w:rPr>
        <w:t xml:space="preserve">cn() utility usage is universal.</w:t>
      </w:r>
      <w:r>
        <w:t xml:space="preserve"> Every component that needs class merging uses it correctly.</w:t>
      </w:r>
    </w:p>
    <w:p>
      <w:pPr>
        <w:pStyle w:val="ListParagraph"/>
        <w:numPr>
          <w:ilvl w:val="0"/>
          <w:numId w:val="2"/>
        </w:numPr>
        <w:spacing w:after="70" w:line="256"/>
      </w:pPr>
      <w:r>
        <w:rPr>
          <w:b/>
          <w:bCs/>
        </w:rPr>
        <w:t xml:space="preserve">Typography token scale is perfectly aligned</w:t>
      </w:r>
      <w:r>
        <w:t xml:space="preserve"> across docs, config, and CSS — the one category with zero drift.</w:t>
      </w:r>
    </w:p>
    <w:p>
      <w:pPr>
        <w:pStyle w:val="ListParagraph"/>
        <w:numPr>
          <w:ilvl w:val="0"/>
          <w:numId w:val="2"/>
        </w:numPr>
        <w:spacing w:after="70" w:line="256"/>
      </w:pPr>
      <w:r>
        <w:rPr>
          <w:b/>
          <w:bCs/>
        </w:rPr>
        <w:t xml:space="preserve">Accessibility primitives are solid.</w:t>
      </w:r>
      <w:r>
        <w:t xml:space="preserve"> Radix UI provides keyboard navigation, focus management, and ARIA out of the box. The header (role=banner, aria-label) and search (role=search) are well-labeled.</w:t>
      </w:r>
    </w:p>
    <w:p>
      <w:pPr>
        <w:pStyle w:val="ListParagraph"/>
        <w:numPr>
          <w:ilvl w:val="0"/>
          <w:numId w:val="2"/>
        </w:numPr>
        <w:spacing w:after="70" w:line="256"/>
      </w:pPr>
      <w:r>
        <w:rPr>
          <w:b/>
          <w:bCs/>
        </w:rPr>
        <w:t xml:space="preserve">Focus-visible states</w:t>
      </w:r>
      <w:r>
        <w:t xml:space="preserve"> are properly implemented with ring-2 across interactive elements.</w:t>
      </w:r>
    </w:p>
    <w:p>
      <w:pPr>
        <w:pStyle w:val="ListParagraph"/>
        <w:numPr>
          <w:ilvl w:val="0"/>
          <w:numId w:val="2"/>
        </w:numPr>
        <w:spacing w:after="70" w:line="256"/>
      </w:pPr>
      <w:r>
        <w:rPr>
          <w:b/>
          <w:bCs/>
        </w:rPr>
        <w:t xml:space="preserve">Reduced motion and high contrast</w:t>
      </w:r>
      <w:r>
        <w:t xml:space="preserve"> media queries are defined in global.css.</w:t>
      </w:r>
    </w:p>
    <w:p>
      <w:pPr>
        <w:pStyle w:val="ListParagraph"/>
        <w:numPr>
          <w:ilvl w:val="0"/>
          <w:numId w:val="2"/>
        </w:numPr>
        <w:spacing w:after="70" w:line="256"/>
      </w:pPr>
      <w:r>
        <w:rPr>
          <w:b/>
          <w:bCs/>
        </w:rPr>
        <w:t xml:space="preserve">Responsive sidebar</w:t>
      </w:r>
      <w:r>
        <w:t xml:space="preserve"> transitions cleanly between expanded, collapsed, and mobile sheet states.</w:t>
      </w:r>
    </w:p>
    <w:p>
      <w:pPr>
        <w:pStyle w:val="Heading1"/>
        <w:pBdr>
          <w:bottom w:val="single" w:color="2563EB" w:sz="8" w:space="4"/>
        </w:pBdr>
        <w:spacing w:after="140" w:before="300"/>
      </w:pPr>
      <w:r>
        <w:rPr>
          <w:rFonts w:ascii="Arial" w:cs="Arial" w:eastAsia="Arial" w:hAnsi="Arial"/>
          <w:b/>
          <w:bCs/>
          <w:color w:val="0A2540"/>
          <w:sz w:val="28"/>
          <w:szCs w:val="28"/>
        </w:rPr>
        <w:t xml:space="preserve">Priority Recommendations</w:t>
      </w:r>
    </w:p>
    <w:p>
      <w:pPr>
        <w:spacing w:after="90" w:before="100"/>
      </w:pPr>
      <w:r>
        <w:rPr>
          <w:color w:val="C0392B"/>
          <w:sz w:val="22"/>
          <w:szCs w:val="22"/>
        </w:rPr>
        <w:t xml:space="preserve">●  </w:t>
      </w:r>
      <w:r>
        <w:rPr>
          <w:rFonts w:ascii="Arial" w:cs="Arial" w:eastAsia="Arial" w:hAnsi="Arial"/>
          <w:b/>
          <w:bCs/>
          <w:color w:val="C0392B"/>
          <w:sz w:val="22"/>
          <w:szCs w:val="22"/>
        </w:rPr>
        <w:t xml:space="preserve">P0 — Fix Before Ship</w:t>
      </w:r>
    </w:p>
    <w:p>
      <w:pPr>
        <w:pStyle w:val="ListParagraph"/>
        <w:numPr>
          <w:ilvl w:val="0"/>
          <w:numId w:val="3"/>
        </w:numPr>
        <w:spacing w:after="80" w:line="256"/>
      </w:pPr>
      <w:r>
        <w:rPr>
          <w:b/>
          <w:bCs/>
        </w:rPr>
        <w:t xml:space="preserve">Consolidate duplicate components.</w:t>
      </w:r>
      <w:r>
        <w:t xml:space="preserve"> Merge button.tsx / enhanced-button.tsx and input.tsx / enhanced-input.tsx. The enhanced versions bypass the token system with hardcoded sizing and Tailwind color classes. One component each, using design tokens for all variants and sizes.</w:t>
      </w:r>
    </w:p>
    <w:p>
      <w:pPr>
        <w:pStyle w:val="ListParagraph"/>
        <w:numPr>
          <w:ilvl w:val="0"/>
          <w:numId w:val="3"/>
        </w:numPr>
        <w:spacing w:after="80" w:line="256"/>
      </w:pPr>
      <w:r>
        <w:rPr>
          <w:b/>
          <w:bCs/>
        </w:rPr>
        <w:t xml:space="preserve">Reconcile documentation with implementation.</w:t>
      </w:r>
      <w:r>
        <w:t xml:space="preserve"> Primary color, accent color, and all three button heights are wrong in the docs. Update colors.css, spacing.json, and any generated docs to match global.css (the source of truth).</w:t>
      </w:r>
    </w:p>
    <w:p>
      <w:pPr>
        <w:pStyle w:val="ListParagraph"/>
        <w:numPr>
          <w:ilvl w:val="0"/>
          <w:numId w:val="3"/>
        </w:numPr>
        <w:spacing w:after="80" w:line="256"/>
      </w:pPr>
      <w:r>
        <w:rPr>
          <w:b/>
          <w:bCs/>
        </w:rPr>
        <w:t xml:space="preserve">Replace hardcoded colors in feature components.</w:t>
      </w:r>
      <w:r>
        <w:t xml:space="preserve"> The ~30 instances of raw Tailwind colors should use semantic tokens (bg-success-bg, text-error-text). Single highest-impact change for consistency and dark mode readiness.</w:t>
      </w:r>
    </w:p>
    <w:p>
      <w:pPr>
        <w:spacing w:after="90" w:before="140"/>
      </w:pPr>
      <w:r>
        <w:rPr>
          <w:color w:val="B7791F"/>
          <w:sz w:val="22"/>
          <w:szCs w:val="22"/>
        </w:rPr>
        <w:t xml:space="preserve">●  </w:t>
      </w:r>
      <w:r>
        <w:rPr>
          <w:rFonts w:ascii="Arial" w:cs="Arial" w:eastAsia="Arial" w:hAnsi="Arial"/>
          <w:b/>
          <w:bCs/>
          <w:color w:val="B7791F"/>
          <w:sz w:val="22"/>
          <w:szCs w:val="22"/>
        </w:rPr>
        <w:t xml:space="preserve">P1 — Fix Soon</w:t>
      </w:r>
    </w:p>
    <w:p>
      <w:pPr>
        <w:pStyle w:val="ListParagraph"/>
        <w:numPr>
          <w:ilvl w:val="0"/>
          <w:numId w:val="4"/>
        </w:numPr>
        <w:spacing w:after="80" w:line="256"/>
      </w:pPr>
      <w:r>
        <w:rPr>
          <w:b/>
          <w:bCs/>
        </w:rPr>
        <w:t xml:space="preserve">Extract chart colors into tokens.</w:t>
      </w:r>
      <w:r>
        <w:t xml:space="preserve"> Create --chart-processed, --chart-success, etc. in global.css and map through Tailwind. Eliminates 10+ inline hex values.</w:t>
      </w:r>
    </w:p>
    <w:p>
      <w:pPr>
        <w:pStyle w:val="ListParagraph"/>
        <w:numPr>
          <w:ilvl w:val="0"/>
          <w:numId w:val="4"/>
        </w:numPr>
        <w:spacing w:after="80" w:line="256"/>
      </w:pPr>
      <w:r>
        <w:rPr>
          <w:b/>
          <w:bCs/>
        </w:rPr>
        <w:t xml:space="preserve">Create sidebar muted token.</w:t>
      </w:r>
      <w:r>
        <w:t xml:space="preserve"> Replace 9 instances of #a3a3a3 with text-sidebar-muted.</w:t>
      </w:r>
    </w:p>
    <w:p>
      <w:pPr>
        <w:pStyle w:val="ListParagraph"/>
        <w:numPr>
          <w:ilvl w:val="0"/>
          <w:numId w:val="4"/>
        </w:numPr>
        <w:spacing w:after="80" w:line="256"/>
      </w:pPr>
      <w:r>
        <w:rPr>
          <w:b/>
          <w:bCs/>
        </w:rPr>
        <w:t xml:space="preserve">Add aria-label to all icon-only buttons.</w:t>
      </w:r>
      <w:r>
        <w:t xml:space="preserve"> Audit every Button size=icon and ensure a descriptive label.</w:t>
      </w:r>
    </w:p>
    <w:p>
      <w:pPr>
        <w:pStyle w:val="ListParagraph"/>
        <w:numPr>
          <w:ilvl w:val="0"/>
          <w:numId w:val="4"/>
        </w:numPr>
        <w:spacing w:after="80" w:line="256"/>
      </w:pPr>
      <w:r>
        <w:rPr>
          <w:b/>
          <w:bCs/>
        </w:rPr>
        <w:t xml:space="preserve">Define z-index scale.</w:t>
      </w:r>
      <w:r>
        <w:t xml:space="preserve"> Create 4–5 tokens (--z-base, --z-dropdown, --z-modal, --z-toast, --z-overlay) and replace all arbitrary values.</w:t>
      </w:r>
    </w:p>
    <w:p>
      <w:pPr>
        <w:pStyle w:val="ListParagraph"/>
        <w:numPr>
          <w:ilvl w:val="0"/>
          <w:numId w:val="4"/>
        </w:numPr>
        <w:spacing w:after="80" w:line="256"/>
      </w:pPr>
      <w:r>
        <w:rPr>
          <w:b/>
          <w:bCs/>
        </w:rPr>
        <w:t xml:space="preserve">Consolidate to one toast system.</w:t>
      </w:r>
      <w:r>
        <w:t xml:space="preserve"> Pick either Radix Toaster or Sonner, not both.</w:t>
      </w:r>
    </w:p>
    <w:p>
      <w:pPr>
        <w:spacing w:after="90" w:before="140"/>
      </w:pPr>
      <w:r>
        <w:rPr>
          <w:color w:val="1E7E45"/>
          <w:sz w:val="22"/>
          <w:szCs w:val="22"/>
        </w:rPr>
        <w:t xml:space="preserve">●  </w:t>
      </w:r>
      <w:r>
        <w:rPr>
          <w:rFonts w:ascii="Arial" w:cs="Arial" w:eastAsia="Arial" w:hAnsi="Arial"/>
          <w:b/>
          <w:bCs/>
          <w:color w:val="1E7E45"/>
          <w:sz w:val="22"/>
          <w:szCs w:val="22"/>
        </w:rPr>
        <w:t xml:space="preserve">P2 — Improve Over Time</w:t>
      </w:r>
    </w:p>
    <w:p>
      <w:pPr>
        <w:pStyle w:val="ListParagraph"/>
        <w:numPr>
          <w:ilvl w:val="0"/>
          <w:numId w:val="5"/>
        </w:numPr>
        <w:spacing w:after="80" w:line="256"/>
      </w:pPr>
      <w:r>
        <w:rPr>
          <w:b/>
          <w:bCs/>
        </w:rPr>
        <w:t xml:space="preserve">Tokenize recurring arbitrary widths.</w:t>
      </w:r>
      <w:r>
        <w:t xml:space="preserve"> Add named width utilities for 120px, 140px, 160px to Tailwind config.</w:t>
      </w:r>
    </w:p>
    <w:p>
      <w:pPr>
        <w:pStyle w:val="ListParagraph"/>
        <w:numPr>
          <w:ilvl w:val="0"/>
          <w:numId w:val="5"/>
        </w:numPr>
        <w:spacing w:after="80" w:line="256"/>
      </w:pPr>
      <w:r>
        <w:rPr>
          <w:b/>
          <w:bCs/>
        </w:rPr>
        <w:t xml:space="preserve">Standardize heading hierarchy in React.</w:t>
      </w:r>
      <w:r>
        <w:t xml:space="preserve"> Ensure every page has exactly one h1, and that visual size classes don't replace semantic heading elements.</w:t>
      </w:r>
    </w:p>
    <w:p>
      <w:pPr>
        <w:pStyle w:val="ListParagraph"/>
        <w:numPr>
          <w:ilvl w:val="0"/>
          <w:numId w:val="5"/>
        </w:numPr>
        <w:spacing w:after="80" w:line="256"/>
      </w:pPr>
      <w:r>
        <w:rPr>
          <w:b/>
          <w:bCs/>
        </w:rPr>
        <w:t xml:space="preserve">Migrate standalone HTML pages.</w:t>
      </w:r>
      <w:r>
        <w:t xml:space="preserve"> Convert binary-automation-transactions.html and sliding-confidence-transactions.html to React components, or share the CSS custom properties from global.css.</w:t>
      </w:r>
    </w:p>
    <w:p>
      <w:pPr>
        <w:pStyle w:val="ListParagraph"/>
        <w:numPr>
          <w:ilvl w:val="0"/>
          <w:numId w:val="5"/>
        </w:numPr>
        <w:spacing w:after="80" w:line="256"/>
      </w:pPr>
      <w:r>
        <w:rPr>
          <w:b/>
          <w:bCs/>
        </w:rPr>
        <w:t xml:space="preserve">Document dark mode accent behavior.</w:t>
      </w:r>
      <w:r>
        <w:t xml:space="preserve"> The accent shifts from gold to gray in dark mode — currently undocumented and may confuse implementers.</w:t>
      </w:r>
    </w:p>
    <w:p>
      <w:pPr>
        <w:pBdr>
          <w:top w:val="single" w:color="D7DBE0" w:sz="6" w:space="6"/>
        </w:pBdr>
        <w:spacing w:after="0" w:before="220"/>
      </w:pPr>
      <w:r>
        <w:rPr>
          <w:i/>
          <w:iCs/>
          <w:color w:val="6B7280"/>
          <w:sz w:val="17"/>
          <w:szCs w:val="17"/>
        </w:rPr>
        <w:t xml:space="preserve">Audit performed against Computis Design System v2.0. Findings based on static code analysis of all client-side files.</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BE0" w:sz="4" w:space="4"/>
      </w:pBdr>
      <w:tabs>
        <w:tab w:val="right" w:pos="9360"/>
      </w:tabs>
      <w:spacing w:after="0"/>
    </w:pPr>
    <w:r>
      <w:rPr>
        <w:color w:val="6B7280"/>
        <w:sz w:val="16"/>
        <w:szCs w:val="16"/>
      </w:rPr>
      <w:t xml:space="preserve">Computis Design System Audit</w:t>
    </w:r>
    <w:r>
      <w:rPr>
        <w:color w:val="6B7280"/>
        <w:sz w:val="16"/>
        <w:szCs w:val="16"/>
      </w:rPr>
      <w:t xml:space="preserve">	v2.0.4 · Draft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4"/>
      <w:numFmt w:val="decimal"/>
      <w:lvlText w:val="%1."/>
      <w:lvlJc w:val="left"/>
      <w:pPr>
        <w:ind w:left="460" w:hanging="300"/>
      </w:pPr>
    </w:lvl>
  </w:abstractNum>
  <w:abstractNum w:abstractNumId="5" w15:restartNumberingAfterBreak="0">
    <w:multiLevelType w:val="hybridMultilevel"/>
    <w:lvl w:ilvl="0" w15:tentative="1">
      <w:start w:val="9"/>
      <w:numFmt w:val="decimal"/>
      <w:lvlText w:val="%1."/>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4"/>
    </w:lvlOverride>
  </w:num>
  <w:num w:numId="5">
    <w:abstractNumId w:val="5"/>
    <w:lvlOverride w:ilvl="0">
      <w:startOverride w:val="9"/>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A254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Computis v2.0.4 Design System Audit</dc:title>
  <dc:creator>Design Audit</dc:creator>
  <cp:lastModifiedBy>Un-named</cp:lastModifiedBy>
  <cp:revision>1</cp:revision>
  <dcterms:created xsi:type="dcterms:W3CDTF">2026-05-24T00:23:35.568Z</dcterms:created>
  <dcterms:modified xsi:type="dcterms:W3CDTF">2026-05-24T00:23:35.568Z</dcterms:modified>
</cp:coreProperties>
</file>

<file path=docProps/custom.xml><?xml version="1.0" encoding="utf-8"?>
<Properties xmlns="http://schemas.openxmlformats.org/officeDocument/2006/custom-properties" xmlns:vt="http://schemas.openxmlformats.org/officeDocument/2006/docPropsVTypes"/>
</file>