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F942C3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15/11</w:t>
            </w:r>
            <w:r w:rsidR="00C55974">
              <w:rPr>
                <w:rFonts w:ascii="Arial" w:hAnsi="Arial" w:cs="Arial"/>
              </w:rPr>
              <w:t>/25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ASPECTOS E IMPACTOS AMBIENTALES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ASPECTOS E IMPACTOS AMBIENTALES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MATRIZ DE VALORACIÓN — ISO 14001:2015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AIA-VAR-AMB-001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69340D" w:rsidRDefault="0069340D">
      <w:pPr>
        <w:sectPr w:rsidR="0069340D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69340D" w:rsidRDefault="007563DA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</w:t>
      </w:r>
      <w:r>
        <w:rPr>
          <w:rFonts w:ascii="Arial" w:hAnsi="Arial" w:cs="Arial"/>
          <w:b/>
          <w:color w:val="000000"/>
          <w:sz w:val="24"/>
          <w:szCs w:val="24"/>
        </w:rPr>
        <w:t>. OBJETIVO</w:t>
      </w:r>
    </w:p>
    <w:p w:rsidR="0069340D" w:rsidRPr="00F942C3" w:rsidRDefault="007563DA" w:rsidP="00F942C3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 w:rsidRPr="00F942C3">
        <w:rPr>
          <w:rFonts w:ascii="Arial" w:hAnsi="Arial" w:cs="Arial"/>
          <w:color w:val="000000"/>
        </w:rPr>
        <w:t>Identificar los aspectos ambientales de las actividades, productos y servicios de Roque Mocciola S.A. y evaluar los impactos ambientales asociados, determinando cuáles son significativos y requieren controles operacionales, en cumplimiento de la cláusula 6</w:t>
      </w:r>
      <w:r w:rsidRPr="00F942C3">
        <w:rPr>
          <w:rFonts w:ascii="Arial" w:hAnsi="Arial" w:cs="Arial"/>
          <w:color w:val="000000"/>
        </w:rPr>
        <w:t>.1.2 de la norma ISO 14001:2015.</w:t>
      </w:r>
      <w:bookmarkStart w:id="0" w:name="_GoBack"/>
      <w:bookmarkEnd w:id="0"/>
    </w:p>
    <w:p w:rsidR="0069340D" w:rsidRDefault="007563DA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METODOLOGÍA DE IDENTIFICACIÓN Y VALORACIÓN</w:t>
      </w:r>
    </w:p>
    <w:p w:rsidR="0069340D" w:rsidRPr="00AC4C33" w:rsidRDefault="007563DA" w:rsidP="00AC4C33">
      <w:pPr>
        <w:spacing w:before="120" w:after="20" w:line="360" w:lineRule="auto"/>
        <w:ind w:firstLine="709"/>
        <w:jc w:val="both"/>
        <w:rPr>
          <w:sz w:val="24"/>
        </w:rPr>
      </w:pPr>
      <w:r w:rsidRPr="00AC4C33">
        <w:rPr>
          <w:rFonts w:ascii="Arial" w:hAnsi="Arial"/>
        </w:rPr>
        <w:t>La evaluación de significancia de cada aspecto ambiental se realiza combinando dos factores: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69340D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9340D" w:rsidRDefault="007563D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FACTOR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9340D" w:rsidRDefault="007563D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ESCALA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9340D" w:rsidRDefault="007563D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CRITERIO</w:t>
            </w:r>
          </w:p>
        </w:tc>
      </w:tr>
      <w:tr w:rsidR="0069340D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Probabilidad de ocurrencia (P)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 xml:space="preserve">1 = Raro / 3 = Ocasional / 5 </w:t>
            </w:r>
            <w:r>
              <w:rPr>
                <w:rFonts w:ascii="Arial" w:hAnsi="Arial"/>
                <w:sz w:val="18"/>
              </w:rPr>
              <w:t>= Frecuente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Frecuencia histórica del aspecto en las actividades de la empresa.</w:t>
            </w:r>
          </w:p>
        </w:tc>
      </w:tr>
      <w:tr w:rsidR="0069340D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Severidad del impacto (S)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1 = Leve / 3 = Moderado / 5 = Grave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Magnitud del daño ambiental potencial: extensión, reversibilidad, afectación a personas.</w:t>
            </w:r>
          </w:p>
        </w:tc>
      </w:tr>
      <w:tr w:rsidR="0069340D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 xml:space="preserve">Puntuación de </w:t>
            </w:r>
            <w:r>
              <w:rPr>
                <w:rFonts w:ascii="Arial" w:hAnsi="Arial"/>
                <w:sz w:val="18"/>
              </w:rPr>
              <w:t>significancia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P × 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≤ 6: No significativo. 7–14: Significativo. ≥ 15: Crítico — control operacional obligatorio.</w:t>
            </w:r>
          </w:p>
        </w:tc>
      </w:tr>
    </w:tbl>
    <w:p w:rsidR="0069340D" w:rsidRDefault="0069340D">
      <w:pPr>
        <w:spacing w:after="80"/>
      </w:pPr>
    </w:p>
    <w:p w:rsidR="0069340D" w:rsidRDefault="007563DA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MATRIZ DE ASPECTOS E IMPACTOS AMBIENTALES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223"/>
        <w:gridCol w:w="1223"/>
        <w:gridCol w:w="1223"/>
        <w:gridCol w:w="1223"/>
        <w:gridCol w:w="1223"/>
        <w:gridCol w:w="1223"/>
        <w:gridCol w:w="1223"/>
        <w:gridCol w:w="1220"/>
      </w:tblGrid>
      <w:tr w:rsidR="0069340D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9340D" w:rsidRDefault="007563D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ACTIVIDAD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9340D" w:rsidRDefault="007563D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ASPECTO AMBIENTAL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9340D" w:rsidRDefault="007563D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IMPACTO POTENCIAL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9340D" w:rsidRDefault="007563D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9340D" w:rsidRDefault="007563D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9340D" w:rsidRDefault="007563D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PUNT.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9340D" w:rsidRDefault="007563D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SIGNIFICANCIA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9340D" w:rsidRDefault="007563D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CONTROL</w:t>
            </w:r>
          </w:p>
        </w:tc>
      </w:tr>
      <w:tr w:rsidR="0069340D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 xml:space="preserve">Taller </w:t>
            </w:r>
            <w:r>
              <w:rPr>
                <w:rFonts w:ascii="Arial" w:hAnsi="Arial"/>
                <w:sz w:val="18"/>
              </w:rPr>
              <w:t>metalúrgico — soldadura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Emisión de humos y gases (Mn, Cr, NOx, CO)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Contaminación del aire. Afectación a la salud del personal y vecinos.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CRÍTICO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Ventilación local forzada. SYH-PR-SOLD. Control médico periódico.</w:t>
            </w:r>
          </w:p>
        </w:tc>
      </w:tr>
      <w:tr w:rsidR="0069340D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Taller metalúrgico — plasma/oxicorte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Emisión de material particulado metálico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Contaminación del aire. Afectación respiratoria.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SIGNIFICATIVO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Captadores de polvo. EPP respiratorio. SYH-PR-TALL.</w:t>
            </w:r>
          </w:p>
        </w:tc>
      </w:tr>
      <w:tr w:rsidR="0069340D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Taller metalúrgico — aceites y lubricantes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Generación de aceites usados y solventes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Contaminación del suelo y agua subterránea.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CRÍTICO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Bidones herméticos, manifiestos, GRE-VAR-AMB-001.</w:t>
            </w:r>
          </w:p>
        </w:tc>
      </w:tr>
      <w:tr w:rsidR="0069340D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 xml:space="preserve">Taller metalúrgico </w:t>
            </w:r>
            <w:r>
              <w:rPr>
                <w:rFonts w:ascii="Arial" w:hAnsi="Arial"/>
                <w:sz w:val="18"/>
              </w:rPr>
              <w:lastRenderedPageBreak/>
              <w:t>— energía eléctrica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lastRenderedPageBreak/>
              <w:t xml:space="preserve">Consumo de energía </w:t>
            </w:r>
            <w:r>
              <w:rPr>
                <w:rFonts w:ascii="Arial" w:hAnsi="Arial"/>
                <w:sz w:val="18"/>
              </w:rPr>
              <w:lastRenderedPageBreak/>
              <w:t>eléctrica de alta potencia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lastRenderedPageBreak/>
              <w:t xml:space="preserve">Agotamiento de </w:t>
            </w:r>
            <w:r>
              <w:rPr>
                <w:rFonts w:ascii="Arial" w:hAnsi="Arial"/>
                <w:sz w:val="18"/>
              </w:rPr>
              <w:lastRenderedPageBreak/>
              <w:t xml:space="preserve">recursos energéticos. Emisiones indirectas de </w:t>
            </w:r>
            <w:r>
              <w:rPr>
                <w:rFonts w:ascii="Arial" w:hAnsi="Arial"/>
                <w:sz w:val="18"/>
              </w:rPr>
              <w:t>GEI.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lastRenderedPageBreak/>
              <w:t>5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CRÍTICO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 xml:space="preserve">ENE-VAR-AMB-001. </w:t>
            </w:r>
            <w:r>
              <w:rPr>
                <w:rFonts w:ascii="Arial" w:hAnsi="Arial"/>
                <w:sz w:val="18"/>
              </w:rPr>
              <w:lastRenderedPageBreak/>
              <w:t>Indicadores mensuales.</w:t>
            </w:r>
          </w:p>
        </w:tc>
      </w:tr>
      <w:tr w:rsidR="0069340D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Obras civiles — hormigonado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Generación de agua con cemento (pH elevado)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Contaminación de suelo y agua superficial.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SIGNIFICATIVO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Pileta de sedimentación. Vertido controlado. GRE.</w:t>
            </w:r>
          </w:p>
        </w:tc>
      </w:tr>
      <w:tr w:rsidR="0069340D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 xml:space="preserve">Obras </w:t>
            </w:r>
            <w:r>
              <w:rPr>
                <w:rFonts w:ascii="Arial" w:hAnsi="Arial"/>
                <w:sz w:val="18"/>
              </w:rPr>
              <w:t>civiles — movimiento de suelos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Generación de polvo en suspensión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Contaminación del aire. Molestias a vecinos.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SIGNIFICATIVO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Riego de caminos de obra. Barreras. Velocidad reducida.</w:t>
            </w:r>
          </w:p>
        </w:tc>
      </w:tr>
      <w:tr w:rsidR="0069340D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Obras civiles y arquitectura — residuos de obra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Generación de escombr</w:t>
            </w:r>
            <w:r>
              <w:rPr>
                <w:rFonts w:ascii="Arial" w:hAnsi="Arial"/>
                <w:sz w:val="18"/>
              </w:rPr>
              <w:t>os, plásticos, maderas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Ocupación de espacio en relleno sanitario.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No significativo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Clasificación en origen. GRE-VAR-AMB-001.</w:t>
            </w:r>
          </w:p>
        </w:tc>
      </w:tr>
      <w:tr w:rsidR="0069340D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Obras civiles y arquitectura — pintura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Generación de envases de pinturas y solventes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 xml:space="preserve">Contaminación del suelo por residuos </w:t>
            </w:r>
            <w:r>
              <w:rPr>
                <w:rFonts w:ascii="Arial" w:hAnsi="Arial"/>
                <w:sz w:val="18"/>
              </w:rPr>
              <w:t>peligrosos.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CRÍTICO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Triple lavado o disposición habilitada. GRE-VAR-AMB-001.</w:t>
            </w:r>
          </w:p>
        </w:tc>
      </w:tr>
      <w:tr w:rsidR="0069340D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Operación de equipos propios — combustible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Consumo de gasoil en equipos y flota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Emisiones de GEI. Agotamiento de recursos no renovables.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CRÍTICO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 xml:space="preserve">ENE-VAR-AMB-001. </w:t>
            </w:r>
            <w:r>
              <w:rPr>
                <w:rFonts w:ascii="Arial" w:hAnsi="Arial"/>
                <w:sz w:val="18"/>
              </w:rPr>
              <w:t>KPI combustible/hora. Mantenimiento preventivo MTO.</w:t>
            </w:r>
          </w:p>
        </w:tc>
      </w:tr>
      <w:tr w:rsidR="0069340D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Operación de equipos — derrames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Derrame accidental de aceite hidráulico o combustible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Contaminación del suelo y agua.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No significativo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 xml:space="preserve">Kit antiderrames en obra. Protocolo de emergencia ambiental. </w:t>
            </w:r>
            <w:r>
              <w:rPr>
                <w:rFonts w:ascii="Arial" w:hAnsi="Arial"/>
                <w:sz w:val="18"/>
              </w:rPr>
              <w:t>SYH-PLAA.</w:t>
            </w:r>
          </w:p>
        </w:tc>
      </w:tr>
      <w:tr w:rsidR="0069340D"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Obras de arquitectura — instalaciones de gas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Fuga de gas durante trabajos de instalación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Riesgo de incendio/explosión. Contaminación del aire.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No significativo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Prueba neumática. INS-VAR-OBR-001. Técnico habilitado.</w:t>
            </w:r>
          </w:p>
        </w:tc>
      </w:tr>
    </w:tbl>
    <w:p w:rsidR="0069340D" w:rsidRDefault="0069340D">
      <w:pPr>
        <w:spacing w:after="80"/>
      </w:pPr>
    </w:p>
    <w:p w:rsidR="0069340D" w:rsidRDefault="007563DA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4. ASPECTOS AMBIENTALE</w:t>
      </w:r>
      <w:r>
        <w:rPr>
          <w:rFonts w:ascii="Arial" w:hAnsi="Arial" w:cs="Arial"/>
          <w:b/>
          <w:color w:val="000000"/>
          <w:sz w:val="24"/>
          <w:szCs w:val="24"/>
        </w:rPr>
        <w:t>S SIGNIFICATIVOS Y CRÍTICOS — RESUMEN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69340D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9340D" w:rsidRDefault="007563D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ASPECTO CRÍTICO O SIGNIFICATIVO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9340D" w:rsidRDefault="007563D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CONTROL OPERACIONAL PRINCIPAL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69340D" w:rsidRDefault="007563DA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DOCUMENTO</w:t>
            </w:r>
          </w:p>
        </w:tc>
      </w:tr>
      <w:tr w:rsidR="0069340D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Emisión de humos de soldadura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Ventilación local + EPP respiratorio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SYH-PR-SOLD</w:t>
            </w:r>
          </w:p>
        </w:tc>
      </w:tr>
      <w:tr w:rsidR="0069340D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Aceites usados y solventes del taller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 xml:space="preserve">Gestión con operadores </w:t>
            </w:r>
            <w:r>
              <w:rPr>
                <w:rFonts w:ascii="Arial" w:hAnsi="Arial"/>
                <w:sz w:val="18"/>
              </w:rPr>
              <w:t>habilitados + manifiestos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GRE-VAR-AMB-001</w:t>
            </w:r>
          </w:p>
        </w:tc>
      </w:tr>
      <w:tr w:rsidR="0069340D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Consumo eléctrico del taller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Indicadores mensuales kWh/t acero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ENE-VAR-AMB-001</w:t>
            </w:r>
          </w:p>
        </w:tc>
      </w:tr>
      <w:tr w:rsidR="0069340D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Aguas con cemento en obra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Pileta de sedimentación. Vertido controlado.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GRE-VAR-AMB-001</w:t>
            </w:r>
          </w:p>
        </w:tc>
      </w:tr>
      <w:tr w:rsidR="0069340D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Polvo en suspensión en obras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 xml:space="preserve">Riego y control </w:t>
            </w:r>
            <w:r>
              <w:rPr>
                <w:rFonts w:ascii="Arial" w:hAnsi="Arial"/>
                <w:sz w:val="18"/>
              </w:rPr>
              <w:t>de velocidad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Plan ambiental de obra</w:t>
            </w:r>
          </w:p>
        </w:tc>
      </w:tr>
      <w:tr w:rsidR="0069340D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Envases de pinturas/solventes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Triple lavado o disposición habilitada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GRE-VAR-AMB-001</w:t>
            </w:r>
          </w:p>
        </w:tc>
      </w:tr>
      <w:tr w:rsidR="0069340D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Consumo de combustible equipos/flota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KPI combustible/hora. Mantenimiento preventivo.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340D" w:rsidRDefault="007563DA">
            <w:r>
              <w:rPr>
                <w:rFonts w:ascii="Arial" w:hAnsi="Arial"/>
                <w:sz w:val="18"/>
              </w:rPr>
              <w:t>ENE-VAR-AMB-001 / MTO</w:t>
            </w:r>
          </w:p>
        </w:tc>
      </w:tr>
    </w:tbl>
    <w:p w:rsidR="0069340D" w:rsidRDefault="0069340D">
      <w:pPr>
        <w:spacing w:after="80"/>
      </w:pPr>
    </w:p>
    <w:p w:rsidR="0069340D" w:rsidRDefault="007563DA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 xml:space="preserve">5. REVISIÓN Y </w:t>
      </w:r>
      <w:r>
        <w:rPr>
          <w:rFonts w:ascii="Arial" w:hAnsi="Arial" w:cs="Arial"/>
          <w:b/>
          <w:color w:val="000000"/>
          <w:sz w:val="24"/>
          <w:szCs w:val="24"/>
        </w:rPr>
        <w:t>ACTUALIZACIÓN</w:t>
      </w:r>
    </w:p>
    <w:p w:rsidR="0069340D" w:rsidRPr="00B65C51" w:rsidRDefault="007563DA" w:rsidP="00B65C51">
      <w:pPr>
        <w:spacing w:before="120" w:after="120" w:line="360" w:lineRule="auto"/>
        <w:ind w:firstLine="709"/>
        <w:jc w:val="both"/>
        <w:rPr>
          <w:sz w:val="24"/>
        </w:rPr>
      </w:pPr>
      <w:r w:rsidRPr="00B65C51">
        <w:rPr>
          <w:rFonts w:ascii="Arial" w:hAnsi="Arial"/>
        </w:rPr>
        <w:t>La matriz de aspectos e impactos se revisa anualmente en la Revisión por la Dirección (RDI-VAR-SGI-001) y cada vez que se incorpore una actividad nueva, se cambie de sede o se modifiquen significativamente los procesos productivos.</w:t>
      </w:r>
    </w:p>
    <w:sectPr w:rsidR="0069340D" w:rsidRPr="00B65C51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63DA" w:rsidRDefault="007563DA" w:rsidP="009A6551">
      <w:pPr>
        <w:spacing w:after="0" w:line="240" w:lineRule="auto"/>
      </w:pPr>
      <w:r>
        <w:separator/>
      </w:r>
    </w:p>
  </w:endnote>
  <w:endnote w:type="continuationSeparator" w:id="0">
    <w:p w:rsidR="007563DA" w:rsidRDefault="007563DA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5511591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F55D2" w:rsidRDefault="002F55D2">
            <w:pPr>
              <w:pStyle w:val="Piedepgina"/>
              <w:jc w:val="right"/>
            </w:pP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Página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PAGE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B65C51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40168E">
              <w:rPr>
                <w:rFonts w:ascii="Arial" w:hAnsi="Arial" w:cs="Arial"/>
                <w:sz w:val="18"/>
                <w:szCs w:val="18"/>
                <w:lang w:val="es-ES"/>
              </w:rPr>
              <w:t xml:space="preserve"> de 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instrText>NUMPAGES</w:instrTex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B65C51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40168E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63DA" w:rsidRDefault="007563DA" w:rsidP="009A6551">
      <w:pPr>
        <w:spacing w:after="0" w:line="240" w:lineRule="auto"/>
      </w:pPr>
      <w:r>
        <w:separator/>
      </w:r>
    </w:p>
  </w:footnote>
  <w:footnote w:type="continuationSeparator" w:id="0">
    <w:p w:rsidR="007563DA" w:rsidRDefault="007563DA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ASPECTOS E IMPACTOS AMBIENTALES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AIA-VAR-AMB-001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B65C51">
            <w:rPr>
              <w:rFonts w:ascii="Arial" w:hAnsi="Arial" w:cs="Arial"/>
              <w:sz w:val="18"/>
            </w:rPr>
            <w:t>15/11</w:t>
          </w:r>
          <w:r w:rsidR="003F60AA">
            <w:rPr>
              <w:rFonts w:ascii="Arial" w:hAnsi="Arial" w:cs="Arial"/>
              <w:sz w:val="18"/>
            </w:rPr>
            <w:t>/25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MATRIZ DE VALORACIÓN — ISO 14001:2015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B65C51">
            <w:rPr>
              <w:rStyle w:val="Nmerodepgina"/>
              <w:rFonts w:ascii="Arial" w:hAnsi="Arial" w:cs="Arial"/>
              <w:noProof/>
              <w:sz w:val="18"/>
            </w:rPr>
            <w:t>4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B65C51">
            <w:rPr>
              <w:rStyle w:val="Nmerodepgina"/>
              <w:rFonts w:ascii="Arial" w:hAnsi="Arial" w:cs="Arial"/>
              <w:noProof/>
              <w:sz w:val="18"/>
            </w:rPr>
            <w:t>4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340D"/>
    <w:rsid w:val="00697EC1"/>
    <w:rsid w:val="006A0D1B"/>
    <w:rsid w:val="006C6841"/>
    <w:rsid w:val="006D019C"/>
    <w:rsid w:val="006F123C"/>
    <w:rsid w:val="00710B10"/>
    <w:rsid w:val="0072263F"/>
    <w:rsid w:val="00735F09"/>
    <w:rsid w:val="007563DA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C4C33"/>
    <w:rsid w:val="00AF5D95"/>
    <w:rsid w:val="00B0004D"/>
    <w:rsid w:val="00B348C7"/>
    <w:rsid w:val="00B65C51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942C3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17063-7316-4CBD-B267-2BEA98F05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4</Pages>
  <Words>715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131</cp:revision>
  <cp:lastPrinted>2026-05-20T15:19:00Z</cp:lastPrinted>
  <dcterms:created xsi:type="dcterms:W3CDTF">2025-01-29T15:36:00Z</dcterms:created>
  <dcterms:modified xsi:type="dcterms:W3CDTF">2026-06-02T19:35:00Z</dcterms:modified>
</cp:coreProperties>
</file>