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before="0" w:after="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Федеральное государственное автономное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76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образовательное учреждение высшего образования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«НАЦИОНАЛЬНЫЙ ИССЛЕДОВАТЕЛЬСКИЙ УНИВЕРСИТЕТ ИТМО»</w:t>
      </w:r>
    </w:p>
    <w:p>
      <w:pPr>
        <w:pStyle w:val="Normal"/>
        <w:pBdr/>
        <w:spacing w:lineRule="auto" w:line="360" w:before="0" w:after="0"/>
        <w:ind w:firstLine="709"/>
        <w:jc w:val="center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  <w:smallCaps/>
          <w:color w:val="000000"/>
          <w:szCs w:val="24"/>
        </w:rPr>
      </w:pPr>
      <w:r>
        <w:rPr>
          <w:rFonts w:eastAsia="Times New Roman" w:cs="Times New Roman"/>
          <w:smallCaps/>
          <w:color w:val="000000"/>
          <w:szCs w:val="24"/>
        </w:rPr>
      </w:r>
    </w:p>
    <w:p>
      <w:pPr>
        <w:pStyle w:val="Normal"/>
        <w:spacing w:lineRule="auto" w:line="240" w:before="0" w:after="12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</w:p>
    <w:p>
      <w:pPr>
        <w:pStyle w:val="Normal"/>
        <w:spacing w:lineRule="auto" w:line="240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</w:r>
    </w:p>
    <w:p>
      <w:pPr>
        <w:pStyle w:val="Normal"/>
        <w:spacing w:lineRule="auto" w:line="240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</w:r>
    </w:p>
    <w:p>
      <w:pPr>
        <w:pStyle w:val="Normal"/>
        <w:spacing w:lineRule="auto" w:line="24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ОТЧЕТ по лабораторной работе</w:t>
      </w:r>
    </w:p>
    <w:p>
      <w:pPr>
        <w:pStyle w:val="Normal"/>
        <w:spacing w:lineRule="auto" w:line="24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«Готовность к чрезвычайным ситуациям.</w:t>
      </w:r>
    </w:p>
    <w:p>
      <w:pPr>
        <w:pStyle w:val="Normal"/>
        <w:spacing w:lineRule="auto" w:line="24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Персональная ответственность. Пожарная безопасность»</w:t>
      </w:r>
      <w:r>
        <w:rPr>
          <w:rFonts w:eastAsia="Times New Roman" w:cs="Times New Roman"/>
          <w:b/>
          <w:color w:val="000000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по дисциплине «</w:t>
      </w:r>
      <w:r>
        <w:rPr>
          <w:rFonts w:eastAsia="Times New Roman" w:cs="Times New Roman"/>
          <w:b/>
          <w:color w:val="000000"/>
          <w:szCs w:val="24"/>
        </w:rPr>
        <w:t>Безопасность жизнедеятельности</w:t>
      </w:r>
      <w:r>
        <w:rPr>
          <w:rFonts w:eastAsia="Times New Roman" w:cs="Times New Roman"/>
          <w:color w:val="000000"/>
          <w:szCs w:val="24"/>
        </w:rPr>
        <w:t xml:space="preserve">» </w:t>
      </w:r>
    </w:p>
    <w:p>
      <w:pPr>
        <w:pStyle w:val="Normal"/>
        <w:spacing w:lineRule="auto" w:line="24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</w:p>
    <w:p>
      <w:pPr>
        <w:pStyle w:val="Normal"/>
        <w:spacing w:lineRule="auto" w:line="24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  <w:bookmarkStart w:id="0" w:name="_heading=h.gjdgxs"/>
      <w:bookmarkStart w:id="1" w:name="_heading=h.gjdgxs"/>
      <w:bookmarkEnd w:id="1"/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Автор:</w:t>
            </w:r>
          </w:p>
        </w:tc>
        <w:tc>
          <w:tcPr>
            <w:tcW w:w="679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Снагин Станис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лав Максимович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Факультет: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Факу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льтет Программной Инженерии и Компьютерной Техники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Группа: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P3115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Преподавател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и:</w:t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Быковченко Софья Алексеевна</w:t>
            </w:r>
          </w:p>
        </w:tc>
      </w:tr>
      <w:tr>
        <w:trPr/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6793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mbria" w:hAnsi="Cambria"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</w:p>
    <w:p>
      <w:pPr>
        <w:pStyle w:val="Normal"/>
        <w:spacing w:lineRule="auto" w:line="240" w:before="240" w:after="160"/>
        <w:jc w:val="center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spacing w:lineRule="auto" w:line="240" w:before="240" w:after="160"/>
        <w:jc w:val="center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spacing w:lineRule="auto" w:line="240" w:before="240" w:after="160"/>
        <w:jc w:val="center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spacing w:lineRule="auto" w:line="240" w:before="240" w:after="160"/>
        <w:jc w:val="center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spacing w:lineRule="auto" w:line="240" w:before="240" w:after="160"/>
        <w:jc w:val="center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spacing w:lineRule="auto" w:line="240" w:before="240" w:after="160"/>
        <w:jc w:val="center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Normal"/>
        <w:spacing w:lineRule="auto" w:line="240" w:before="240" w:after="160"/>
        <w:jc w:val="center"/>
        <w:rPr>
          <w:color w:val="000000"/>
        </w:rPr>
      </w:pPr>
      <w:sdt>
        <w:sdtPr>
          <w:tag w:val="goog_rdk_2"/>
          <w:id w:val="-464577761"/>
          <w:showingPlcHdr/>
        </w:sdtPr>
        <w:sdtContent>
          <w:r>
            <w:rPr>
              <w:color w:val="000000"/>
              <w:szCs w:val="24"/>
            </w:rPr>
          </w:r>
          <w:r>
            <w:rPr>
              <w:color w:val="000000"/>
              <w:szCs w:val="24"/>
            </w:rPr>
            <w:t xml:space="preserve">     </w:t>
          </w:r>
        </w:sdtContent>
      </w:sdt>
      <w:r>
        <w:rPr>
          <w:color w:val="000000"/>
        </w:rPr>
        <w:drawing>
          <wp:inline distT="0" distB="0" distL="0" distR="0">
            <wp:extent cx="1828800" cy="7219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>Санкт-Петербург 2023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Цель работы: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color w:val="000000"/>
          <w:szCs w:val="24"/>
        </w:rPr>
        <w:t>чрезвычайных происшествий локального и масштабного характера.</w:t>
      </w:r>
    </w:p>
    <w:p>
      <w:pPr>
        <w:pStyle w:val="Normal"/>
        <w:spacing w:lineRule="auto" w:line="276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Задачи работы: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проанализировать текущие и наиболее </w:t>
      </w:r>
      <w:r>
        <w:rPr>
          <w:rFonts w:eastAsia="Times New Roman" w:cs="Times New Roman"/>
          <w:b/>
          <w:color w:val="000000"/>
          <w:szCs w:val="24"/>
        </w:rPr>
        <w:t>вероятные риски</w:t>
      </w:r>
      <w:r>
        <w:rPr>
          <w:rFonts w:eastAsia="Times New Roman" w:cs="Times New Roman"/>
          <w:color w:val="000000"/>
          <w:szCs w:val="24"/>
        </w:rPr>
        <w:t xml:space="preserve"> моей жизни, здоровью и имуществу,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>
          <w:color w:val="000000"/>
        </w:rPr>
      </w:pPr>
      <w:r>
        <w:rPr>
          <w:color w:val="000000"/>
        </w:rPr>
        <w:t xml:space="preserve">собрать подробную информацию о </w:t>
      </w:r>
      <w:r>
        <w:rPr>
          <w:b/>
          <w:color w:val="000000"/>
        </w:rPr>
        <w:t>защите моего места проживания от пожарной опасности</w:t>
      </w:r>
      <w:r>
        <w:rPr>
          <w:color w:val="000000"/>
        </w:rPr>
        <w:t>,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разработать и реализовать для себя </w:t>
      </w:r>
      <w:r>
        <w:rPr>
          <w:rFonts w:eastAsia="Times New Roman" w:cs="Times New Roman"/>
          <w:b/>
          <w:color w:val="000000"/>
          <w:szCs w:val="24"/>
        </w:rPr>
        <w:t>предупредительные меры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для защиты</w:t>
      </w:r>
      <w:r>
        <w:rPr>
          <w:rFonts w:eastAsia="Times New Roman" w:cs="Times New Roman"/>
          <w:color w:val="000000"/>
          <w:szCs w:val="24"/>
        </w:rPr>
        <w:t xml:space="preserve"> от чрезвычайных </w:t>
      </w:r>
      <w:r>
        <w:rPr>
          <w:color w:val="000000"/>
          <w:szCs w:val="24"/>
        </w:rPr>
        <w:t>происшествий</w:t>
      </w:r>
      <w:r>
        <w:rPr>
          <w:rFonts w:eastAsia="Times New Roman" w:cs="Times New Roman"/>
          <w:color w:val="000000"/>
          <w:szCs w:val="24"/>
        </w:rPr>
        <w:t>,</w:t>
      </w:r>
    </w:p>
    <w:p>
      <w:pPr>
        <w:pStyle w:val="ListParagraph"/>
        <w:numPr>
          <w:ilvl w:val="0"/>
          <w:numId w:val="1"/>
        </w:numPr>
        <w:spacing w:lineRule="auto" w:line="276"/>
        <w:ind w:hanging="360" w:left="567"/>
        <w:jc w:val="both"/>
        <w:rPr>
          <w:color w:val="000000"/>
        </w:rPr>
      </w:pPr>
      <w:r>
        <w:rPr>
          <w:rFonts w:eastAsia="Times New Roman" w:cs="Times New Roman"/>
          <w:color w:val="000000"/>
          <w:szCs w:val="24"/>
        </w:rPr>
        <w:t xml:space="preserve">продумать и </w:t>
      </w:r>
      <w:r>
        <w:rPr>
          <w:rFonts w:eastAsia="Times New Roman" w:cs="Times New Roman"/>
          <w:b/>
          <w:color w:val="000000"/>
          <w:szCs w:val="24"/>
        </w:rPr>
        <w:t>предпринять</w:t>
      </w:r>
      <w:r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b/>
          <w:color w:val="000000"/>
          <w:szCs w:val="24"/>
        </w:rPr>
        <w:t>конкретные шаги</w:t>
      </w:r>
      <w:r>
        <w:rPr>
          <w:rFonts w:eastAsia="Times New Roman" w:cs="Times New Roman"/>
          <w:color w:val="000000"/>
          <w:szCs w:val="24"/>
        </w:rPr>
        <w:t xml:space="preserve"> для обеспечения максимальной безопасности меня и моих близких.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Задание 1: Проработка безопасности ежедневной жизни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color w:val="000000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rFonts w:eastAsia="Times New Roman" w:cs="Times New Roman"/>
          <w:b/>
          <w:color w:val="000000"/>
          <w:szCs w:val="24"/>
        </w:rPr>
        <w:t>Пункт 1.1.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Мой адрес: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ru-RU" w:bidi="ar-SA"/>
              </w:rPr>
              <w:t>г. Санкт-петербург, пер. Вяземский, д. 5-7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Масштабные ЧС: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ru-RU" w:eastAsia="ru-RU" w:bidi="ar-SA"/>
              </w:rPr>
              <w:t>Падение метеорита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, землетрясение, циклон, 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паводки, 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Локальные ЧС: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Пожар в здании,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утечка газа, утечка хлора (возможно?), обвал здания. </w:t>
            </w:r>
          </w:p>
        </w:tc>
      </w:tr>
    </w:tbl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  <w:t>Опишите ниже,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Меры по минимизации рисков и последствий масштабных ЧС:</w:t>
            </w:r>
          </w:p>
        </w:tc>
      </w:tr>
      <w:tr>
        <w:trPr/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Система оповещений об опасностях и сирены; эвакуация,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в т.ч. убежища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;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прогноз погоды, другой сейсмологической активности; 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color w:val="000000"/>
        </w:rPr>
      </w:pPr>
      <w:r>
        <w:rPr>
          <w:color w:val="000000"/>
        </w:rPr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Меры по минимизации рисков и последствий локальных ЧС в моем доме:</w:t>
            </w:r>
          </w:p>
        </w:tc>
      </w:tr>
      <w:tr>
        <w:trPr/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Кнопка «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При пожаре: открой крышку, нажми кнопку», предохранитель в электрощитке (в случае перебоев с электроэнергией),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средства индивидуальной защиты (маски, противогаз, хим. костюм), датчик дыма, огнетушитель</w:t>
            </w:r>
          </w:p>
        </w:tc>
      </w:tr>
    </w:tbl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1.2.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Таблица 2 – Критические показатели загрязненности окружающей среды в моем месте проживания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Мой адрес: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г. Санк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т-петербург, пер. Вяземский 5-7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Бензапирен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1 класс опасности,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br/>
              <w:t>Показатель ПДК- 0,02 мг/кг</w:t>
              <w:br/>
              <w:t xml:space="preserve">превышение: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нет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С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винец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1 класс опасности</w:t>
              <w:br/>
              <w:t>Показатель ПДК Места проживания-90-150 мг/кг</w:t>
              <w:br/>
              <w:t>Показатель ПДК- 0,02 мг/кг</w:t>
              <w:br/>
              <w:t>Превышение: нет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Диоксин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1 класс опасности</w:t>
              <w:br/>
              <w:t>Показатель ОДК 50 нг/кг</w:t>
              <w:br/>
              <w:t>Превышение: нет</w:t>
              <w:br/>
            </w:r>
          </w:p>
        </w:tc>
      </w:tr>
    </w:tbl>
    <w:p>
      <w:pPr>
        <w:pStyle w:val="Normal"/>
        <w:spacing w:lineRule="auto" w:line="276" w:before="240" w:after="160"/>
        <w:jc w:val="both"/>
        <w:rPr/>
      </w:pPr>
      <w:r>
        <w:rPr>
          <w:color w:val="000000"/>
        </w:rPr>
        <w:t xml:space="preserve">Примечание: Используйте </w:t>
      </w:r>
      <w:hyperlink r:id="rId3">
        <w:r>
          <w:rPr>
            <w:rStyle w:val="Hyperlink"/>
            <w:color w:val="000000"/>
          </w:rPr>
          <w:t>сервис</w:t>
        </w:r>
      </w:hyperlink>
      <w:r>
        <w:rPr>
          <w:color w:val="000000"/>
        </w:rPr>
        <w:t xml:space="preserve"> (для Санкт-Петербурга) для вашего адреса. </w:t>
      </w:r>
      <w:r>
        <w:rPr>
          <w:color w:val="000000"/>
          <w:shd w:fill="FFFF00" w:val="clear"/>
        </w:rPr>
        <w:t xml:space="preserve">(он редиректит на habr.com, я использовал </w:t>
      </w:r>
      <w:hyperlink r:id="rId4">
        <w:r>
          <w:rPr>
            <w:rStyle w:val="Hyperlink"/>
            <w:color w:val="000000"/>
            <w:shd w:fill="FFFF00" w:val="clear"/>
          </w:rPr>
          <w:t>этот</w:t>
        </w:r>
      </w:hyperlink>
      <w:r>
        <w:rPr>
          <w:color w:val="000000"/>
          <w:shd w:fill="FFFF00" w:val="clear"/>
        </w:rPr>
        <w:t>)</w:t>
      </w:r>
    </w:p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Меры по минимизации влияния токсичных веществ, загрязняющих окружающую среду в моем микрорайоне:</w:t>
            </w:r>
          </w:p>
        </w:tc>
      </w:tr>
      <w:tr>
        <w:trPr/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Сортировка мусора, уменьшение использования пластика, повторное использование пластиковой тары в бытовых целях, субботники, использование LED-ламп с целью уменьшения потребления электроэнергии, использование общественного транспорта, велосипедов и других СИМ.</w:t>
            </w:r>
          </w:p>
        </w:tc>
      </w:tr>
    </w:tbl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1.3.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Таблица 3 – Потенциальные угрозы здоровью со стороны организации моего учебного или рабочего места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Мое учебное или рабочее место: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Рабочий стол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(школьная парта)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Постоянно воздействующие вредные факторы: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Неправильная осанка, гиподинамия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→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лишний вес,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недостаточное освещение, антисанитария.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br/>
              <w:t xml:space="preserve">размер рабочего стола, синее излучение, не ортопедический стул, постоянный шут холодильников,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тараканы</w:t>
            </w:r>
          </w:p>
        </w:tc>
      </w:tr>
      <w:tr>
        <w:trPr>
          <w:trHeight w:val="2565" w:hRule="atLeast"/>
        </w:trPr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Потенциальные факторы риска: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Могу потянуть удлинитель, что не очень хорошо; малое пространство → риск что-нибудь уронить, шумные соседи китайцы,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ржавая канализационная труба в туалете.</w:t>
            </w:r>
          </w:p>
        </w:tc>
      </w:tr>
    </w:tbl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1.4.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Таблица 4 – Список шагов для защиты моей жизни, здоровья, имущества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Предпринятые меры и шаги: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Регулярные занятия спортом, полис ОМС, запирание комнаты на ключ в случае отсутствия сожителей.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Планируемые в ближайший месяц шаги: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Проконсультироваться с сантехниками, вызвать дезинсекторов для повторной отчистки комнаты.</w:t>
            </w:r>
          </w:p>
        </w:tc>
      </w:tr>
    </w:tbl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Задание 2: Ответственные и доверенные лица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  <w:t xml:space="preserve">Выяснить, составить в список, </w:t>
      </w:r>
      <w:r>
        <w:rPr>
          <w:rFonts w:eastAsia="Times New Roman" w:cs="Times New Roman"/>
          <w:color w:val="000000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2.1.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Таблица 5 – Список контактов экстренных служб (телефоны и адреса)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Районная поликлиника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/>
            </w:pPr>
            <w:r>
              <w:rPr>
                <w:rFonts w:eastAsia="Calibri" w:cs="Calibri" w:ascii="Calibri" w:hAnsi="Calibri"/>
                <w:i/>
                <w:color w:val="000000"/>
                <w:kern w:val="0"/>
                <w:sz w:val="22"/>
                <w:szCs w:val="22"/>
                <w:lang w:val="ru-RU" w:eastAsia="ru-RU" w:bidi="ar-SA"/>
              </w:rPr>
              <w:t>Поликлиника:</w:t>
              <w:br/>
              <w:t>г. Санкт-петербург, п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ер. Вяземский 3</w:t>
              <w:br/>
              <w:t>Отделение ГССМП</w:t>
              <w:br/>
            </w:r>
            <w:r>
              <w:rPr>
                <w:rStyle w:val="Strong"/>
                <w:rFonts w:eastAsia="Times New Roman" w:cs="Times New Roman"/>
                <w:i/>
                <w:color w:val="000000"/>
                <w:sz w:val="24"/>
                <w:szCs w:val="24"/>
              </w:rPr>
              <w:t>191023, Санкт-Петербург, ул. Малая Садовая, 1/25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Вызов врача на дом можно оформить: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Единый городской номер 122 (ежедневно, круглосуточно)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Call-центр поликлиники 246-73-12 (пн - пт: с 08-00 до 14-00, сб: с 09-00 до 14-00)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Сдать анализы в Helix: Каменоостровский пр. 42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Травмпункт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Гос. Травмпункт: Поликлиника №31 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+7 (812) 338-60-44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br/>
              <w:br/>
              <w:t xml:space="preserve">Частная клиника: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СМ-Клиника, Дунайский пр. 47, 8 (812) 210-15-41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Больница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/>
            </w:pPr>
            <w:r>
              <w:rPr>
                <w:rStyle w:val="Emphasis"/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СПб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ГБУЗ "Городская </w:t>
            </w:r>
            <w:r>
              <w:rPr>
                <w:rStyle w:val="Emphasis"/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больница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№14". </w:t>
            </w:r>
            <w:r>
              <w:rPr>
                <w:rStyle w:val="Emphasis"/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Больницы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взрослые / Кировский район. Тел. 786-76-76</w:t>
              <w:br/>
              <w:br/>
            </w:r>
            <w:hyperlink r:id="rId5">
              <w:r>
                <w:rPr>
                  <w:rStyle w:val="Hyperlink"/>
                  <w:rFonts w:eastAsia="Times New Roman" w:cs="Times New Roman"/>
                  <w:i w:val="false"/>
                  <w:iCs w:val="false"/>
                  <w:color w:val="000000"/>
                  <w:sz w:val="24"/>
                  <w:szCs w:val="24"/>
                  <w:u w:val="none"/>
                </w:rPr>
                <w:t>Спбгпму, Инфекционное отделение № 2</w:t>
              </w:r>
            </w:hyperlink>
            <w:r>
              <w:rPr>
                <w:rFonts w:eastAsia="Times New Roman" w:cs="Times New Roman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, ул. Литовская 2Я +7 (812) 416-54-44 </w:t>
            </w:r>
          </w:p>
          <w:p>
            <w:pPr>
              <w:pStyle w:val="Normal"/>
              <w:spacing w:lineRule="auto" w:line="276" w:before="12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Частная клиника: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СМ-Клиника, Дунайский пр. 47, 8 (812) 210-15-41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Отделение полиции</w:t>
            </w:r>
          </w:p>
        </w:tc>
        <w:tc>
          <w:tcPr>
            <w:tcW w:w="6793" w:type="dxa"/>
            <w:tcBorders>
              <w:top w:val="nil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Территориальное отделение МВД  России</w:t>
              <w:br/>
              <w:t>Каменоостровский пр. 52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+7 (812) 233-02-02</w:t>
              <w:br/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ВТ, ЧТ — 17:00 — 19:00</w:t>
              <w:br/>
              <w:t>СБ — 15:00 — 16:00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Остальные дни — выходной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--------------------------------------------------------------------------------------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УМВД России по Петроградскому району города Санкт-Петербурга</w:t>
              <w:br/>
              <w:t>ул. Рентгена, 6 ; по будням с 9:00 до 18:00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Пожарный надзор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Отдел надзорной деятельности петроградского района</w:t>
              <w:br/>
              <w:t>Syezzhinskaya Street, 2</w:t>
              <w:br/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+7 (812) 232-88-40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br/>
              <w:t>.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Глазной центр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Глазной диагностический центр №7 для взрослых и детей, круглосуточно, 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+7 (812) 272-72-43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, Литейный проспект 25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Коммерческая скорая помощь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Ситилаб, 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+7 (812) 389-27-84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, наб. реки Карповки, 21</w:t>
              <w:br/>
              <w:t>СМ-Клиника Дунайский, +7 (812) 210-51-16, дунайский пр. 47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Роддом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СпбГУЗ роддом №6 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+7 (812) 210-51-16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, ул. Маяковского 5</w:t>
            </w:r>
          </w:p>
        </w:tc>
      </w:tr>
    </w:tbl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2.2.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Таблица 6 – Список контактов ответственных и доверенных лиц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Адвокат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Иванов Петр Захарович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Страховая компания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РЕСО-Гарантия, </w:t>
            </w:r>
            <w:r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>Kamennoostrovskiy Avenue, 65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, 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+7 (812) 600-24-01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Участковый полицейский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ru-RU" w:eastAsia="ru-RU" w:bidi="ar-SA"/>
              </w:rPr>
              <w:t>Торшхоев Адам Залимханович</w:t>
              <w:br/>
              <w:t>Телефон: +7(812)2328318, 8999-045-39-81</w:t>
              <w:br/>
              <w:t>Адрес: Санкт-Петербург (г), , Большая Монетная (ул), 11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Участковый врач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Зайцева Анастасия Анатольевна, поликлиника №32, 242-32-49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Управляющая компания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Заведение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оптики», 7 (812) 458-92-04 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Охранный комплекс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ООО ОО «Радиус охрана», +7 (812) 318-72-06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Лифтовой сервис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Лифта нет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Сантехник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Это всё по QR-коду, но вот частные компании:</w:t>
            </w:r>
          </w:p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+78122446304</w:t>
            </w:r>
          </w:p>
        </w:tc>
      </w:tr>
      <w:tr>
        <w:trPr>
          <w:trHeight w:val="664" w:hRule="atLeast"/>
        </w:trPr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Электрик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/>
            </w:pPr>
            <w:r>
              <w:rPr>
                <w:rStyle w:val="Emphasis"/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Телефон дежурного электрика: 8 (812) 200-95-17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Оконный мастер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+7 (812) 921-55-75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Ремонт дверей и замков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+79119295353</w:t>
              <w:br/>
              <w:t>8 (812) 985-00-62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Родственники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Захарова Ольга Алкександровна, Снагин Максим Юрьевич, Захаров Андрей Алексеевич, Афанасьева Ирина Николаевна, Афанасьев Алекс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андр Борисович, 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Няня / уборщица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Петрова Зинаида Михайловна</w:t>
            </w:r>
          </w:p>
        </w:tc>
      </w:tr>
    </w:tbl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276" w:before="0" w:after="160"/>
        <w:jc w:val="both"/>
        <w:rPr>
          <w:color w:val="000000"/>
        </w:rPr>
      </w:pPr>
      <w:r>
        <w:rPr>
          <w:b/>
          <w:color w:val="000000"/>
        </w:rPr>
        <w:t>Задание 3: Пожарная безопасность</w:t>
      </w:r>
    </w:p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  <w:t>Ознакомиться с доступными мерами предупреждения и борьбы с пожарами в вашем месте проживания, составить фотоотчет.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3.1.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793"/>
      </w:tblGrid>
      <w:tr>
        <w:trPr>
          <w:tblHeader w:val="true"/>
        </w:trPr>
        <w:tc>
          <w:tcPr>
            <w:tcW w:w="9060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Таблица 7 – Высокая пожарная нагрузка в месте моего проживания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Пожароопасный объект № 1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Чайник, сделан из дешёвого пластика, состоит из нагревательного элемента, провода, пластика и кнопки включения. Мне кажется ему плохо :/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Пожароопасный объект № 2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Фен, сломался месяц назад. Тоже состоит из нагревательного элемента, пропеллера, кнопки и пластика</w:t>
            </w:r>
          </w:p>
        </w:tc>
      </w:tr>
      <w:tr>
        <w:trPr/>
        <w:tc>
          <w:tcPr>
            <w:tcW w:w="22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360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Пожароопасный объект № 3</w:t>
            </w:r>
          </w:p>
        </w:tc>
        <w:tc>
          <w:tcPr>
            <w:tcW w:w="67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Два маленьких холодильника, состоят из элемента Пельтье, хладагента, блока питания, кнопок и прочих композитных материалов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(металлов).</w:t>
            </w:r>
          </w:p>
        </w:tc>
      </w:tr>
    </w:tbl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>
          <w:tblHeader w:val="true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Меры по снижению пожарной опасности в месте моего проживания:</w:t>
            </w:r>
          </w:p>
        </w:tc>
      </w:tr>
      <w:tr>
        <w:trPr>
          <w:trHeight w:val="425" w:hRule="atLeast"/>
        </w:trPr>
        <w:tc>
          <w:tcPr>
            <w:tcW w:w="9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>
            <w:pPr>
              <w:pStyle w:val="Normal"/>
              <w:widowControl/>
              <w:spacing w:lineRule="auto" w:line="276" w:before="120" w:after="0"/>
              <w:jc w:val="left"/>
              <w:rPr>
                <w:rFonts w:ascii="Cambria" w:hAnsi="Cambria" w:eastAsia="Times New Roman" w:cs="Times New Roman"/>
                <w:i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Электроприборы подключены к удлинителям с предохранителями </w:t>
            </w:r>
            <w:r>
              <w:rPr>
                <w:rFonts w:eastAsia="Times New Roman" w:cs="Times New Roman"/>
                <w:i/>
                <w:color w:val="000000"/>
                <w:kern w:val="0"/>
                <w:sz w:val="24"/>
                <w:szCs w:val="24"/>
                <w:lang w:val="ru-RU" w:eastAsia="ru-RU" w:bidi="ar-SA"/>
              </w:rPr>
              <w:t>(они сами выключаются при скачках напряжения), в комнате лежит огнетушитель, фен и чайник выключены из розеток после использования</w:t>
            </w:r>
          </w:p>
        </w:tc>
      </w:tr>
    </w:tbl>
    <w:p>
      <w:pPr>
        <w:pStyle w:val="Normal"/>
        <w:spacing w:lineRule="auto" w:line="276" w:before="240" w:after="1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3.2.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  <w:t>Сфотографируйте местонахождение ближайших к Вашему месту проживания пожарных шкафов, пожарных рукавов, сигнализации, огнетушителей (на Вашем этаже, в подъезде, доме). Приложите фотосъемку к отчету.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Пункт 3.3.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  <w:t>Сфотографируйте расположение пожарных выходов, черных лестниц в вашем подъезде, доме.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  <w:t>Сфотографируйте ближайший пожарный проезд к Вашему дому и подъезду, расположение пожарного гидранта.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  <w:t>Обозначьте на фрагменте карты города ваш дом и местоположение перечисленных объектов. Приложите сделанные фотографии к отчету.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276" w:before="0" w:after="1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b/>
          <w:color w:val="000000"/>
        </w:rPr>
        <w:t>Выводы по лабораторной работе:</w:t>
      </w:r>
    </w:p>
    <w:p>
      <w:pPr>
        <w:pStyle w:val="Normal"/>
        <w:spacing w:lineRule="auto" w:line="276"/>
        <w:jc w:val="both"/>
        <w:rPr>
          <w:color w:val="000000"/>
        </w:rPr>
      </w:pPr>
      <w:r>
        <w:rPr>
          <w:color w:val="000000"/>
        </w:rPr>
        <w:t>Напишите обобщенный вывод о проделанной аналитической, исследовательской и практической работе. Отразите, какая информация оказалась наиболее полезной, что явилось самым важным для вас с практической точки зрения. Какие аспекты безопасности вашей жизни были менее всего продуманы до полученных в этом курсе знаний и навыков? Что именно поменялось в вашей стратегии защиты себя и своих близких?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1134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>
            <w:lang w:val="en-US"/>
          </w:rPr>
          <w:t xml:space="preserve">–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  <w:r>
          <w:rPr>
            <w:lang w:val="en-US"/>
          </w:rPr>
          <w:t xml:space="preserve"> –</w:t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―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1634c3"/>
    <w:rPr/>
  </w:style>
  <w:style w:type="character" w:styleId="Style13" w:customStyle="1">
    <w:name w:val="Нижний колонтитул Знак"/>
    <w:basedOn w:val="DefaultParagraphFont"/>
    <w:uiPriority w:val="99"/>
    <w:qFormat/>
    <w:rsid w:val="001634c3"/>
    <w:rPr/>
  </w:style>
  <w:style w:type="character" w:styleId="Hyperlink">
    <w:name w:val="Hyperlink"/>
    <w:basedOn w:val="DefaultParagraphFont"/>
    <w:uiPriority w:val="99"/>
    <w:unhideWhenUsed/>
    <w:rsid w:val="001d5dba"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1634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1634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50a07"/>
    <w:pPr>
      <w:spacing w:before="0" w:after="160"/>
      <w:ind w:lef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lang w:eastAsia="ru-RU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ottagesspb.ru/ekologiya/sankt-peterburga/" TargetMode="External"/><Relationship Id="rId4" Type="http://schemas.openxmlformats.org/officeDocument/2006/relationships/hyperlink" Target="https://ecostandardgroup.ru/center/ecorating/saint-petersburg/" TargetMode="External"/><Relationship Id="rId5" Type="http://schemas.openxmlformats.org/officeDocument/2006/relationships/hyperlink" Target="https://yandex.ru/maps/org/spbgpmu_infektsionnoye_otdeleniye_2/225843732148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Application>LibreOffice/24.2.7.2$Linux_X86_64 LibreOffice_project/420$Build-2</Application>
  <AppVersion>15.0000</AppVersion>
  <Pages>11</Pages>
  <Words>1234</Words>
  <Characters>8446</Characters>
  <CharactersWithSpaces>9562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2024-03-14T16:11:00Z</dcterms:created>
  <dc:creator>Meluser</dc:creator>
  <dc:description/>
  <dc:language>ru-RU</dc:language>
  <cp:lastModifiedBy/>
  <dcterms:modified xsi:type="dcterms:W3CDTF">2025-03-06T14:20:12Z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