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Infrastructure Budget Summary</w:t>
      </w:r>
    </w:p>
    <w:p>
      <w:r>
        <w:t>Resource allocations for AI inference and vector hosting.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Estimated Cost</w:t>
            </w:r>
          </w:p>
        </w:tc>
      </w:tr>
      <w:tr>
        <w:tc>
          <w:tcPr>
            <w:tcW w:type="dxa" w:w="2880"/>
          </w:tcPr>
          <w:p>
            <w:r>
              <w:t>Groq LPUs</w:t>
            </w:r>
          </w:p>
        </w:tc>
        <w:tc>
          <w:tcPr>
            <w:tcW w:type="dxa" w:w="2880"/>
          </w:tcPr>
          <w:p>
            <w:r>
              <w:t>Groq Cloud</w:t>
            </w:r>
          </w:p>
        </w:tc>
        <w:tc>
          <w:tcPr>
            <w:tcW w:type="dxa" w:w="2880"/>
          </w:tcPr>
          <w:p>
            <w:r>
              <w:t>$0.00 (Free Tier)</w:t>
            </w:r>
          </w:p>
        </w:tc>
      </w:tr>
      <w:tr>
        <w:tc>
          <w:tcPr>
            <w:tcW w:type="dxa" w:w="2880"/>
          </w:tcPr>
          <w:p>
            <w:r>
              <w:t>Gemini Fallback</w:t>
            </w:r>
          </w:p>
        </w:tc>
        <w:tc>
          <w:tcPr>
            <w:tcW w:type="dxa" w:w="2880"/>
          </w:tcPr>
          <w:p>
            <w:r>
              <w:t>Google AI</w:t>
            </w:r>
          </w:p>
        </w:tc>
        <w:tc>
          <w:tcPr>
            <w:tcW w:type="dxa" w:w="2880"/>
          </w:tcPr>
          <w:p>
            <w:r>
              <w:t>$0.00 (Free Tier)</w:t>
            </w:r>
          </w:p>
        </w:tc>
      </w:tr>
      <w:tr>
        <w:tc>
          <w:tcPr>
            <w:tcW w:type="dxa" w:w="2880"/>
          </w:tcPr>
          <w:p>
            <w:r>
              <w:t>Hosting Server</w:t>
            </w:r>
          </w:p>
        </w:tc>
        <w:tc>
          <w:tcPr>
            <w:tcW w:type="dxa" w:w="2880"/>
          </w:tcPr>
          <w:p>
            <w:r>
              <w:t>Railway/Render</w:t>
            </w:r>
          </w:p>
        </w:tc>
        <w:tc>
          <w:tcPr>
            <w:tcW w:type="dxa" w:w="2880"/>
          </w:tcPr>
          <w:p>
            <w:r>
              <w:t>$5.00/month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