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Engineering Standards 2026</w:t>
      </w:r>
    </w:p>
    <w:p>
      <w:pPr>
        <w:pStyle w:val="Heading2"/>
      </w:pPr>
      <w:r>
        <w:t>Code Quality &amp; Async I/O</w:t>
      </w:r>
    </w:p>
    <w:p>
      <w:r>
        <w:t>All backend services must use non-blocking async/await with FastAPI and aiosqlite.</w:t>
      </w:r>
    </w:p>
    <w:p>
      <w:pPr>
        <w:pStyle w:val="Heading2"/>
      </w:pPr>
      <w:r>
        <w:t>SQLite WAL Configuration</w:t>
      </w:r>
    </w:p>
    <w:p>
      <w:r>
        <w:t>PRAGMA journal_mode = WAL and busy_timeout = 5000 are strictly required.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Enforcement</w:t>
            </w:r>
          </w:p>
        </w:tc>
      </w:tr>
      <w:tr>
        <w:tc>
          <w:tcPr>
            <w:tcW w:type="dxa" w:w="2880"/>
          </w:tcPr>
          <w:p>
            <w:r>
              <w:t>ORM Schema</w:t>
            </w:r>
          </w:p>
        </w:tc>
        <w:tc>
          <w:tcPr>
            <w:tcW w:type="dxa" w:w="2880"/>
          </w:tcPr>
          <w:p>
            <w:r>
              <w:t>SQLAlchemy 2.0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Type Safety</w:t>
            </w:r>
          </w:p>
        </w:tc>
        <w:tc>
          <w:tcPr>
            <w:tcW w:type="dxa" w:w="2880"/>
          </w:tcPr>
          <w:p>
            <w:r>
              <w:t>Pydantic v2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Vector Search</w:t>
            </w:r>
          </w:p>
        </w:tc>
        <w:tc>
          <w:tcPr>
            <w:tcW w:type="dxa" w:w="2880"/>
          </w:tcPr>
          <w:p>
            <w:r>
              <w:t>FAISS-CPU</w:t>
            </w:r>
          </w:p>
        </w:tc>
        <w:tc>
          <w:tcPr>
            <w:tcW w:type="dxa" w:w="2880"/>
          </w:tcPr>
          <w:p>
            <w:r>
              <w:t>Normalized L2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