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Backend Engineering Standards &amp; Guidelines 2026</w:t>
      </w:r>
    </w:p>
    <w:p>
      <w:r>
        <w:rPr>
          <w:i/>
        </w:rPr>
        <w:t>Author: Engineering Leadership Team</w:t>
        <w:br/>
        <w:t>Effective Date: 2026-Q1</w:t>
        <w:br/>
        <w:t>Scope: All Backend Repositories &amp; Services</w:t>
      </w:r>
    </w:p>
    <w:p>
      <w:pPr>
        <w:pStyle w:val="Heading1"/>
      </w:pPr>
      <w:r>
        <w:t>1. Python &amp; AsyncIO Best Practices</w:t>
      </w:r>
    </w:p>
    <w:p>
      <w:r>
        <w:t>All backend services must adhere to modern Python 3.11+ asynchronous paradigms. Avoid blocking synchronous I/O operations inside FastAPI endpoint handlers.</w:t>
      </w:r>
    </w:p>
    <w:p>
      <w:pPr>
        <w:pStyle w:val="ListBullet"/>
      </w:pPr>
      <w:r>
        <w:rPr>
          <w:b/>
        </w:rPr>
        <w:t xml:space="preserve">Async SQLite: </w:t>
      </w:r>
      <w:r>
        <w:t>Use aiosqlite and SQLAlchemy 2.0 async sessions with scoped context managers.</w:t>
      </w:r>
    </w:p>
    <w:p>
      <w:pPr>
        <w:pStyle w:val="ListBullet"/>
      </w:pPr>
      <w:r>
        <w:rPr>
          <w:b/>
        </w:rPr>
        <w:t xml:space="preserve">Type Hinting: </w:t>
      </w:r>
      <w:r>
        <w:t>Strict type annotations on all function signatures verified via mypy.</w:t>
      </w:r>
    </w:p>
    <w:p>
      <w:pPr>
        <w:pStyle w:val="ListBullet"/>
      </w:pPr>
      <w:r>
        <w:rPr>
          <w:b/>
        </w:rPr>
        <w:t xml:space="preserve">Pydantic v2: </w:t>
      </w:r>
      <w:r>
        <w:t>Use Pydantic v2 schemas for all request payload validations and responses.</w:t>
      </w:r>
    </w:p>
    <w:p>
      <w:pPr>
        <w:pStyle w:val="Heading1"/>
      </w:pPr>
      <w:r>
        <w:t>2. Approved Architecture Tech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Area</w:t>
            </w:r>
          </w:p>
        </w:tc>
        <w:tc>
          <w:tcPr>
            <w:tcW w:type="dxa" w:w="2880"/>
          </w:tcPr>
          <w:p>
            <w:r>
              <w:t>Standard Technology</w:t>
            </w:r>
          </w:p>
        </w:tc>
        <w:tc>
          <w:tcPr>
            <w:tcW w:type="dxa" w:w="2880"/>
          </w:tcPr>
          <w:p>
            <w:r>
              <w:t>Compliance Rule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 (Async ASGI)</w:t>
            </w:r>
          </w:p>
        </w:tc>
        <w:tc>
          <w:tcPr>
            <w:tcW w:type="dxa" w:w="2880"/>
          </w:tcPr>
          <w:p>
            <w:r>
              <w:t>Mandatory for all microservices</w:t>
            </w:r>
          </w:p>
        </w:tc>
      </w:tr>
      <w:tr>
        <w:tc>
          <w:tcPr>
            <w:tcW w:type="dxa" w:w="2880"/>
          </w:tcPr>
          <w:p>
            <w:r>
              <w:t>Database Engine</w:t>
            </w:r>
          </w:p>
        </w:tc>
        <w:tc>
          <w:tcPr>
            <w:tcW w:type="dxa" w:w="2880"/>
          </w:tcPr>
          <w:p>
            <w:r>
              <w:t>SQLite in WAL Mode / PostgreSQL</w:t>
            </w:r>
          </w:p>
        </w:tc>
        <w:tc>
          <w:tcPr>
            <w:tcW w:type="dxa" w:w="2880"/>
          </w:tcPr>
          <w:p>
            <w:r>
              <w:t>Strict schema migrations via Alembic</w:t>
            </w:r>
          </w:p>
        </w:tc>
      </w:tr>
      <w:tr>
        <w:tc>
          <w:tcPr>
            <w:tcW w:type="dxa" w:w="2880"/>
          </w:tcPr>
          <w:p>
            <w:r>
              <w:t>Vector Index</w:t>
            </w:r>
          </w:p>
        </w:tc>
        <w:tc>
          <w:tcPr>
            <w:tcW w:type="dxa" w:w="2880"/>
          </w:tcPr>
          <w:p>
            <w:r>
              <w:t>FAISS Flat / IVFFlat</w:t>
            </w:r>
          </w:p>
        </w:tc>
        <w:tc>
          <w:tcPr>
            <w:tcW w:type="dxa" w:w="2880"/>
          </w:tcPr>
          <w:p>
            <w:r>
              <w:t>L2 normalized inner product cosine metric</w:t>
            </w:r>
          </w:p>
        </w:tc>
      </w:tr>
      <w:tr>
        <w:tc>
          <w:tcPr>
            <w:tcW w:type="dxa" w:w="2880"/>
          </w:tcPr>
          <w:p>
            <w:r>
              <w:t>LLM Inference</w:t>
            </w:r>
          </w:p>
        </w:tc>
        <w:tc>
          <w:tcPr>
            <w:tcW w:type="dxa" w:w="2880"/>
          </w:tcPr>
          <w:p>
            <w:r>
              <w:t>Groq LPU (LLaMA-3.3 70B)</w:t>
            </w:r>
          </w:p>
        </w:tc>
        <w:tc>
          <w:tcPr>
            <w:tcW w:type="dxa" w:w="2880"/>
          </w:tcPr>
          <w:p>
            <w:r>
              <w:t>Streaming chunks with token budget controls</w:t>
            </w:r>
          </w:p>
        </w:tc>
      </w:tr>
      <w:tr>
        <w:tc>
          <w:tcPr>
            <w:tcW w:type="dxa" w:w="2880"/>
          </w:tcPr>
          <w:p>
            <w:r>
              <w:t>Testing Framework</w:t>
            </w:r>
          </w:p>
        </w:tc>
        <w:tc>
          <w:tcPr>
            <w:tcW w:type="dxa" w:w="2880"/>
          </w:tcPr>
          <w:p>
            <w:r>
              <w:t>pytest + httpx AsyncClient</w:t>
            </w:r>
          </w:p>
        </w:tc>
        <w:tc>
          <w:tcPr>
            <w:tcW w:type="dxa" w:w="2880"/>
          </w:tcPr>
          <w:p>
            <w:r>
              <w:t>Minimum 85% code coverage for CI passes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