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lineRule="auto"/>
      </w:pPr>
      <w:r>
        <w:rPr>
          <w:rFonts w:ascii="Arial" w:cs="Arial" w:eastAsia="Arial" w:hAnsi="Arial"/>
          <w:b/>
          <w:bCs/>
          <w:sz w:val="28"/>
          <w:szCs w:val="28"/>
        </w:rPr>
        <w:t xml:space="preserve">4. PROTOTIPO DASHBOARDING - PRIMERA APROXIMACIÓN</w:t>
      </w:r>
    </w:p>
    <w:p>
      <w:pPr>
        <w:spacing w:after="200" w:line="360" w:lineRule="auto"/>
        <w:jc w:val="both"/>
      </w:pPr>
      <w:r>
        <w:rPr>
          <w:rFonts w:ascii="Arial" w:cs="Arial" w:eastAsia="Arial" w:hAnsi="Arial"/>
          <w:i w:val="false"/>
          <w:iCs w:val="false"/>
          <w:sz w:val="24"/>
          <w:szCs w:val="24"/>
        </w:rPr>
        <w:t xml:space="preserve">Esta sección describe la primera aproximación del prototipo funcional que da soporte visual a la solución propuesta en el presente trabajo. El alcance funcional de la solución se delimita a tres casos de uso, orientados a dos necesidades de información del proveedor: comprender la demanda pública y conocer el mercado competitivo, más una tercera de apoyo a la decisión de participación. El primer caso de uso, comportamiento de la demanda institucional, reúne los productos demandados, su frecuencia, los proveedores adjudicatarios, los precios y los tiempos de adjudicación; el segundo, caracterización de proveedores, cubre los productos ofertados, precios, adjudicaciones y desempeño histórico; el tercero, predicción de adjudicación, corresponde al modelo predictivo de clasificación que se desarrollará en una fase posterior. Conforme a la delimitación del alcance de la sección 1.3, el prototipo se concentra deliberadamente en el primer caso de uso y lo cubre en su totalidad, en lugar de abordar los tres de forma parcial.</w:t>
      </w:r>
    </w:p>
    <w:p>
      <w:pPr>
        <w:pStyle w:val="Heading2"/>
        <w:spacing w:after="160" w:before="240" w:line="360" w:lineRule="auto"/>
      </w:pPr>
      <w:r>
        <w:rPr>
          <w:rFonts w:ascii="Arial" w:cs="Arial" w:eastAsia="Arial" w:hAnsi="Arial"/>
          <w:b/>
          <w:bCs/>
          <w:sz w:val="26"/>
          <w:szCs w:val="26"/>
        </w:rPr>
        <w:t xml:space="preserve">4.1. Arquitectura del prototipo</w:t>
      </w:r>
    </w:p>
    <w:p>
      <w:pPr>
        <w:spacing w:after="200" w:line="360" w:lineRule="auto"/>
        <w:jc w:val="both"/>
      </w:pPr>
      <w:r>
        <w:rPr>
          <w:rFonts w:ascii="Arial" w:cs="Arial" w:eastAsia="Arial" w:hAnsi="Arial"/>
          <w:i w:val="false"/>
          <w:iCs w:val="false"/>
          <w:sz w:val="24"/>
          <w:szCs w:val="24"/>
        </w:rPr>
        <w:t xml:space="preserve">El prototipo se apoya en la arquitectura de datos ya descrita en la entrega de la asignatura de bases de datos: el Observatorio de Compra Pública publica mensualmente los archivos de carteles, ofertas y adjudicaciones de SICOP; un proceso ETL en Python los carga en PostgreSQL, y a partir de un esquema de staging construye un modelo dimensional de constelación con tres tablas de hechos (lineas_carteles, lineas_ofertas y lineas_adjudicadas) y tres dimensiones (instituciones, proveedores y catálogo de productos). Para el prototipo resulta central esta última dimensión, que reconstruye la jerarquía de la clasificación UNSPSC utilizada por SICOP —segmento, familia, clase y mercancía, derivados de los primeros dígitos del código de producto— y asigna un nombre legible a cada uno de los cincuenta y siete segmentos observados. Sin ella no sería posible ofrecer al usuario un filtro por segmento de producto, que es el mecanismo de navegación principal de la aplicación.</w:t>
      </w:r>
    </w:p>
    <w:p>
      <w:pPr>
        <w:spacing w:after="200" w:line="360" w:lineRule="auto"/>
        <w:jc w:val="both"/>
      </w:pPr>
      <w:r>
        <w:rPr>
          <w:rFonts w:ascii="Arial" w:cs="Arial" w:eastAsia="Arial" w:hAnsi="Arial"/>
          <w:i w:val="false"/>
          <w:iCs w:val="false"/>
          <w:sz w:val="24"/>
          <w:szCs w:val="24"/>
        </w:rPr>
        <w:t xml:space="preserve">Sobre ese modelo se añade una cuarta capa de visualización, desarrollada en Streamlit por tratarse de una herramienta gratuita, de código abierto y de curva de aprendizaje reducida, adecuada para un producto mínimo viable académico. La aplicación se conecta a PostgreSQL mediante SQLAlchemy y encapsula cada consulta analítica en una función independiente con memoria caché, de modo que cambiar el segmento o la ventana de meses no obliga a recalcular toda la pantalla ni a abrir una nueva conexión en cada interacción. La conexión se lee de un archivo de configuración externo al código, lo que permite que la misma aplicación funcione contra una base local durante el desarrollo y contra una base publicada en la nube cuando el grupo decida desplegarla: solo cambia ese archivo. Esta separación entre fuente, ETL, modelo de datos y presentación permite que cualquier integrante modifique la capa de visualización sin alterar el pipeline, y viceversa.</w:t>
      </w:r>
    </w:p>
    <w:p>
      <w:pPr>
        <w:spacing w:after="120" w:before="120"/>
        <w:jc w:val="center"/>
      </w:pPr>
      <w:r>
        <w:rPr>
          <w:rFonts w:ascii="Arial" w:cs="Arial" w:eastAsia="Arial" w:hAnsi="Arial"/>
          <w:i/>
          <w:iCs/>
          <w:sz w:val="22"/>
          <w:szCs w:val="22"/>
        </w:rPr>
        <w:t xml:space="preserve">[FIGURA 1. Diagrama de arquitectura del prototipo (Observatorio → ETL → PostgreSQL → Streamlit) — PENDIENTE: capturar tras conectar el prototipo a proyecto_sicop_v1]</w:t>
      </w:r>
    </w:p>
    <w:p>
      <w:pPr>
        <w:pStyle w:val="Heading2"/>
        <w:spacing w:after="160" w:before="240" w:line="360" w:lineRule="auto"/>
      </w:pPr>
      <w:r>
        <w:rPr>
          <w:rFonts w:ascii="Arial" w:cs="Arial" w:eastAsia="Arial" w:hAnsi="Arial"/>
          <w:b/>
          <w:bCs/>
          <w:sz w:val="26"/>
          <w:szCs w:val="26"/>
        </w:rPr>
        <w:t xml:space="preserve">4.2. ¿Qué hace el prototipo y qué información utiliza?</w:t>
      </w:r>
    </w:p>
    <w:p>
      <w:pPr>
        <w:spacing w:after="200" w:line="360" w:lineRule="auto"/>
        <w:jc w:val="both"/>
      </w:pPr>
      <w:r>
        <w:rPr>
          <w:rFonts w:ascii="Arial" w:cs="Arial" w:eastAsia="Arial" w:hAnsi="Arial"/>
          <w:i w:val="false"/>
          <w:iCs w:val="false"/>
          <w:sz w:val="24"/>
          <w:szCs w:val="24"/>
        </w:rPr>
        <w:t xml:space="preserve">El caso de uso implementado responde a la pregunta que enfrenta un proveedor MIPYME inscrito en SICOP al iniciar su proceso de búsqueda de oportunidades: dado el segmento de producto en el que se especializa, ¿qué instituciones compran habitualmente ese tipo de bien o servicio, qué montos manejan, cuánta competencia existe y quién ha resultado adjudicado en el pasado? El prototipo responde estas preguntas en una única pantalla, a partir de dos filtros controlados por el usuario: el segmento de producto, seleccionado de una lista ordenada por volumen de líneas de cartel publicadas —y no alfabéticamente, para que los segmentos más relevantes aparezcan primero—, y una ventana de meses relativa a la fecha de publicación más reciente disponible en el repositorio.</w:t>
      </w:r>
    </w:p>
    <w:p>
      <w:pPr>
        <w:spacing w:after="200" w:line="360" w:lineRule="auto"/>
        <w:jc w:val="both"/>
      </w:pPr>
      <w:r>
        <w:rPr>
          <w:rFonts w:ascii="Arial" w:cs="Arial" w:eastAsia="Arial" w:hAnsi="Arial"/>
          <w:i w:val="false"/>
          <w:iCs w:val="false"/>
          <w:sz w:val="24"/>
          <w:szCs w:val="24"/>
        </w:rPr>
        <w:t xml:space="preserve">A partir de estos dos filtros, la aplicación calcula seis indicadores clave: cantidad de carteles publicados, monto total adjudicado, cantidad de proveedores distintos que presentaron oferta, promedio de ofertas recibidas por línea —indicador de intensidad competitiva—, relación entre el precio adjudicado y el precio estimado del cartel, y días transcurridos entre la publicación y la adjudicación firme. Los dos últimos responden directamente a las herramientas de precios y tiempos que define el primer caso de uso. Debajo de los indicadores se presentan el ranking de las instituciones más activas en el segmento, con la mediana de días que cada una tarda en adjudicar; el ranking de los proveedores con mayor monto adjudicado; la evolución mensual comparada entre carteles publicados y adjudicados; una tabla con la mediana del precio unitario estimado, ofertado y adjudicado de los productos más demandados del segmento; y un listado de detalle con los carteles más recientes. Las tablas consultadas son lineas_carteles y lineas_ofertas para actividad, competencia y precios ofertados, lineas_adjudicadas para resultados, precios adjudicados y tiempos, y las tres dimensiones para incorporar los nombres legibles de institución, proveedor, segmento y producto.</w:t>
      </w:r>
    </w:p>
    <w:p>
      <w:pPr>
        <w:spacing w:after="200" w:line="360" w:lineRule="auto"/>
        <w:jc w:val="both"/>
      </w:pPr>
      <w:r>
        <w:rPr>
          <w:rFonts w:ascii="Arial" w:cs="Arial" w:eastAsia="Arial" w:hAnsi="Arial"/>
          <w:i w:val="false"/>
          <w:iCs w:val="false"/>
          <w:sz w:val="24"/>
          <w:szCs w:val="24"/>
        </w:rPr>
        <w:t xml:space="preserve">En la ejecución del prototipo realizada por el grupo el 13 de septiembre de 2026 sobre la base cargada con los datos del Observatorio hasta junio de 2026, el segmento de mayor volumen —equipos de distribución y acondicionamiento de fluidos— presentó, en los últimos doce meses, 1.071 carteles publicados, un monto adjudicado de ₡523.167.905 y 162 proveedores distintos que presentaron oferta. [PENDIENTE: completar con el promedio de ofertas por línea, la relación precio adjudicado/estimado y la mediana de días hasta adjudicación de ese mismo segmento, una vez ejecutada la versión actual del prototipo.]</w:t>
      </w:r>
    </w:p>
    <w:p>
      <w:pPr>
        <w:spacing w:after="200" w:line="360" w:lineRule="auto"/>
        <w:jc w:val="both"/>
      </w:pPr>
      <w:r>
        <w:rPr>
          <w:rFonts w:ascii="Arial" w:cs="Arial" w:eastAsia="Arial" w:hAnsi="Arial"/>
          <w:i w:val="false"/>
          <w:iCs w:val="false"/>
          <w:sz w:val="24"/>
          <w:szCs w:val="24"/>
        </w:rPr>
        <w:t xml:space="preserve">Esta primera aproximación tiene limitaciones que se reconocen explícitamente. En primer lugar, el pipeline carga los precios unitarios en la moneda original de cada cartel u oferta, junto con el tipo de cambio registrado en SICOP; el prototipo los convierte a colones con ese tipo de cambio y excluye de los indicadores de precio las líneas en otra moneda que no lo tengan. Está pendiente verificar contra la base en qué moneda se registra el monto adjudicado por línea, de lo que depende que el indicador de monto total no combine colones y dólares. En segundo lugar, los días hasta adjudicación se miden desde la fecha de publicación del cartel, mientras que el análisis exploratorio de la asignatura de fuentes de datos los midió desde la fecha de solicitud de contratación; las dos medidas no son directamente comparables. Además, el período cubierto corresponde a los meses efectivamente cargados por el pipeline, cuya extensión definitiva como período oficial del TFM está pendiente de acuerdo; el prototipo no depende de un período fijo, porque su ventana se calcula siempre en relación con el dato más reciente disponible. Finalmente, la aplicación se ejecuta en el entorno local de cada integrante, sin autenticación ni datos en tiempo real, y todavía no integra el modelo predictivo de probabilidad de adjudicación, que corresponde al tercer caso de uso y se incorporará a esta misma interfaz en una fase posterior.</w:t>
      </w:r>
    </w:p>
    <w:p>
      <w:pPr>
        <w:spacing w:after="120" w:before="120"/>
        <w:jc w:val="center"/>
      </w:pPr>
      <w:r>
        <w:rPr>
          <w:rFonts w:ascii="Arial" w:cs="Arial" w:eastAsia="Arial" w:hAnsi="Arial"/>
          <w:i/>
          <w:iCs/>
          <w:sz w:val="22"/>
          <w:szCs w:val="22"/>
        </w:rPr>
        <w:t xml:space="preserve">[FIGURA 2. Panel de seis indicadores e instituciones más activas para el segmento de mayor volumen — PENDIENTE: capturar tras conectar el prototipo a proyecto_sicop_v1]</w:t>
      </w:r>
    </w:p>
    <w:p>
      <w:pPr>
        <w:spacing w:after="120" w:before="120"/>
        <w:jc w:val="center"/>
      </w:pPr>
      <w:r>
        <w:rPr>
          <w:rFonts w:ascii="Arial" w:cs="Arial" w:eastAsia="Arial" w:hAnsi="Arial"/>
          <w:i/>
          <w:iCs/>
          <w:sz w:val="22"/>
          <w:szCs w:val="22"/>
        </w:rPr>
        <w:t xml:space="preserve">[FIGURA 3. Ranking de proveedores y evolución mensual de carteles publicados vs. adjudicados — PENDIENTE: capturar tras conectar el prototipo a proyecto_sicop_v1]</w:t>
      </w:r>
    </w:p>
    <w:p>
      <w:pPr>
        <w:pStyle w:val="Heading2"/>
        <w:spacing w:after="160" w:before="240" w:line="360" w:lineRule="auto"/>
      </w:pPr>
      <w:r>
        <w:rPr>
          <w:rFonts w:ascii="Arial" w:cs="Arial" w:eastAsia="Arial" w:hAnsi="Arial"/>
          <w:b/>
          <w:bCs/>
          <w:sz w:val="26"/>
          <w:szCs w:val="26"/>
        </w:rPr>
        <w:t xml:space="preserve">4.3. Relación con la hipótesis</w:t>
      </w:r>
    </w:p>
    <w:p>
      <w:pPr>
        <w:spacing w:after="200" w:line="360" w:lineRule="auto"/>
        <w:jc w:val="both"/>
      </w:pPr>
      <w:r>
        <w:rPr>
          <w:rFonts w:ascii="Arial" w:cs="Arial" w:eastAsia="Arial" w:hAnsi="Arial"/>
          <w:i w:val="false"/>
          <w:iCs w:val="false"/>
          <w:sz w:val="24"/>
          <w:szCs w:val="24"/>
        </w:rPr>
        <w:t xml:space="preserve">La hipótesis implícita en la justificación del trabajo sostiene que la falta de acceso sencillo a información histórica y comparativa constituye una barrera relevante para la participación de las micro y pequeñas empresas en la contratación pública. El Ministerio de Economía, Industria y Comercio (MEIC, 2024) identifica precisamente el acceso a información sobre la demanda de bienes y servicios del sector público como una de las principales dificultades de las PYMES, mientras que la OCDE (2018) señala que la complejidad de los sistemas de contratación y la calidad de la información disponible son obstáculos que afectan de forma desproporcionada a las empresas de menor tamaño. En la misma línea, Karjalainen y Kemppainen (2008) encuentran que la disponibilidad limitada de recursos administrativos y de conocimiento especializado se asocia con una menor participación de las PYMES en procesos de contratación pública.</w:t>
      </w:r>
    </w:p>
    <w:p>
      <w:pPr>
        <w:spacing w:after="200" w:line="360" w:lineRule="auto"/>
        <w:jc w:val="both"/>
      </w:pPr>
      <w:r>
        <w:rPr>
          <w:rFonts w:ascii="Arial" w:cs="Arial" w:eastAsia="Arial" w:hAnsi="Arial"/>
          <w:i w:val="false"/>
          <w:iCs w:val="false"/>
          <w:sz w:val="24"/>
          <w:szCs w:val="24"/>
        </w:rPr>
        <w:t xml:space="preserve">El prototipo aborda directamente esta barrera al reducir dos costos que hoy asume el proveedor de forma manual: el costo de localizar, dentro de miles de carteles publicados mensualmente, aquellos que corresponden a su segmento de especialización; y el costo de estimar, sin herramientas de análisis, cuán competido está ese segmento y qué actores lo dominan históricamente. Al presentar en una sola pantalla el volumen de actividad, los montos involucrados, la intensidad de competencia y el historial de adjudicaciones de un segmento específico, la herramienta traslada al proveedor información que antes solo estaba al alcance de organizaciones con capacidad para procesar manualmente los datos abiertos del Observatorio.</w:t>
      </w:r>
    </w:p>
    <w:p>
      <w:pPr>
        <w:spacing w:after="200" w:line="360" w:lineRule="auto"/>
        <w:jc w:val="both"/>
      </w:pPr>
      <w:r>
        <w:rPr>
          <w:rFonts w:ascii="Arial" w:cs="Arial" w:eastAsia="Arial" w:hAnsi="Arial"/>
          <w:i w:val="false"/>
          <w:iCs w:val="false"/>
          <w:sz w:val="24"/>
          <w:szCs w:val="24"/>
        </w:rPr>
        <w:t xml:space="preserve">La información de precios merece una mención aparte, porque toca la decisión más delicada del proveedor: a qué precio ofertar. Un proveedor que conoce que, en su segmento, las adjudicaciones cierran en mediana un determinado porcentaje por debajo del precio estimado del cartel, y que puede consultar el precio unitario estimado, ofertado y adjudicado de los productos concretos que vende, dispone de una referencia objetiva para fijar su oferta que hoy solo obtiene revisando expediente por expediente. Del mismo modo, conocer cuántos días tarda cada institución en adjudicar le permite anticipar el flujo de caja y priorizar los carteles de las instituciones más ágiles. Todo ello es consistente con el objetivo general del TFM de facilitar acceso a información estratégica y analítica avanzada para mejorar la participación y competitividad de las MIPYMES en la contratación pública costarricense.</w:t>
      </w:r>
    </w:p>
    <w:p>
      <w:pPr>
        <w:pStyle w:val="Heading2"/>
        <w:spacing w:after="160" w:before="240" w:line="360" w:lineRule="auto"/>
      </w:pPr>
      <w:r>
        <w:rPr>
          <w:rFonts w:ascii="Arial" w:cs="Arial" w:eastAsia="Arial" w:hAnsi="Arial"/>
          <w:b/>
          <w:bCs/>
          <w:sz w:val="26"/>
          <w:szCs w:val="26"/>
        </w:rPr>
        <w:t xml:space="preserve">4.4. Justificación de las decisiones de visualización</w:t>
      </w:r>
    </w:p>
    <w:p>
      <w:pPr>
        <w:spacing w:after="200" w:line="360" w:lineRule="auto"/>
        <w:jc w:val="both"/>
      </w:pPr>
      <w:r>
        <w:rPr>
          <w:rFonts w:ascii="Arial" w:cs="Arial" w:eastAsia="Arial" w:hAnsi="Arial"/>
          <w:i w:val="false"/>
          <w:iCs w:val="false"/>
          <w:sz w:val="24"/>
          <w:szCs w:val="24"/>
        </w:rPr>
        <w:t xml:space="preserve">Las decisiones de visualización del prototipo siguen principios establecidos en la literatura de diseño de tableros e información analítica. Para los rankings de instituciones y proveedores se optó por gráficos de barras horizontales ordenados por el valor de la métrica y no alfabéticamente, siguiendo la recomendación de que el orden visual debe reflejar el orden de importancia de los datos y no un criterio arbitrario, lo que permite identificar de un vistazo a los actores más relevantes sin necesidad de leer toda la lista (Few, 2013). La orientación horizontal se eligió específicamente porque los nombres de instituciones y proveedores en el dataset son extensos, y una disposición vertical de barras obligaría a truncar o rotar las etiquetas, dificultando su lectura (Munzner, 2014).</w:t>
      </w:r>
    </w:p>
    <w:p>
      <w:pPr>
        <w:spacing w:after="200" w:line="360" w:lineRule="auto"/>
        <w:jc w:val="both"/>
      </w:pPr>
      <w:r>
        <w:rPr>
          <w:rFonts w:ascii="Arial" w:cs="Arial" w:eastAsia="Arial" w:hAnsi="Arial"/>
          <w:i w:val="false"/>
          <w:iCs w:val="false"/>
          <w:sz w:val="24"/>
          <w:szCs w:val="24"/>
        </w:rPr>
        <w:t xml:space="preserve">Para la evolución mensual de carteles publicados frente a carteles adjudicados se utilizó un gráfico de líneas con marcadores, por ser la forma convencional y más eficiente de comunicar una tendencia a lo largo de una variable continua como el tiempo, permitiendo además comparar dos series superpuestas sin necesidad de páneles separados (Tufte, 2001). Finalmente, los seis indicadores principales se presentan mediante el componente de métricas individuales de Streamlit en lugar de incorporarlos a una tabla o a un gráfico adicional, ya que se trata de valores únicos que el usuario debe poder reconocer de forma inmediata al cambiar de segmento, sin que compitan visualmente con los gráficos comparativos que aparecen debajo (Few, 2013).</w:t>
      </w:r>
    </w:p>
    <w:p>
      <w:pPr>
        <w:spacing w:after="200" w:line="360" w:lineRule="auto"/>
        <w:jc w:val="both"/>
      </w:pPr>
      <w:r>
        <w:rPr>
          <w:rFonts w:ascii="Arial" w:cs="Arial" w:eastAsia="Arial" w:hAnsi="Arial"/>
          <w:i w:val="false"/>
          <w:iCs w:val="false"/>
          <w:sz w:val="24"/>
          <w:szCs w:val="24"/>
        </w:rPr>
        <w:t xml:space="preserve">Dos decisiones sobre los precios requieren justificación adicional. La primera es expresar el indicador principal como relación entre el precio adjudicado y el estimado, y no como precio absoluto: un segmento agrupa productos de valor muy distinto —una válvula y una bomba industrial, por ejemplo—, de modo que un promedio de precios absolutos carecería de significado, mientras que la razón adjudicado/estimado es comparable entre líneas y responde a la pregunta útil para el proveedor: cuánto por debajo del estimado suelen cerrar las adjudicaciones. Se usa la mediana y no el promedio por la misma razón que en el análisis exploratorio: la distribución de montos es fuertemente asimétrica. La segunda decisión es presentar los precios por producto en una tabla y no en un gráfico. Cuando el usuario necesita leer valores exactos y compararlos entre varias columnas —estimado, ofertado y adjudicado de un mismo producto—, la tabla es la forma más eficaz, porque el gráfico privilegia la percepción de patrones sobre la lectura precisa de cifras (Few, 2013). El listado de carteles recientes sigue el mismo criterio.</w:t>
      </w:r>
    </w:p>
    <w:p>
      <w:pPr>
        <w:spacing w:after="120" w:before="120"/>
        <w:jc w:val="center"/>
      </w:pPr>
      <w:r>
        <w:rPr>
          <w:rFonts w:ascii="Arial" w:cs="Arial" w:eastAsia="Arial" w:hAnsi="Arial"/>
          <w:i/>
          <w:iCs/>
          <w:sz w:val="22"/>
          <w:szCs w:val="22"/>
        </w:rPr>
        <w:t xml:space="preserve">[FIGURA 4. Tabla de precios por producto y detalle de los carteles más recientes del segmento — PENDIENTE: capturar tras conectar el prototipo a proyecto_sicop_v1]</w:t>
      </w:r>
    </w:p>
    <w:p>
      <w:pPr>
        <w:spacing w:after="200" w:line="360" w:lineRule="auto"/>
        <w:jc w:val="both"/>
      </w:pPr>
      <w:r>
        <w:rPr>
          <w:rFonts w:ascii="Arial" w:cs="Arial" w:eastAsia="Arial" w:hAnsi="Arial"/>
          <w:i/>
          <w:iCs/>
          <w:sz w:val="24"/>
          <w:szCs w:val="24"/>
        </w:rPr>
        <w:t xml:space="preserve">Nota: el código completo del prototipo (app.py) y las consultas SQL asociadas se documentan en el Anexo correspondiente, conforme a lo establecido en el reglamento del TFM, que indica que el código, los notebooks y los tableros deben incluirse como anexos y no en el cuerpo del documento.</w:t>
      </w:r>
    </w:p>
    <w:p>
      <w:pPr>
        <w:pStyle w:val="Heading2"/>
        <w:spacing w:after="160" w:before="240" w:line="360" w:lineRule="auto"/>
      </w:pPr>
      <w:r>
        <w:rPr>
          <w:rFonts w:ascii="Arial" w:cs="Arial" w:eastAsia="Arial" w:hAnsi="Arial"/>
          <w:b/>
          <w:bCs/>
          <w:sz w:val="26"/>
          <w:szCs w:val="26"/>
        </w:rPr>
        <w:t xml:space="preserve">Referencias citadas en esta sección (incorporar a la bibliografía general, sección 9)</w:t>
      </w:r>
    </w:p>
    <w:p>
      <w:pPr>
        <w:spacing w:after="120" w:line="360" w:lineRule="auto"/>
        <w:ind w:left="720" w:hanging="720"/>
        <w:jc w:val="both"/>
      </w:pPr>
      <w:r>
        <w:rPr>
          <w:rFonts w:ascii="Arial" w:cs="Arial" w:eastAsia="Arial" w:hAnsi="Arial"/>
          <w:sz w:val="24"/>
          <w:szCs w:val="24"/>
        </w:rPr>
        <w:t xml:space="preserve">Few, S. (2013). Information dashboard design: Displaying data for at-a-glance monitoring (2.ª ed.). Analytics Press.</w:t>
      </w:r>
    </w:p>
    <w:p>
      <w:pPr>
        <w:spacing w:after="120" w:line="360" w:lineRule="auto"/>
        <w:ind w:left="720" w:hanging="720"/>
        <w:jc w:val="both"/>
      </w:pPr>
      <w:r>
        <w:rPr>
          <w:rFonts w:ascii="Arial" w:cs="Arial" w:eastAsia="Arial" w:hAnsi="Arial"/>
          <w:sz w:val="24"/>
          <w:szCs w:val="24"/>
        </w:rPr>
        <w:t xml:space="preserve">Munzner, T. (2014). Visualization analysis and design. CRC Press.</w:t>
      </w:r>
    </w:p>
    <w:p>
      <w:pPr>
        <w:spacing w:after="120" w:line="360" w:lineRule="auto"/>
        <w:ind w:left="720" w:hanging="720"/>
        <w:jc w:val="both"/>
      </w:pPr>
      <w:r>
        <w:rPr>
          <w:rFonts w:ascii="Arial" w:cs="Arial" w:eastAsia="Arial" w:hAnsi="Arial"/>
          <w:sz w:val="24"/>
          <w:szCs w:val="24"/>
        </w:rPr>
        <w:t xml:space="preserve">Tufte, E. R. (2001). The visual display of quantitative information (2.ª ed.). Graphics Press.</w:t>
      </w:r>
    </w:p>
    <w:p>
      <w:pPr>
        <w:spacing w:after="200" w:line="360" w:lineRule="auto"/>
        <w:jc w:val="both"/>
      </w:pPr>
      <w:r>
        <w:rPr>
          <w:rFonts w:ascii="Arial" w:cs="Arial" w:eastAsia="Arial" w:hAnsi="Arial"/>
          <w:b w:val="false"/>
          <w:bCs w:val="false"/>
          <w:i/>
          <w:iCs/>
          <w:sz w:val="24"/>
          <w:szCs w:val="24"/>
        </w:rPr>
        <w:t xml:space="preserve">Las demás fuentes citadas en esta sección (MEIC, 2024; OECD, 2018; Karjalainen &amp; Kemppainen, 2008) ya se encuentran en la bibliografía general del documento (sección 9), por lo que no requieren una entrada nueva.</w:t>
      </w:r>
    </w:p>
    <w:sectPr>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2026-09-13T22:38:07.016Z</dcterms:created>
  <dcterms:modified xsi:type="dcterms:W3CDTF">2026-09-13T22:38:07.017Z</dcterms:modified>
</cp:coreProperties>
</file>

<file path=docProps/custom.xml><?xml version="1.0" encoding="utf-8"?>
<Properties xmlns="http://schemas.openxmlformats.org/officeDocument/2006/custom-properties" xmlns:vt="http://schemas.openxmlformats.org/officeDocument/2006/docPropsVTypes"/>
</file>