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838C11" w14:textId="77777777" w:rsidR="00C84315" w:rsidRDefault="00567E38">
      <w:pPr>
        <w:pStyle w:val="Ttulo1"/>
        <w:spacing w:before="240" w:after="240" w:line="360" w:lineRule="auto"/>
      </w:pPr>
      <w:r>
        <w:rPr>
          <w:rFonts w:ascii="Arial" w:eastAsia="Arial" w:hAnsi="Arial" w:cs="Arial"/>
          <w:b/>
          <w:bCs/>
          <w:sz w:val="28"/>
          <w:szCs w:val="28"/>
        </w:rPr>
        <w:t>4. PROTOTIPO DASHBOARDING - PRIMERA APROXIMACIÓN</w:t>
      </w:r>
    </w:p>
    <w:p w14:paraId="20A13607" w14:textId="77777777" w:rsidR="00C84315" w:rsidRDefault="00567E38">
      <w:pPr>
        <w:spacing w:after="200" w:line="360" w:lineRule="auto"/>
        <w:jc w:val="both"/>
      </w:pPr>
      <w:r>
        <w:rPr>
          <w:rFonts w:ascii="Arial" w:eastAsia="Arial" w:hAnsi="Arial" w:cs="Arial"/>
          <w:sz w:val="24"/>
          <w:szCs w:val="24"/>
        </w:rPr>
        <w:t>Esta sección describe la primera aproximación del prototipo funcional que da soporte visual a la solución propuesta en el presente trabajo. Conforme a la delimitación del alcance definida en la sección 1.3, el prototipo se concentra deliberadamente en un ú</w:t>
      </w:r>
      <w:r>
        <w:rPr>
          <w:rFonts w:ascii="Arial" w:eastAsia="Arial" w:hAnsi="Arial" w:cs="Arial"/>
          <w:sz w:val="24"/>
          <w:szCs w:val="24"/>
        </w:rPr>
        <w:t>nico caso de uso —la evaluación de carteles por segmento de producto desde la perspectiva del proveedor— en lugar de intentar cubrir simultáneamente los distintos casos de uso identificados por el grupo, varios de los cuales aún están pendientes de consoli</w:t>
      </w:r>
      <w:r>
        <w:rPr>
          <w:rFonts w:ascii="Arial" w:eastAsia="Arial" w:hAnsi="Arial" w:cs="Arial"/>
          <w:sz w:val="24"/>
          <w:szCs w:val="24"/>
        </w:rPr>
        <w:t>darse en una lista única acordada por todos los integrantes.</w:t>
      </w:r>
    </w:p>
    <w:p w14:paraId="63A279D1" w14:textId="77777777" w:rsidR="00C84315" w:rsidRDefault="00567E38">
      <w:pPr>
        <w:pStyle w:val="Ttulo2"/>
        <w:spacing w:before="240" w:after="160" w:line="360" w:lineRule="auto"/>
      </w:pPr>
      <w:r>
        <w:rPr>
          <w:rFonts w:ascii="Arial" w:eastAsia="Arial" w:hAnsi="Arial" w:cs="Arial"/>
          <w:b/>
          <w:bCs/>
        </w:rPr>
        <w:t>4.1. Arquitectura del prototipo</w:t>
      </w:r>
    </w:p>
    <w:p w14:paraId="6B282782" w14:textId="77777777" w:rsidR="00C84315" w:rsidRDefault="00567E38">
      <w:pPr>
        <w:spacing w:after="200" w:line="360" w:lineRule="auto"/>
        <w:jc w:val="both"/>
      </w:pPr>
      <w:r>
        <w:rPr>
          <w:rFonts w:ascii="Arial" w:eastAsia="Arial" w:hAnsi="Arial" w:cs="Arial"/>
          <w:sz w:val="24"/>
          <w:szCs w:val="24"/>
        </w:rPr>
        <w:t>El prototipo se apoya en la arquitectura de cuatro capas ya construida por el grupo para el repositorio de datos del TFM. La primera capa corresponde a la fuente d</w:t>
      </w:r>
      <w:r>
        <w:rPr>
          <w:rFonts w:ascii="Arial" w:eastAsia="Arial" w:hAnsi="Arial" w:cs="Arial"/>
          <w:sz w:val="24"/>
          <w:szCs w:val="24"/>
        </w:rPr>
        <w:t>e datos: el Observatorio de Compra Pública de Costa Rica, que publica mensualmente archivos comprimidos con el detalle de carteles, ofertas y adjudicaciones de SICOP. La segunda capa es el proceso de extracción, transformación y carga (ETL) desarrollado en</w:t>
      </w:r>
      <w:r>
        <w:rPr>
          <w:rFonts w:ascii="Arial" w:eastAsia="Arial" w:hAnsi="Arial" w:cs="Arial"/>
          <w:sz w:val="24"/>
          <w:szCs w:val="24"/>
        </w:rPr>
        <w:t xml:space="preserve"> Python, que descarga los archivos, los procesa mediante una arquitectura de streaming —sin cargar el archivo completo en memoria— y los deposita en un esquema de staging dentro de PostgreSQL, conservando metadatos técnicos de trazabilidad (período, archiv</w:t>
      </w:r>
      <w:r>
        <w:rPr>
          <w:rFonts w:ascii="Arial" w:eastAsia="Arial" w:hAnsi="Arial" w:cs="Arial"/>
          <w:sz w:val="24"/>
          <w:szCs w:val="24"/>
        </w:rPr>
        <w:t>o de origen, fecha de carga y lote) que permiten auditar el proceso de carga.</w:t>
      </w:r>
    </w:p>
    <w:p w14:paraId="7E80853B" w14:textId="77777777" w:rsidR="00C84315" w:rsidRDefault="00567E38">
      <w:pPr>
        <w:spacing w:after="200" w:line="360" w:lineRule="auto"/>
        <w:jc w:val="both"/>
      </w:pPr>
      <w:r>
        <w:rPr>
          <w:rFonts w:ascii="Arial" w:eastAsia="Arial" w:hAnsi="Arial" w:cs="Arial"/>
          <w:sz w:val="24"/>
          <w:szCs w:val="24"/>
        </w:rPr>
        <w:t>La tercera capa es el modelo de datos analítico, resultado de transformar el staging en un esquema dimensional de constelación compuesto por tres tablas de hechos (lineas_cartele</w:t>
      </w:r>
      <w:r>
        <w:rPr>
          <w:rFonts w:ascii="Arial" w:eastAsia="Arial" w:hAnsi="Arial" w:cs="Arial"/>
          <w:sz w:val="24"/>
          <w:szCs w:val="24"/>
        </w:rPr>
        <w:t>s, lineas_ofertas y lineas_adjudicadas) y tres dimensiones (dim_instituciones, dim_proveedores y dim_catalogo_codigo_identificacion_producto). Esta última dimensión, poblada mediante el script desarrollado específicamente para este propósito, resulta centr</w:t>
      </w:r>
      <w:r>
        <w:rPr>
          <w:rFonts w:ascii="Arial" w:eastAsia="Arial" w:hAnsi="Arial" w:cs="Arial"/>
          <w:sz w:val="24"/>
          <w:szCs w:val="24"/>
        </w:rPr>
        <w:t>al para el prototipo: reconstruye la jerarquía de clasificación de bienes y servicios utilizada por SICOP (segmento, familia, clase y mercancía, derivados de los primeros dígitos del código de producto de dieciséis dígitos) y asigna un nombre legible a cad</w:t>
      </w:r>
      <w:r>
        <w:rPr>
          <w:rFonts w:ascii="Arial" w:eastAsia="Arial" w:hAnsi="Arial" w:cs="Arial"/>
          <w:sz w:val="24"/>
          <w:szCs w:val="24"/>
        </w:rPr>
        <w:t xml:space="preserve">a uno de los cincuenta y siete segmentos observados. Sin </w:t>
      </w:r>
      <w:r>
        <w:rPr>
          <w:rFonts w:ascii="Arial" w:eastAsia="Arial" w:hAnsi="Arial" w:cs="Arial"/>
          <w:sz w:val="24"/>
          <w:szCs w:val="24"/>
        </w:rPr>
        <w:lastRenderedPageBreak/>
        <w:t>esta dimensión, no sería posible ofrecer al usuario un filtro por segmento de producto, que es el mecanismo de navegación principal del prototipo.</w:t>
      </w:r>
    </w:p>
    <w:p w14:paraId="238434ED" w14:textId="77777777" w:rsidR="00C84315" w:rsidRDefault="00567E38">
      <w:pPr>
        <w:spacing w:after="200" w:line="360" w:lineRule="auto"/>
        <w:jc w:val="both"/>
      </w:pPr>
      <w:r>
        <w:rPr>
          <w:rFonts w:ascii="Arial" w:eastAsia="Arial" w:hAnsi="Arial" w:cs="Arial"/>
          <w:sz w:val="24"/>
          <w:szCs w:val="24"/>
        </w:rPr>
        <w:t>La cuarta capa es la aplicación de visualización, de</w:t>
      </w:r>
      <w:r>
        <w:rPr>
          <w:rFonts w:ascii="Arial" w:eastAsia="Arial" w:hAnsi="Arial" w:cs="Arial"/>
          <w:sz w:val="24"/>
          <w:szCs w:val="24"/>
        </w:rPr>
        <w:t>sarrollada en Streamlit por tratarse de una herramienta gratuita, de código abierto y de curva de aprendizaje reducida, adecuada para un producto mínimo viable académico. La aplicación se conecta a PostgreSQL mediante SQLAlchemy y psycopg2, y encapsula cad</w:t>
      </w:r>
      <w:r>
        <w:rPr>
          <w:rFonts w:ascii="Arial" w:eastAsia="Arial" w:hAnsi="Arial" w:cs="Arial"/>
          <w:sz w:val="24"/>
          <w:szCs w:val="24"/>
        </w:rPr>
        <w:t>a consulta analítica en una función independiente con memoria caché (st.cache_data), de modo que cambiar el segmento o la ventana de meses seleccionados no obliga a recalcular toda la pantalla ni a abrir una nueva conexión a la base de datos en cada intera</w:t>
      </w:r>
      <w:r>
        <w:rPr>
          <w:rFonts w:ascii="Arial" w:eastAsia="Arial" w:hAnsi="Arial" w:cs="Arial"/>
          <w:sz w:val="24"/>
          <w:szCs w:val="24"/>
        </w:rPr>
        <w:t>cción. Esta separación en capas —fuente, ETL, modelo de datos y presentación— permite que cualquier integrante del grupo pueda modificar la capa de visualización sin alterar el pipeline de datos, y viceversa.</w:t>
      </w:r>
    </w:p>
    <w:p w14:paraId="21EF31C1" w14:textId="77777777" w:rsidR="00C84315" w:rsidRDefault="00567E38">
      <w:pPr>
        <w:spacing w:before="120" w:after="120"/>
        <w:jc w:val="center"/>
      </w:pPr>
      <w:r>
        <w:rPr>
          <w:rFonts w:ascii="Arial" w:eastAsia="Arial" w:hAnsi="Arial" w:cs="Arial"/>
          <w:i/>
          <w:iCs/>
          <w:sz w:val="22"/>
          <w:szCs w:val="22"/>
        </w:rPr>
        <w:t>[FIGURA 1. Diagrama de arquitectura del prototi</w:t>
      </w:r>
      <w:r>
        <w:rPr>
          <w:rFonts w:ascii="Arial" w:eastAsia="Arial" w:hAnsi="Arial" w:cs="Arial"/>
          <w:i/>
          <w:iCs/>
          <w:sz w:val="22"/>
          <w:szCs w:val="22"/>
        </w:rPr>
        <w:t>po (Observatorio → ETL → PostgreSQL → Streamlit) — PENDIENTE: capturar tras conectar el prototipo a proyecto_sicop_v1]</w:t>
      </w:r>
    </w:p>
    <w:p w14:paraId="705481CB" w14:textId="77777777" w:rsidR="00C84315" w:rsidRDefault="00567E38">
      <w:pPr>
        <w:pStyle w:val="Ttulo2"/>
        <w:spacing w:before="240" w:after="160" w:line="360" w:lineRule="auto"/>
      </w:pPr>
      <w:r>
        <w:rPr>
          <w:rFonts w:ascii="Arial" w:eastAsia="Arial" w:hAnsi="Arial" w:cs="Arial"/>
          <w:b/>
          <w:bCs/>
        </w:rPr>
        <w:t>4.2. ¿Qué hace el prototipo y qué información utiliza?</w:t>
      </w:r>
    </w:p>
    <w:p w14:paraId="750429ED" w14:textId="77777777" w:rsidR="00C84315" w:rsidRDefault="00567E38">
      <w:pPr>
        <w:spacing w:after="200" w:line="360" w:lineRule="auto"/>
        <w:jc w:val="both"/>
      </w:pPr>
      <w:r>
        <w:rPr>
          <w:rFonts w:ascii="Arial" w:eastAsia="Arial" w:hAnsi="Arial" w:cs="Arial"/>
          <w:sz w:val="24"/>
          <w:szCs w:val="24"/>
        </w:rPr>
        <w:t>El caso de uso implementado responde a la pregunta que enfrenta un proveedor MIPYM</w:t>
      </w:r>
      <w:r>
        <w:rPr>
          <w:rFonts w:ascii="Arial" w:eastAsia="Arial" w:hAnsi="Arial" w:cs="Arial"/>
          <w:sz w:val="24"/>
          <w:szCs w:val="24"/>
        </w:rPr>
        <w:t>E inscrito en SICOP al iniciar su proceso de búsqueda de oportunidades: dado el segmento de producto en el que se especializa, ¿qué instituciones compran habitualmente ese tipo de bien o servicio, qué montos manejan, cuánta competencia existe y quién ha re</w:t>
      </w:r>
      <w:r>
        <w:rPr>
          <w:rFonts w:ascii="Arial" w:eastAsia="Arial" w:hAnsi="Arial" w:cs="Arial"/>
          <w:sz w:val="24"/>
          <w:szCs w:val="24"/>
        </w:rPr>
        <w:t>sultado adjudicado en el pasado? El prototipo responde estas preguntas en una única pantalla, a partir de dos filtros controlados por el usuario: el segmento de producto, seleccionado de una lista ordenada por volumen de líneas de cartel publicadas —y no a</w:t>
      </w:r>
      <w:r>
        <w:rPr>
          <w:rFonts w:ascii="Arial" w:eastAsia="Arial" w:hAnsi="Arial" w:cs="Arial"/>
          <w:sz w:val="24"/>
          <w:szCs w:val="24"/>
        </w:rPr>
        <w:t>lfabéticamente, para que los segmentos más relevantes aparezcan primero—, y una ventana de meses relativa a la fecha de publicación más reciente disponible en el repositorio.</w:t>
      </w:r>
    </w:p>
    <w:p w14:paraId="3BC95991" w14:textId="77777777" w:rsidR="00C84315" w:rsidRDefault="00567E38">
      <w:pPr>
        <w:spacing w:after="200" w:line="360" w:lineRule="auto"/>
        <w:jc w:val="both"/>
      </w:pPr>
      <w:r>
        <w:rPr>
          <w:rFonts w:ascii="Arial" w:eastAsia="Arial" w:hAnsi="Arial" w:cs="Arial"/>
          <w:sz w:val="24"/>
          <w:szCs w:val="24"/>
        </w:rPr>
        <w:t>A partir de estos dos filtros, la aplicación calcula cuatro indicadores clave (ca</w:t>
      </w:r>
      <w:r>
        <w:rPr>
          <w:rFonts w:ascii="Arial" w:eastAsia="Arial" w:hAnsi="Arial" w:cs="Arial"/>
          <w:sz w:val="24"/>
          <w:szCs w:val="24"/>
        </w:rPr>
        <w:t>ntidad de carteles publicados, monto total adjudicado, cantidad de proveedores distintos que presentaron oferta y promedio de ofertas recibidas por línea, este último como indicador de intensidad competitiva), un ranking de las instituciones más activas en</w:t>
      </w:r>
      <w:r>
        <w:rPr>
          <w:rFonts w:ascii="Arial" w:eastAsia="Arial" w:hAnsi="Arial" w:cs="Arial"/>
          <w:sz w:val="24"/>
          <w:szCs w:val="24"/>
        </w:rPr>
        <w:t xml:space="preserve"> el segmento, un ranking de los proveedores con </w:t>
      </w:r>
      <w:r>
        <w:rPr>
          <w:rFonts w:ascii="Arial" w:eastAsia="Arial" w:hAnsi="Arial" w:cs="Arial"/>
          <w:sz w:val="24"/>
          <w:szCs w:val="24"/>
        </w:rPr>
        <w:lastRenderedPageBreak/>
        <w:t>mayor monto adjudicado, la evolución mensual comparada entre carteles publicados y carteles efectivamente adjudicados, y un listado de detalle con los carteles más recientes del segmento. Las tablas consultad</w:t>
      </w:r>
      <w:r>
        <w:rPr>
          <w:rFonts w:ascii="Arial" w:eastAsia="Arial" w:hAnsi="Arial" w:cs="Arial"/>
          <w:sz w:val="24"/>
          <w:szCs w:val="24"/>
        </w:rPr>
        <w:t>as son lineas_carteles y lineas_ofertas para los indicadores de actividad y competencia, lineas_adjudicadas para los resultados históricos de adjudicación, y las dimensiones dim_instituciones, dim_proveedores y dim_catalogo_codigo_identificacion_producto p</w:t>
      </w:r>
      <w:r>
        <w:rPr>
          <w:rFonts w:ascii="Arial" w:eastAsia="Arial" w:hAnsi="Arial" w:cs="Arial"/>
          <w:sz w:val="24"/>
          <w:szCs w:val="24"/>
        </w:rPr>
        <w:t>ara incorporar los nombres legibles de institución, proveedor y segmento respectivamente.</w:t>
      </w:r>
    </w:p>
    <w:p w14:paraId="367DDBE1" w14:textId="77777777" w:rsidR="00C84315" w:rsidRDefault="00567E38">
      <w:pPr>
        <w:spacing w:after="200" w:line="360" w:lineRule="auto"/>
        <w:jc w:val="both"/>
      </w:pPr>
      <w:r>
        <w:rPr>
          <w:rFonts w:ascii="Arial" w:eastAsia="Arial" w:hAnsi="Arial" w:cs="Arial"/>
          <w:sz w:val="24"/>
          <w:szCs w:val="24"/>
        </w:rPr>
        <w:t>Esta primera aproximación tiene limitaciones que se reconocen explícitamente. El período cubierto por el repositorio corresponde a los meses efectivamente cargados po</w:t>
      </w:r>
      <w:r>
        <w:rPr>
          <w:rFonts w:ascii="Arial" w:eastAsia="Arial" w:hAnsi="Arial" w:cs="Arial"/>
          <w:sz w:val="24"/>
          <w:szCs w:val="24"/>
        </w:rPr>
        <w:t>r el pipeline ETL del grupo, cuya extensión definitiva como período oficial del TFM está aún pendiente de acuerdo entre los integrantes; el prototipo no depende de un período fijo, ya que su ventana de análisis se calcula siempre en relación con el dato má</w:t>
      </w:r>
      <w:r>
        <w:rPr>
          <w:rFonts w:ascii="Arial" w:eastAsia="Arial" w:hAnsi="Arial" w:cs="Arial"/>
          <w:sz w:val="24"/>
          <w:szCs w:val="24"/>
        </w:rPr>
        <w:t>s reciente disponible. Asimismo, la aplicación se ejecuta únicamente en el entorno local de cada integrante, no incorpora mecanismos de autenticación de usuarios, no ofrece datos en tiempo real —el repositorio se actualiza mediante ejecuciones manuales del</w:t>
      </w:r>
      <w:r>
        <w:rPr>
          <w:rFonts w:ascii="Arial" w:eastAsia="Arial" w:hAnsi="Arial" w:cs="Arial"/>
          <w:sz w:val="24"/>
          <w:szCs w:val="24"/>
        </w:rPr>
        <w:t xml:space="preserve"> pipeline— y todavía no integra el modelo predictivo de probabilidad de adjudicación, que se desarrollará como parte de la asignatura de modelado predictivo y se incorporará a esta misma interfaz en una fase posterior. [PENDIENTE: una vez ejecutado el prot</w:t>
      </w:r>
      <w:r>
        <w:rPr>
          <w:rFonts w:ascii="Arial" w:eastAsia="Arial" w:hAnsi="Arial" w:cs="Arial"/>
          <w:sz w:val="24"/>
          <w:szCs w:val="24"/>
        </w:rPr>
        <w:t>otipo contra proyecto_sicop_v1, agregar aquí la cantidad exacta de carteles, proveedores e instituciones que arroja el segmento con mayor actividad, para dimensionar el alcance real de esta primera versión.]</w:t>
      </w:r>
    </w:p>
    <w:p w14:paraId="1569162A" w14:textId="77777777" w:rsidR="00C84315" w:rsidRDefault="00567E38">
      <w:pPr>
        <w:spacing w:before="120" w:after="120"/>
        <w:jc w:val="center"/>
      </w:pPr>
      <w:r>
        <w:rPr>
          <w:rFonts w:ascii="Arial" w:eastAsia="Arial" w:hAnsi="Arial" w:cs="Arial"/>
          <w:i/>
          <w:iCs/>
          <w:sz w:val="22"/>
          <w:szCs w:val="22"/>
        </w:rPr>
        <w:t>[FIGURA 2. Panel de indicadores (KPIs) e institu</w:t>
      </w:r>
      <w:r>
        <w:rPr>
          <w:rFonts w:ascii="Arial" w:eastAsia="Arial" w:hAnsi="Arial" w:cs="Arial"/>
          <w:i/>
          <w:iCs/>
          <w:sz w:val="22"/>
          <w:szCs w:val="22"/>
        </w:rPr>
        <w:t>ciones más activas para un segmento de ejemplo — PENDIENTE: capturar tras conectar el prototipo a proyecto_sicop_v1]</w:t>
      </w:r>
    </w:p>
    <w:p w14:paraId="7B841169" w14:textId="77777777" w:rsidR="00C84315" w:rsidRDefault="00567E38">
      <w:pPr>
        <w:spacing w:before="120" w:after="120"/>
        <w:jc w:val="center"/>
      </w:pPr>
      <w:r>
        <w:rPr>
          <w:rFonts w:ascii="Arial" w:eastAsia="Arial" w:hAnsi="Arial" w:cs="Arial"/>
          <w:i/>
          <w:iCs/>
          <w:sz w:val="22"/>
          <w:szCs w:val="22"/>
        </w:rPr>
        <w:t>[FIGURA 3. Ranking de proveedores y evolución mensual de carteles publicados vs. adjudicados — PENDIENTE: capturar tras conectar el prototi</w:t>
      </w:r>
      <w:r>
        <w:rPr>
          <w:rFonts w:ascii="Arial" w:eastAsia="Arial" w:hAnsi="Arial" w:cs="Arial"/>
          <w:i/>
          <w:iCs/>
          <w:sz w:val="22"/>
          <w:szCs w:val="22"/>
        </w:rPr>
        <w:t>po a proyecto_sicop_v1]</w:t>
      </w:r>
    </w:p>
    <w:p w14:paraId="149CE647" w14:textId="77777777" w:rsidR="00C84315" w:rsidRDefault="00567E38">
      <w:pPr>
        <w:pStyle w:val="Ttulo2"/>
        <w:spacing w:before="240" w:after="160" w:line="360" w:lineRule="auto"/>
      </w:pPr>
      <w:r>
        <w:rPr>
          <w:rFonts w:ascii="Arial" w:eastAsia="Arial" w:hAnsi="Arial" w:cs="Arial"/>
          <w:b/>
          <w:bCs/>
        </w:rPr>
        <w:t>4.3. Relación con la hipótesis</w:t>
      </w:r>
    </w:p>
    <w:p w14:paraId="623AF274" w14:textId="77777777" w:rsidR="00C84315" w:rsidRDefault="00567E38">
      <w:pPr>
        <w:spacing w:after="200" w:line="360" w:lineRule="auto"/>
        <w:jc w:val="both"/>
      </w:pPr>
      <w:r>
        <w:rPr>
          <w:rFonts w:ascii="Arial" w:eastAsia="Arial" w:hAnsi="Arial" w:cs="Arial"/>
          <w:sz w:val="24"/>
          <w:szCs w:val="24"/>
        </w:rPr>
        <w:t>La hipótesis implícita en la justificación del trabajo sostiene que la falta de acceso sencillo a información histórica y comparativa constituye una barrera relevante para la participación de las micro</w:t>
      </w:r>
      <w:r>
        <w:rPr>
          <w:rFonts w:ascii="Arial" w:eastAsia="Arial" w:hAnsi="Arial" w:cs="Arial"/>
          <w:sz w:val="24"/>
          <w:szCs w:val="24"/>
        </w:rPr>
        <w:t xml:space="preserve"> y pequeñas empresas en la contratación pública. El Ministerio de Economía, Industria y Comercio (MEIC, 2024) identifica precisamente el acceso a información sobre la demanda de bienes y servicios </w:t>
      </w:r>
      <w:r>
        <w:rPr>
          <w:rFonts w:ascii="Arial" w:eastAsia="Arial" w:hAnsi="Arial" w:cs="Arial"/>
          <w:sz w:val="24"/>
          <w:szCs w:val="24"/>
        </w:rPr>
        <w:lastRenderedPageBreak/>
        <w:t>del sector público como una de las principales dificultades</w:t>
      </w:r>
      <w:r>
        <w:rPr>
          <w:rFonts w:ascii="Arial" w:eastAsia="Arial" w:hAnsi="Arial" w:cs="Arial"/>
          <w:sz w:val="24"/>
          <w:szCs w:val="24"/>
        </w:rPr>
        <w:t xml:space="preserve"> de las PYMES, mientras que la OCDE (2018) señala que la complejidad de los sistemas de contratación y la calidad de la información disponible son obstáculos que afectan de forma desproporcionada a las empresas de menor tamaño. En la misma línea, Karjalain</w:t>
      </w:r>
      <w:r>
        <w:rPr>
          <w:rFonts w:ascii="Arial" w:eastAsia="Arial" w:hAnsi="Arial" w:cs="Arial"/>
          <w:sz w:val="24"/>
          <w:szCs w:val="24"/>
        </w:rPr>
        <w:t>en y Kemppainen (2008) encuentran que la disponibilidad limitada de recursos administrativos y de conocimiento especializado se asocia con una menor participación de las PYMES en procesos de contratación pública.</w:t>
      </w:r>
    </w:p>
    <w:p w14:paraId="0A7442FB" w14:textId="77777777" w:rsidR="00C84315" w:rsidRDefault="00567E38">
      <w:pPr>
        <w:spacing w:after="200" w:line="360" w:lineRule="auto"/>
        <w:jc w:val="both"/>
      </w:pPr>
      <w:r>
        <w:rPr>
          <w:rFonts w:ascii="Arial" w:eastAsia="Arial" w:hAnsi="Arial" w:cs="Arial"/>
          <w:sz w:val="24"/>
          <w:szCs w:val="24"/>
        </w:rPr>
        <w:t>El prototipo aborda directamente esta barre</w:t>
      </w:r>
      <w:r>
        <w:rPr>
          <w:rFonts w:ascii="Arial" w:eastAsia="Arial" w:hAnsi="Arial" w:cs="Arial"/>
          <w:sz w:val="24"/>
          <w:szCs w:val="24"/>
        </w:rPr>
        <w:t>ra al reducir dos costos que hoy asume el proveedor de forma manual: el costo de localizar, dentro de miles de carteles publicados mensualmente, aquellos que corresponden a su segmento de especialización; y el costo de estimar, sin herramientas de análisis</w:t>
      </w:r>
      <w:r>
        <w:rPr>
          <w:rFonts w:ascii="Arial" w:eastAsia="Arial" w:hAnsi="Arial" w:cs="Arial"/>
          <w:sz w:val="24"/>
          <w:szCs w:val="24"/>
        </w:rPr>
        <w:t>, cuán competido está ese segmento y qué actores lo dominan históricamente. Al presentar en una sola pantalla el volumen de actividad, los montos involucrados, la intensidad de competencia y el historial de adjudicaciones de un segmento específico, la herr</w:t>
      </w:r>
      <w:r>
        <w:rPr>
          <w:rFonts w:ascii="Arial" w:eastAsia="Arial" w:hAnsi="Arial" w:cs="Arial"/>
          <w:sz w:val="24"/>
          <w:szCs w:val="24"/>
        </w:rPr>
        <w:t xml:space="preserve">amienta traslada al proveedor información que antes solo estaba al alcance de organizaciones con capacidad para procesar manualmente los datos abiertos del Observatorio. Esto es consistente con el objetivo general del TFM de facilitar acceso a información </w:t>
      </w:r>
      <w:r>
        <w:rPr>
          <w:rFonts w:ascii="Arial" w:eastAsia="Arial" w:hAnsi="Arial" w:cs="Arial"/>
          <w:sz w:val="24"/>
          <w:szCs w:val="24"/>
        </w:rPr>
        <w:t>estratégica y analítica avanzada para mejorar la participación y competitividad de las MIPYMES en la contratación pública costarricense.</w:t>
      </w:r>
    </w:p>
    <w:p w14:paraId="293A4DCF" w14:textId="77777777" w:rsidR="00C84315" w:rsidRDefault="00567E38">
      <w:pPr>
        <w:pStyle w:val="Ttulo2"/>
        <w:spacing w:before="240" w:after="160" w:line="360" w:lineRule="auto"/>
      </w:pPr>
      <w:r>
        <w:rPr>
          <w:rFonts w:ascii="Arial" w:eastAsia="Arial" w:hAnsi="Arial" w:cs="Arial"/>
          <w:b/>
          <w:bCs/>
        </w:rPr>
        <w:t>4.4. Justificación de las decisiones de visualización</w:t>
      </w:r>
    </w:p>
    <w:p w14:paraId="3CC7C1A3" w14:textId="77777777" w:rsidR="00C84315" w:rsidRDefault="00567E38">
      <w:pPr>
        <w:spacing w:after="200" w:line="360" w:lineRule="auto"/>
        <w:jc w:val="both"/>
      </w:pPr>
      <w:r>
        <w:rPr>
          <w:rFonts w:ascii="Arial" w:eastAsia="Arial" w:hAnsi="Arial" w:cs="Arial"/>
          <w:sz w:val="24"/>
          <w:szCs w:val="24"/>
        </w:rPr>
        <w:t>Las decisiones de visualización del prototipo siguen principios e</w:t>
      </w:r>
      <w:r>
        <w:rPr>
          <w:rFonts w:ascii="Arial" w:eastAsia="Arial" w:hAnsi="Arial" w:cs="Arial"/>
          <w:sz w:val="24"/>
          <w:szCs w:val="24"/>
        </w:rPr>
        <w:t>stablecidos en la literatura de diseño de tableros e información analítica. Para los rankings de instituciones y proveedores se optó por gráficos de barras horizontales ordenados por el valor de la métrica y no alfabéticamente, siguiendo la recomendación d</w:t>
      </w:r>
      <w:r>
        <w:rPr>
          <w:rFonts w:ascii="Arial" w:eastAsia="Arial" w:hAnsi="Arial" w:cs="Arial"/>
          <w:sz w:val="24"/>
          <w:szCs w:val="24"/>
        </w:rPr>
        <w:t>e que el orden visual debe reflejar el orden de importancia de los datos y no un criterio arbitrario, lo que permite identificar de un vistazo a los actores más relevantes sin necesidad de leer toda la lista (Few, 2013). La orientación horizontal se eligió</w:t>
      </w:r>
      <w:r>
        <w:rPr>
          <w:rFonts w:ascii="Arial" w:eastAsia="Arial" w:hAnsi="Arial" w:cs="Arial"/>
          <w:sz w:val="24"/>
          <w:szCs w:val="24"/>
        </w:rPr>
        <w:t xml:space="preserve"> específicamente porque los nombres de instituciones y proveedores en el dataset son extensos, y una disposición vertical de barras obligaría a truncar o rotar las etiquetas, dificultando su lectura (Munzner, 2014).</w:t>
      </w:r>
    </w:p>
    <w:p w14:paraId="565C4FF9" w14:textId="77777777" w:rsidR="00C84315" w:rsidRDefault="00567E38">
      <w:pPr>
        <w:spacing w:after="200" w:line="360" w:lineRule="auto"/>
        <w:jc w:val="both"/>
      </w:pPr>
      <w:r>
        <w:rPr>
          <w:rFonts w:ascii="Arial" w:eastAsia="Arial" w:hAnsi="Arial" w:cs="Arial"/>
          <w:sz w:val="24"/>
          <w:szCs w:val="24"/>
        </w:rPr>
        <w:lastRenderedPageBreak/>
        <w:t>Para la evolución mensual de carteles pu</w:t>
      </w:r>
      <w:r>
        <w:rPr>
          <w:rFonts w:ascii="Arial" w:eastAsia="Arial" w:hAnsi="Arial" w:cs="Arial"/>
          <w:sz w:val="24"/>
          <w:szCs w:val="24"/>
        </w:rPr>
        <w:t>blicados frente a carteles adjudicados se utilizó un gráfico de líneas con marcadores, por ser la forma convencional y más eficiente de comunicar una tendencia a lo largo de una variable continua como el tiempo, permitiendo además comparar dos series super</w:t>
      </w:r>
      <w:r>
        <w:rPr>
          <w:rFonts w:ascii="Arial" w:eastAsia="Arial" w:hAnsi="Arial" w:cs="Arial"/>
          <w:sz w:val="24"/>
          <w:szCs w:val="24"/>
        </w:rPr>
        <w:t>puestas sin necesidad de páneles separados (Tufte, 2001). Finalmente, los cuatro indicadores principales se presentan mediante el componente de métricas individuales de Streamlit en lugar de incorporarlos a una tabla o a un gráfico adicional, ya que se tra</w:t>
      </w:r>
      <w:r>
        <w:rPr>
          <w:rFonts w:ascii="Arial" w:eastAsia="Arial" w:hAnsi="Arial" w:cs="Arial"/>
          <w:sz w:val="24"/>
          <w:szCs w:val="24"/>
        </w:rPr>
        <w:t>ta de valores únicos que el usuario debe poder reconocer de forma inmediata al cambiar de segmento, sin que compitan visualmente con los gráficos comparativos que aparecen debajo (Few, 2013).</w:t>
      </w:r>
    </w:p>
    <w:p w14:paraId="2E74E16B" w14:textId="77777777" w:rsidR="00C84315" w:rsidRDefault="00567E38">
      <w:pPr>
        <w:spacing w:before="120" w:after="120"/>
        <w:jc w:val="center"/>
      </w:pPr>
      <w:r>
        <w:rPr>
          <w:rFonts w:ascii="Arial" w:eastAsia="Arial" w:hAnsi="Arial" w:cs="Arial"/>
          <w:i/>
          <w:iCs/>
          <w:sz w:val="22"/>
          <w:szCs w:val="22"/>
        </w:rPr>
        <w:t>[FIGURA 4. Tabla de detalle de los carteles más recientes del se</w:t>
      </w:r>
      <w:r>
        <w:rPr>
          <w:rFonts w:ascii="Arial" w:eastAsia="Arial" w:hAnsi="Arial" w:cs="Arial"/>
          <w:i/>
          <w:iCs/>
          <w:sz w:val="22"/>
          <w:szCs w:val="22"/>
        </w:rPr>
        <w:t>gmento seleccionado — PENDIENTE: capturar tras conectar el prototipo a proyecto_sicop_v1]</w:t>
      </w:r>
    </w:p>
    <w:p w14:paraId="54F8972B" w14:textId="77777777" w:rsidR="00C84315" w:rsidRDefault="00567E38">
      <w:pPr>
        <w:spacing w:after="200" w:line="360" w:lineRule="auto"/>
        <w:jc w:val="both"/>
      </w:pPr>
      <w:r>
        <w:rPr>
          <w:rFonts w:ascii="Arial" w:eastAsia="Arial" w:hAnsi="Arial" w:cs="Arial"/>
          <w:i/>
          <w:iCs/>
          <w:sz w:val="24"/>
          <w:szCs w:val="24"/>
        </w:rPr>
        <w:t>Nota: el código completo del prototipo (app.py) y las consultas SQL asociadas se documentan en el Anexo correspondiente, conforme a lo establecido en el reglamento de</w:t>
      </w:r>
      <w:r>
        <w:rPr>
          <w:rFonts w:ascii="Arial" w:eastAsia="Arial" w:hAnsi="Arial" w:cs="Arial"/>
          <w:i/>
          <w:iCs/>
          <w:sz w:val="24"/>
          <w:szCs w:val="24"/>
        </w:rPr>
        <w:t>l TFM, que indica que el código, los notebooks y los tableros deben incluirse como anexos y no en el cuerpo del documento.</w:t>
      </w:r>
    </w:p>
    <w:p w14:paraId="5FCC2988" w14:textId="77777777" w:rsidR="00C84315" w:rsidRDefault="00567E38">
      <w:pPr>
        <w:pStyle w:val="Ttulo2"/>
        <w:spacing w:before="240" w:after="160" w:line="360" w:lineRule="auto"/>
      </w:pPr>
      <w:r>
        <w:rPr>
          <w:rFonts w:ascii="Arial" w:eastAsia="Arial" w:hAnsi="Arial" w:cs="Arial"/>
          <w:b/>
          <w:bCs/>
        </w:rPr>
        <w:t>Referencias citadas en esta sección (incorporar a la bibliografía general, sección 9)</w:t>
      </w:r>
    </w:p>
    <w:p w14:paraId="3662293D" w14:textId="77777777" w:rsidR="00C84315" w:rsidRDefault="00567E38">
      <w:pPr>
        <w:spacing w:after="120" w:line="360" w:lineRule="auto"/>
        <w:ind w:left="720" w:hanging="720"/>
        <w:jc w:val="both"/>
      </w:pPr>
      <w:r>
        <w:rPr>
          <w:rFonts w:ascii="Arial" w:eastAsia="Arial" w:hAnsi="Arial" w:cs="Arial"/>
          <w:sz w:val="24"/>
          <w:szCs w:val="24"/>
        </w:rPr>
        <w:t>Few, S. (2013). Information dashboard design: D</w:t>
      </w:r>
      <w:r>
        <w:rPr>
          <w:rFonts w:ascii="Arial" w:eastAsia="Arial" w:hAnsi="Arial" w:cs="Arial"/>
          <w:sz w:val="24"/>
          <w:szCs w:val="24"/>
        </w:rPr>
        <w:t>isplaying data for at-a-glance monitoring (2.ª ed.). Analytics Press.</w:t>
      </w:r>
    </w:p>
    <w:p w14:paraId="6ED4D309" w14:textId="77777777" w:rsidR="00C84315" w:rsidRDefault="00567E38">
      <w:pPr>
        <w:spacing w:after="120" w:line="360" w:lineRule="auto"/>
        <w:ind w:left="720" w:hanging="720"/>
        <w:jc w:val="both"/>
      </w:pPr>
      <w:r>
        <w:rPr>
          <w:rFonts w:ascii="Arial" w:eastAsia="Arial" w:hAnsi="Arial" w:cs="Arial"/>
          <w:sz w:val="24"/>
          <w:szCs w:val="24"/>
        </w:rPr>
        <w:t>Munzner, T. (2014). Visualization analysis and design. CRC Press.</w:t>
      </w:r>
    </w:p>
    <w:p w14:paraId="75B10437" w14:textId="77777777" w:rsidR="00C84315" w:rsidRDefault="00567E38">
      <w:pPr>
        <w:spacing w:after="120" w:line="360" w:lineRule="auto"/>
        <w:ind w:left="720" w:hanging="720"/>
        <w:jc w:val="both"/>
      </w:pPr>
      <w:r>
        <w:rPr>
          <w:rFonts w:ascii="Arial" w:eastAsia="Arial" w:hAnsi="Arial" w:cs="Arial"/>
          <w:sz w:val="24"/>
          <w:szCs w:val="24"/>
        </w:rPr>
        <w:t>Tufte, E. R. (2001). The visual display of quantitative information (2.ª ed.). Graphics Press.</w:t>
      </w:r>
    </w:p>
    <w:p w14:paraId="22FBAD3D" w14:textId="77777777" w:rsidR="00C84315" w:rsidRDefault="00567E38">
      <w:pPr>
        <w:spacing w:after="200" w:line="360" w:lineRule="auto"/>
        <w:jc w:val="both"/>
      </w:pPr>
      <w:r>
        <w:rPr>
          <w:rFonts w:ascii="Arial" w:eastAsia="Arial" w:hAnsi="Arial" w:cs="Arial"/>
          <w:i/>
          <w:iCs/>
          <w:sz w:val="24"/>
          <w:szCs w:val="24"/>
        </w:rPr>
        <w:t>Las demás fuentes citadas en esta sección (MEIC, 2024; OECD, 2018; Karjalainen &amp; Kemppainen, 2008) ya se encuentran en la bibliografía general del documento (sec</w:t>
      </w:r>
      <w:r>
        <w:rPr>
          <w:rFonts w:ascii="Arial" w:eastAsia="Arial" w:hAnsi="Arial" w:cs="Arial"/>
          <w:i/>
          <w:iCs/>
          <w:sz w:val="24"/>
          <w:szCs w:val="24"/>
        </w:rPr>
        <w:t>ción 9), por lo que no requieren una entrada nueva.</w:t>
      </w:r>
    </w:p>
    <w:sectPr w:rsidR="00C84315">
      <w:pgSz w:w="11906" w:h="16838"/>
      <w:pgMar w:top="1417" w:right="1701" w:bottom="1417"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E57524"/>
    <w:multiLevelType w:val="hybridMultilevel"/>
    <w:tmpl w:val="83B89326"/>
    <w:lvl w:ilvl="0" w:tplc="87E4D7E8">
      <w:start w:val="1"/>
      <w:numFmt w:val="bullet"/>
      <w:lvlText w:val="●"/>
      <w:lvlJc w:val="left"/>
      <w:pPr>
        <w:ind w:left="720" w:hanging="360"/>
      </w:pPr>
    </w:lvl>
    <w:lvl w:ilvl="1" w:tplc="93E2B77C">
      <w:start w:val="1"/>
      <w:numFmt w:val="bullet"/>
      <w:lvlText w:val="○"/>
      <w:lvlJc w:val="left"/>
      <w:pPr>
        <w:ind w:left="1440" w:hanging="360"/>
      </w:pPr>
    </w:lvl>
    <w:lvl w:ilvl="2" w:tplc="BE4AD00C">
      <w:start w:val="1"/>
      <w:numFmt w:val="bullet"/>
      <w:lvlText w:val="■"/>
      <w:lvlJc w:val="left"/>
      <w:pPr>
        <w:ind w:left="2160" w:hanging="360"/>
      </w:pPr>
    </w:lvl>
    <w:lvl w:ilvl="3" w:tplc="0ACA3DEE">
      <w:start w:val="1"/>
      <w:numFmt w:val="bullet"/>
      <w:lvlText w:val="●"/>
      <w:lvlJc w:val="left"/>
      <w:pPr>
        <w:ind w:left="2880" w:hanging="360"/>
      </w:pPr>
    </w:lvl>
    <w:lvl w:ilvl="4" w:tplc="5498C3C8">
      <w:start w:val="1"/>
      <w:numFmt w:val="bullet"/>
      <w:lvlText w:val="○"/>
      <w:lvlJc w:val="left"/>
      <w:pPr>
        <w:ind w:left="3600" w:hanging="360"/>
      </w:pPr>
    </w:lvl>
    <w:lvl w:ilvl="5" w:tplc="683C50B2">
      <w:start w:val="1"/>
      <w:numFmt w:val="bullet"/>
      <w:lvlText w:val="■"/>
      <w:lvlJc w:val="left"/>
      <w:pPr>
        <w:ind w:left="4320" w:hanging="360"/>
      </w:pPr>
    </w:lvl>
    <w:lvl w:ilvl="6" w:tplc="3886D012">
      <w:start w:val="1"/>
      <w:numFmt w:val="bullet"/>
      <w:lvlText w:val="●"/>
      <w:lvlJc w:val="left"/>
      <w:pPr>
        <w:ind w:left="5040" w:hanging="360"/>
      </w:pPr>
    </w:lvl>
    <w:lvl w:ilvl="7" w:tplc="DCE49AA0">
      <w:start w:val="1"/>
      <w:numFmt w:val="bullet"/>
      <w:lvlText w:val="●"/>
      <w:lvlJc w:val="left"/>
      <w:pPr>
        <w:ind w:left="5760" w:hanging="360"/>
      </w:pPr>
    </w:lvl>
    <w:lvl w:ilvl="8" w:tplc="5D2611E4">
      <w:start w:val="1"/>
      <w:numFmt w:val="bullet"/>
      <w:lvlText w:val="●"/>
      <w:lvlJc w:val="left"/>
      <w:pPr>
        <w:ind w:left="6480" w:hanging="360"/>
      </w:pPr>
    </w:lvl>
  </w:abstractNum>
  <w:num w:numId="1" w16cid:durableId="19608005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315"/>
    <w:rsid w:val="00567E38"/>
    <w:rsid w:val="00C843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ECB9DE"/>
  <w15:docId w15:val="{A6734ECA-C3EC-4D9A-82E9-638D5041E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1627</Words>
  <Characters>9359</Characters>
  <Application>Microsoft Office Word</Application>
  <DocSecurity>0</DocSecurity>
  <Lines>153</Lines>
  <Paragraphs>26</Paragraphs>
  <ScaleCrop>false</ScaleCrop>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André Plannerer</cp:lastModifiedBy>
  <cp:revision>2</cp:revision>
  <dcterms:created xsi:type="dcterms:W3CDTF">2026-09-13T02:18:00Z</dcterms:created>
  <dcterms:modified xsi:type="dcterms:W3CDTF">2026-09-13T02:18:00Z</dcterms:modified>
</cp:coreProperties>
</file>