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4"/>
        <w:gridCol w:w="2549"/>
        <w:gridCol w:w="6493"/>
      </w:tblGrid>
      <w:tr w:rsidR="00ED1057" w:rsidRPr="00ED1057" w14:paraId="71586337" w14:textId="77777777" w:rsidTr="00923A40">
        <w:trPr>
          <w:trHeight w:val="288"/>
        </w:trPr>
        <w:tc>
          <w:tcPr>
            <w:tcW w:w="676" w:type="pct"/>
            <w:shd w:val="clear" w:color="000000" w:fill="002060"/>
            <w:noWrap/>
            <w:vAlign w:val="center"/>
            <w:hideMark/>
          </w:tcPr>
          <w:p w14:paraId="63F2A733" w14:textId="1DDC4C53"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19"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3104"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A3278C" w:rsidRPr="00ED1057" w14:paraId="7A1C05E3" w14:textId="77777777" w:rsidTr="00CC3DA2">
        <w:trPr>
          <w:trHeight w:val="2526"/>
        </w:trPr>
        <w:tc>
          <w:tcPr>
            <w:tcW w:w="676" w:type="pct"/>
            <w:shd w:val="clear" w:color="D9D9D9" w:fill="D9D9D9"/>
            <w:noWrap/>
            <w:vAlign w:val="center"/>
            <w:hideMark/>
          </w:tcPr>
          <w:p w14:paraId="66E31F3A" w14:textId="70DBEC1F" w:rsidR="00A3278C" w:rsidRPr="00ED1057" w:rsidRDefault="00A3278C" w:rsidP="00A3278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Nivell</w:t>
            </w:r>
          </w:p>
        </w:tc>
        <w:tc>
          <w:tcPr>
            <w:tcW w:w="1219" w:type="pct"/>
            <w:shd w:val="clear" w:color="D9D9D9" w:fill="D9D9D9"/>
            <w:noWrap/>
            <w:vAlign w:val="center"/>
            <w:hideMark/>
          </w:tcPr>
          <w:p w14:paraId="3231E3CA" w14:textId="02AE2FEA" w:rsidR="00A3278C"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Alfanumèric de </w:t>
            </w:r>
            <w:r w:rsidR="004B6B4E">
              <w:rPr>
                <w:rFonts w:ascii="Calibri" w:eastAsia="Times New Roman" w:hAnsi="Calibri" w:cs="Times New Roman"/>
                <w:iCs/>
                <w:color w:val="000000"/>
                <w:sz w:val="20"/>
                <w:lang w:eastAsia="ca-ES"/>
              </w:rPr>
              <w:t>6</w:t>
            </w:r>
            <w:r w:rsidRPr="00A3278C">
              <w:rPr>
                <w:rFonts w:ascii="Calibri" w:eastAsia="Times New Roman" w:hAnsi="Calibri" w:cs="Times New Roman"/>
                <w:iCs/>
                <w:color w:val="000000"/>
                <w:sz w:val="20"/>
                <w:lang w:eastAsia="ca-ES"/>
              </w:rPr>
              <w:t xml:space="preserve"> caràcters</w:t>
            </w:r>
          </w:p>
        </w:tc>
        <w:tc>
          <w:tcPr>
            <w:tcW w:w="3104" w:type="pct"/>
            <w:shd w:val="clear" w:color="D9D9D9" w:fill="D9D9D9"/>
            <w:vAlign w:val="center"/>
            <w:hideMark/>
          </w:tcPr>
          <w:p w14:paraId="68F83566" w14:textId="605657A8" w:rsidR="00A3278C" w:rsidRDefault="00A3278C" w:rsidP="00A3278C">
            <w:pPr>
              <w:spacing w:after="0" w:line="240" w:lineRule="auto"/>
              <w:rPr>
                <w:rFonts w:ascii="Calibri" w:eastAsia="Times New Roman" w:hAnsi="Calibri" w:cs="Times New Roman"/>
                <w:iCs/>
                <w:color w:val="000000"/>
                <w:sz w:val="20"/>
                <w:lang w:eastAsia="ca-ES"/>
              </w:rPr>
            </w:pPr>
            <w:r>
              <w:rPr>
                <w:rFonts w:ascii="Calibri" w:eastAsia="Times New Roman" w:hAnsi="Calibri" w:cs="Times New Roman"/>
                <w:iCs/>
                <w:color w:val="000000"/>
                <w:sz w:val="20"/>
                <w:lang w:eastAsia="ca-ES"/>
              </w:rPr>
              <w:t>Indica la tipologia de NUT</w:t>
            </w:r>
            <w:r w:rsidR="007E1DC1">
              <w:rPr>
                <w:rFonts w:ascii="Calibri" w:eastAsia="Times New Roman" w:hAnsi="Calibri" w:cs="Times New Roman"/>
                <w:iCs/>
                <w:color w:val="000000"/>
                <w:sz w:val="20"/>
                <w:lang w:eastAsia="ca-ES"/>
              </w:rPr>
              <w:t>S (</w:t>
            </w:r>
            <w:r w:rsidR="007E1DC1" w:rsidRPr="007E1DC1">
              <w:rPr>
                <w:rFonts w:ascii="Calibri" w:eastAsia="Times New Roman" w:hAnsi="Calibri" w:cs="Times New Roman"/>
                <w:iCs/>
                <w:color w:val="000000"/>
                <w:sz w:val="20"/>
                <w:lang w:eastAsia="ca-ES"/>
              </w:rPr>
              <w:t>Nomenclatura d'unitats territorials estadístiques</w:t>
            </w:r>
            <w:r w:rsidR="007E1DC1">
              <w:rPr>
                <w:rFonts w:ascii="Calibri" w:eastAsia="Times New Roman" w:hAnsi="Calibri" w:cs="Times New Roman"/>
                <w:iCs/>
                <w:color w:val="000000"/>
                <w:sz w:val="20"/>
                <w:lang w:eastAsia="ca-ES"/>
              </w:rPr>
              <w:t>)</w:t>
            </w:r>
            <w:r>
              <w:rPr>
                <w:rFonts w:ascii="Calibri" w:eastAsia="Times New Roman" w:hAnsi="Calibri" w:cs="Times New Roman"/>
                <w:iCs/>
                <w:color w:val="000000"/>
                <w:sz w:val="20"/>
                <w:lang w:eastAsia="ca-ES"/>
              </w:rPr>
              <w:t xml:space="preserve">, valors permesos: </w:t>
            </w:r>
            <w:r w:rsidRPr="00A3278C">
              <w:rPr>
                <w:rFonts w:ascii="Calibri" w:eastAsia="Times New Roman" w:hAnsi="Calibri" w:cs="Times New Roman"/>
                <w:iCs/>
                <w:color w:val="000000"/>
                <w:sz w:val="20"/>
                <w:lang w:eastAsia="ca-ES"/>
              </w:rPr>
              <w:t>País</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NUTS 1</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NUTS 2</w:t>
            </w:r>
            <w:r>
              <w:rPr>
                <w:rFonts w:ascii="Calibri" w:eastAsia="Times New Roman" w:hAnsi="Calibri" w:cs="Times New Roman"/>
                <w:iCs/>
                <w:color w:val="000000"/>
                <w:sz w:val="20"/>
                <w:lang w:eastAsia="ca-ES"/>
              </w:rPr>
              <w:t xml:space="preserve"> i </w:t>
            </w:r>
            <w:r w:rsidRPr="00A3278C">
              <w:rPr>
                <w:rFonts w:ascii="Calibri" w:eastAsia="Times New Roman" w:hAnsi="Calibri" w:cs="Times New Roman"/>
                <w:iCs/>
                <w:color w:val="000000"/>
                <w:sz w:val="20"/>
                <w:lang w:eastAsia="ca-ES"/>
              </w:rPr>
              <w:t>NUTS 3</w:t>
            </w:r>
            <w:r>
              <w:rPr>
                <w:rFonts w:ascii="Calibri" w:eastAsia="Times New Roman" w:hAnsi="Calibri" w:cs="Times New Roman"/>
                <w:iCs/>
                <w:color w:val="000000"/>
                <w:sz w:val="20"/>
                <w:lang w:eastAsia="ca-ES"/>
              </w:rPr>
              <w:t>.</w:t>
            </w:r>
          </w:p>
          <w:p w14:paraId="5BCB7C6F" w14:textId="77777777" w:rsidR="007E1DC1" w:rsidRDefault="007E1DC1" w:rsidP="00A3278C">
            <w:pPr>
              <w:spacing w:after="0" w:line="240" w:lineRule="auto"/>
              <w:rPr>
                <w:rFonts w:ascii="Calibri" w:eastAsia="Times New Roman" w:hAnsi="Calibri" w:cs="Times New Roman"/>
                <w:iCs/>
                <w:color w:val="000000"/>
                <w:sz w:val="20"/>
                <w:lang w:eastAsia="ca-ES"/>
              </w:rPr>
            </w:pPr>
          </w:p>
          <w:p w14:paraId="3EFC8F8E" w14:textId="49E3B189" w:rsidR="00923A40" w:rsidRPr="00A3278C" w:rsidRDefault="007E1DC1" w:rsidP="00A3278C">
            <w:pPr>
              <w:spacing w:after="0" w:line="240" w:lineRule="auto"/>
              <w:rPr>
                <w:rFonts w:ascii="Calibri" w:eastAsia="Times New Roman" w:hAnsi="Calibri" w:cs="Times New Roman"/>
                <w:iCs/>
                <w:color w:val="000000"/>
                <w:sz w:val="20"/>
                <w:lang w:eastAsia="ca-ES"/>
              </w:rPr>
            </w:pPr>
            <w:r w:rsidRPr="007E1DC1">
              <w:rPr>
                <w:rFonts w:ascii="Calibri" w:eastAsia="Times New Roman" w:hAnsi="Calibri" w:cs="Times New Roman"/>
                <w:iCs/>
                <w:color w:val="000000"/>
                <w:sz w:val="20"/>
                <w:lang w:eastAsia="ca-ES"/>
              </w:rPr>
              <w:t>La NUTS estructura jeràrquicament el territori econòmic dels estats membres en tres nivells regionals i assigna a cada unitat territorial un codi i un nom específics i inequívocs.</w:t>
            </w:r>
            <w:r>
              <w:rPr>
                <w:rFonts w:ascii="Calibri" w:eastAsia="Times New Roman" w:hAnsi="Calibri" w:cs="Times New Roman"/>
                <w:iCs/>
                <w:color w:val="000000"/>
                <w:sz w:val="20"/>
                <w:lang w:eastAsia="ca-ES"/>
              </w:rPr>
              <w:t xml:space="preserve"> S</w:t>
            </w:r>
            <w:r w:rsidRPr="007E1DC1">
              <w:rPr>
                <w:rFonts w:ascii="Calibri" w:eastAsia="Times New Roman" w:hAnsi="Calibri" w:cs="Times New Roman"/>
                <w:iCs/>
                <w:color w:val="000000"/>
                <w:sz w:val="20"/>
                <w:lang w:eastAsia="ca-ES"/>
              </w:rPr>
              <w:t>ubdivideix el territori de cada estat membre en un nombre enter d'unitats territorials de nivell NUTS 1, que al seu torn se subdivideixen en un nombre enter d'unitats territorials de nivell NUTS 2, subdividides alhora en un nombre enter d'unitats territorials de nivell NUTS 3. Per tant, s'estructura en tres nivells jeràrquics.</w:t>
            </w:r>
          </w:p>
        </w:tc>
      </w:tr>
      <w:tr w:rsidR="00ED1057" w:rsidRPr="00ED1057" w14:paraId="13B5A11B" w14:textId="77777777" w:rsidTr="009D715A">
        <w:trPr>
          <w:trHeight w:val="3826"/>
        </w:trPr>
        <w:tc>
          <w:tcPr>
            <w:tcW w:w="676" w:type="pct"/>
            <w:shd w:val="clear" w:color="auto" w:fill="auto"/>
            <w:noWrap/>
            <w:vAlign w:val="center"/>
            <w:hideMark/>
          </w:tcPr>
          <w:p w14:paraId="201AC45C" w14:textId="34F75998" w:rsidR="00ED1057" w:rsidRPr="00ED1057" w:rsidRDefault="00DF263F" w:rsidP="00ED1057">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19" w:type="pct"/>
            <w:shd w:val="clear" w:color="auto" w:fill="auto"/>
            <w:noWrap/>
            <w:vAlign w:val="center"/>
            <w:hideMark/>
          </w:tcPr>
          <w:p w14:paraId="3DEBD0AB" w14:textId="02532C05" w:rsidR="00ED1057" w:rsidRPr="00A3278C" w:rsidRDefault="00ED1057" w:rsidP="00ED1057">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Alfanumèric de </w:t>
            </w:r>
            <w:r w:rsidR="00A3278C">
              <w:rPr>
                <w:rFonts w:ascii="Calibri" w:eastAsia="Times New Roman" w:hAnsi="Calibri" w:cs="Times New Roman"/>
                <w:iCs/>
                <w:color w:val="000000"/>
                <w:sz w:val="20"/>
                <w:lang w:eastAsia="ca-ES"/>
              </w:rPr>
              <w:t>5</w:t>
            </w:r>
            <w:r w:rsidRPr="00A3278C">
              <w:rPr>
                <w:rFonts w:ascii="Calibri" w:eastAsia="Times New Roman" w:hAnsi="Calibri" w:cs="Times New Roman"/>
                <w:iCs/>
                <w:color w:val="000000"/>
                <w:sz w:val="20"/>
                <w:lang w:eastAsia="ca-ES"/>
              </w:rPr>
              <w:t xml:space="preserve"> caràcters</w:t>
            </w:r>
          </w:p>
        </w:tc>
        <w:tc>
          <w:tcPr>
            <w:tcW w:w="3104" w:type="pct"/>
            <w:shd w:val="clear" w:color="auto" w:fill="auto"/>
            <w:vAlign w:val="center"/>
            <w:hideMark/>
          </w:tcPr>
          <w:p w14:paraId="7A9D4176" w14:textId="6DA5D377" w:rsidR="00A3278C"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Per a cada país, s'ordenen les unitats territorials de cada nivell amb criteris alfabètics o geogràfics. D'acord amb l'ordenació, s'assignen els codis, que són alfanumèrics i estan formats per cinc dígits</w:t>
            </w:r>
            <w:r w:rsidR="00112ABB">
              <w:rPr>
                <w:rFonts w:ascii="Calibri" w:eastAsia="Times New Roman" w:hAnsi="Calibri" w:cs="Times New Roman"/>
                <w:iCs/>
                <w:color w:val="000000"/>
                <w:sz w:val="20"/>
                <w:lang w:eastAsia="ca-ES"/>
              </w:rPr>
              <w:t xml:space="preserve"> que permeten identificar un element unívocament.</w:t>
            </w:r>
          </w:p>
          <w:p w14:paraId="7DE53F1A" w14:textId="77777777" w:rsidR="00A3278C" w:rsidRPr="00A3278C" w:rsidRDefault="00A3278C" w:rsidP="00A3278C">
            <w:pPr>
              <w:spacing w:after="0" w:line="240" w:lineRule="auto"/>
              <w:rPr>
                <w:rFonts w:ascii="Calibri" w:eastAsia="Times New Roman" w:hAnsi="Calibri" w:cs="Times New Roman"/>
                <w:iCs/>
                <w:color w:val="000000"/>
                <w:sz w:val="20"/>
                <w:lang w:eastAsia="ca-ES"/>
              </w:rPr>
            </w:pPr>
          </w:p>
          <w:p w14:paraId="6030E066" w14:textId="77777777" w:rsidR="00ED1057"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Actualment els codis tenen la composició següent: els dos primers dígits identifiquen els estats —per a això s'utilitzen els codis alfabètics ISO alpha-2 de països (norma ISO 3166), amb dues excepcions: el canvi de GB per UK en el cas del Regne Unit i el canvi de GR per EL en el cas de Grècia—; el tercer dígit és un número o lletra que identifica el nivell NUTS 1 dins l'estat membre que el conté; el quart dígit és un número o lletra que identifica el nivell NUTS 2 dins del nivell NUTS 1 que el conté; i el cinquè dígit és un número o lletra que identifica el nivell NUTS 3 dins del nivell NUTS 2 que el conté.</w:t>
            </w:r>
          </w:p>
          <w:p w14:paraId="60C573BC" w14:textId="77777777" w:rsidR="00A3278C" w:rsidRDefault="00A3278C" w:rsidP="00A3278C">
            <w:pPr>
              <w:spacing w:after="0" w:line="240" w:lineRule="auto"/>
              <w:rPr>
                <w:rFonts w:ascii="Calibri" w:eastAsia="Times New Roman" w:hAnsi="Calibri" w:cs="Times New Roman"/>
                <w:iCs/>
                <w:color w:val="000000"/>
                <w:sz w:val="20"/>
                <w:lang w:eastAsia="ca-ES"/>
              </w:rPr>
            </w:pPr>
          </w:p>
          <w:p w14:paraId="1AB10265" w14:textId="34BB34F7" w:rsidR="00923A40"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L'organisme responsable de la codificació i la gestió de la NUTS és Eurostat.</w:t>
            </w:r>
          </w:p>
        </w:tc>
      </w:tr>
      <w:tr w:rsidR="00ED1057" w:rsidRPr="00ED1057" w14:paraId="416E7032" w14:textId="77777777" w:rsidTr="00923A40">
        <w:trPr>
          <w:trHeight w:val="702"/>
        </w:trPr>
        <w:tc>
          <w:tcPr>
            <w:tcW w:w="676" w:type="pct"/>
            <w:shd w:val="clear" w:color="D9D9D9" w:fill="D9D9D9"/>
            <w:noWrap/>
            <w:vAlign w:val="center"/>
            <w:hideMark/>
          </w:tcPr>
          <w:p w14:paraId="39F23611" w14:textId="17DA40A4" w:rsidR="00ED1057" w:rsidRPr="00ED1057" w:rsidRDefault="00127F42" w:rsidP="00ED1057">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Descripció</w:t>
            </w:r>
          </w:p>
        </w:tc>
        <w:tc>
          <w:tcPr>
            <w:tcW w:w="1219" w:type="pct"/>
            <w:shd w:val="clear" w:color="D9D9D9" w:fill="D9D9D9"/>
            <w:noWrap/>
            <w:vAlign w:val="center"/>
            <w:hideMark/>
          </w:tcPr>
          <w:p w14:paraId="1C10F8EE" w14:textId="4B1ED3C1" w:rsidR="00ED1057" w:rsidRPr="00A3278C" w:rsidRDefault="00A3278C" w:rsidP="00ED1057">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Alfanumèric de</w:t>
            </w:r>
            <w:r>
              <w:rPr>
                <w:rFonts w:ascii="Calibri" w:eastAsia="Times New Roman" w:hAnsi="Calibri" w:cs="Times New Roman"/>
                <w:iCs/>
                <w:color w:val="000000"/>
                <w:sz w:val="20"/>
                <w:lang w:eastAsia="ca-ES"/>
              </w:rPr>
              <w:t xml:space="preserve"> </w:t>
            </w:r>
            <w:r w:rsidR="00923A40">
              <w:rPr>
                <w:rFonts w:ascii="Calibri" w:eastAsia="Times New Roman" w:hAnsi="Calibri" w:cs="Times New Roman"/>
                <w:iCs/>
                <w:color w:val="000000"/>
                <w:sz w:val="20"/>
                <w:lang w:eastAsia="ca-ES"/>
              </w:rPr>
              <w:t>100</w:t>
            </w:r>
            <w:r w:rsidRPr="00A3278C">
              <w:rPr>
                <w:rFonts w:ascii="Calibri" w:eastAsia="Times New Roman" w:hAnsi="Calibri" w:cs="Times New Roman"/>
                <w:iCs/>
                <w:color w:val="000000"/>
                <w:sz w:val="20"/>
                <w:lang w:eastAsia="ca-ES"/>
              </w:rPr>
              <w:t xml:space="preserve"> caràcters</w:t>
            </w:r>
          </w:p>
        </w:tc>
        <w:tc>
          <w:tcPr>
            <w:tcW w:w="3104" w:type="pct"/>
            <w:shd w:val="clear" w:color="D9D9D9" w:fill="D9D9D9"/>
            <w:vAlign w:val="center"/>
            <w:hideMark/>
          </w:tcPr>
          <w:p w14:paraId="522A7244" w14:textId="2B5EAB30" w:rsidR="00ED1057" w:rsidRPr="00A3278C" w:rsidRDefault="00A3278C" w:rsidP="00F60CFB">
            <w:pPr>
              <w:spacing w:after="0" w:line="240" w:lineRule="auto"/>
              <w:rPr>
                <w:rFonts w:ascii="Calibri" w:eastAsia="Times New Roman" w:hAnsi="Calibri" w:cs="Times New Roman"/>
                <w:iCs/>
                <w:color w:val="000000"/>
                <w:sz w:val="20"/>
                <w:lang w:eastAsia="ca-ES"/>
              </w:rPr>
            </w:pPr>
            <w:r>
              <w:rPr>
                <w:rFonts w:ascii="Calibri" w:eastAsia="Times New Roman" w:hAnsi="Calibri" w:cs="Times New Roman"/>
                <w:iCs/>
                <w:color w:val="000000"/>
                <w:sz w:val="20"/>
                <w:lang w:eastAsia="ca-ES"/>
              </w:rPr>
              <w:t>N</w:t>
            </w:r>
            <w:r w:rsidRPr="00A3278C">
              <w:rPr>
                <w:rFonts w:ascii="Calibri" w:eastAsia="Times New Roman" w:hAnsi="Calibri" w:cs="Times New Roman"/>
                <w:iCs/>
                <w:color w:val="000000"/>
                <w:sz w:val="20"/>
                <w:lang w:eastAsia="ca-ES"/>
              </w:rPr>
              <w:t>oms de les unitats territorials de cada estat membre</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normalitza</w:t>
            </w:r>
            <w:r>
              <w:rPr>
                <w:rFonts w:ascii="Calibri" w:eastAsia="Times New Roman" w:hAnsi="Calibri" w:cs="Times New Roman"/>
                <w:iCs/>
                <w:color w:val="000000"/>
                <w:sz w:val="20"/>
                <w:lang w:eastAsia="ca-ES"/>
              </w:rPr>
              <w:t>ts</w:t>
            </w:r>
            <w:r w:rsidRPr="00A3278C">
              <w:rPr>
                <w:rFonts w:ascii="Calibri" w:eastAsia="Times New Roman" w:hAnsi="Calibri" w:cs="Times New Roman"/>
                <w:iCs/>
                <w:color w:val="000000"/>
                <w:sz w:val="20"/>
                <w:lang w:eastAsia="ca-ES"/>
              </w:rPr>
              <w:t xml:space="preserve"> en català</w:t>
            </w:r>
            <w:r>
              <w:rPr>
                <w:rFonts w:ascii="Calibri" w:eastAsia="Times New Roman" w:hAnsi="Calibri" w:cs="Times New Roman"/>
                <w:iCs/>
                <w:color w:val="000000"/>
                <w:sz w:val="20"/>
                <w:lang w:eastAsia="ca-ES"/>
              </w:rPr>
              <w:t>.</w:t>
            </w:r>
          </w:p>
        </w:tc>
      </w:tr>
      <w:tr w:rsidR="00F60CFB" w:rsidRPr="00ED1057" w14:paraId="4AD9A7FD" w14:textId="77777777" w:rsidTr="00923A40">
        <w:trPr>
          <w:trHeight w:val="699"/>
        </w:trPr>
        <w:tc>
          <w:tcPr>
            <w:tcW w:w="676" w:type="pct"/>
            <w:shd w:val="clear" w:color="auto" w:fill="auto"/>
            <w:noWrap/>
            <w:vAlign w:val="center"/>
            <w:hideMark/>
          </w:tcPr>
          <w:p w14:paraId="57DC9A2A" w14:textId="0D7D7255" w:rsidR="00F60CFB" w:rsidRPr="00ED1057" w:rsidRDefault="00127F42" w:rsidP="000F3B33">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Pertany</w:t>
            </w:r>
          </w:p>
        </w:tc>
        <w:tc>
          <w:tcPr>
            <w:tcW w:w="1219" w:type="pct"/>
            <w:shd w:val="clear" w:color="auto" w:fill="auto"/>
            <w:noWrap/>
            <w:vAlign w:val="center"/>
            <w:hideMark/>
          </w:tcPr>
          <w:p w14:paraId="451318D2" w14:textId="02A9FD64" w:rsidR="00F60CFB" w:rsidRPr="00A3278C" w:rsidRDefault="00A3278C" w:rsidP="000F3B33">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Alfanumèric de</w:t>
            </w:r>
            <w:r>
              <w:rPr>
                <w:rFonts w:ascii="Calibri" w:eastAsia="Times New Roman" w:hAnsi="Calibri" w:cs="Times New Roman"/>
                <w:iCs/>
                <w:color w:val="000000"/>
                <w:sz w:val="20"/>
                <w:lang w:eastAsia="ca-ES"/>
              </w:rPr>
              <w:t xml:space="preserve"> 6</w:t>
            </w:r>
            <w:r w:rsidRPr="00A3278C">
              <w:rPr>
                <w:rFonts w:ascii="Calibri" w:eastAsia="Times New Roman" w:hAnsi="Calibri" w:cs="Times New Roman"/>
                <w:iCs/>
                <w:color w:val="000000"/>
                <w:sz w:val="20"/>
                <w:lang w:eastAsia="ca-ES"/>
              </w:rPr>
              <w:t xml:space="preserve"> caràcters</w:t>
            </w:r>
          </w:p>
        </w:tc>
        <w:tc>
          <w:tcPr>
            <w:tcW w:w="3104" w:type="pct"/>
            <w:shd w:val="clear" w:color="auto" w:fill="auto"/>
            <w:vAlign w:val="center"/>
            <w:hideMark/>
          </w:tcPr>
          <w:p w14:paraId="08AC08C8" w14:textId="1D14EBF9" w:rsidR="007E1DC1" w:rsidRPr="00A3278C" w:rsidRDefault="00F60CFB" w:rsidP="007E1DC1">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Codi </w:t>
            </w:r>
            <w:r w:rsidR="007E1DC1">
              <w:rPr>
                <w:rFonts w:ascii="Calibri" w:eastAsia="Times New Roman" w:hAnsi="Calibri" w:cs="Times New Roman"/>
                <w:iCs/>
                <w:color w:val="000000"/>
                <w:sz w:val="20"/>
                <w:lang w:eastAsia="ca-ES"/>
              </w:rPr>
              <w:t>NUTS del nivell superior a on pertany l’element.</w:t>
            </w:r>
            <w:r w:rsidR="007E1DC1" w:rsidRPr="007E1DC1">
              <w:rPr>
                <w:rFonts w:ascii="Calibri" w:eastAsia="Times New Roman" w:hAnsi="Calibri" w:cs="Times New Roman"/>
                <w:iCs/>
                <w:color w:val="000000"/>
                <w:sz w:val="20"/>
                <w:lang w:eastAsia="ca-ES"/>
              </w:rPr>
              <w:t xml:space="preserve"> Els </w:t>
            </w:r>
            <w:r w:rsidR="007E1DC1">
              <w:rPr>
                <w:rFonts w:ascii="Calibri" w:eastAsia="Times New Roman" w:hAnsi="Calibri" w:cs="Times New Roman"/>
                <w:iCs/>
                <w:color w:val="000000"/>
                <w:sz w:val="20"/>
                <w:lang w:eastAsia="ca-ES"/>
              </w:rPr>
              <w:t>elements de tipus País</w:t>
            </w:r>
            <w:r w:rsidR="007E1DC1" w:rsidRPr="007E1DC1">
              <w:rPr>
                <w:rFonts w:ascii="Calibri" w:eastAsia="Times New Roman" w:hAnsi="Calibri" w:cs="Times New Roman"/>
                <w:iCs/>
                <w:color w:val="000000"/>
                <w:sz w:val="20"/>
                <w:lang w:eastAsia="ca-ES"/>
              </w:rPr>
              <w:t>, per ser el de més rang, no tenen cap valor en aquest atribut.</w:t>
            </w:r>
          </w:p>
        </w:tc>
      </w:tr>
    </w:tbl>
    <w:p w14:paraId="5D9CA733" w14:textId="0DAE60F0" w:rsidR="000F13E7" w:rsidRDefault="000F13E7" w:rsidP="00161C12"/>
    <w:p w14:paraId="75C98F75" w14:textId="77777777" w:rsidR="00112ABB" w:rsidRDefault="00112ABB" w:rsidP="00161C12"/>
    <w:sectPr w:rsidR="00112ABB"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F13E7"/>
    <w:rsid w:val="00112ABB"/>
    <w:rsid w:val="00127F42"/>
    <w:rsid w:val="0013467F"/>
    <w:rsid w:val="00161C12"/>
    <w:rsid w:val="001E6FB9"/>
    <w:rsid w:val="002A0844"/>
    <w:rsid w:val="00450B5E"/>
    <w:rsid w:val="004B6B4E"/>
    <w:rsid w:val="004C7D1D"/>
    <w:rsid w:val="00555B77"/>
    <w:rsid w:val="00683D85"/>
    <w:rsid w:val="006903E5"/>
    <w:rsid w:val="007126D9"/>
    <w:rsid w:val="007E1DC1"/>
    <w:rsid w:val="00923A40"/>
    <w:rsid w:val="009605F3"/>
    <w:rsid w:val="00981C45"/>
    <w:rsid w:val="009D715A"/>
    <w:rsid w:val="00A3278C"/>
    <w:rsid w:val="00AB410E"/>
    <w:rsid w:val="00BC0B8E"/>
    <w:rsid w:val="00C63D3C"/>
    <w:rsid w:val="00C832E8"/>
    <w:rsid w:val="00CC3DA2"/>
    <w:rsid w:val="00DF263F"/>
    <w:rsid w:val="00ED1057"/>
    <w:rsid w:val="00F455E2"/>
    <w:rsid w:val="00F60CFB"/>
    <w:rsid w:val="00F66DD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E4C1"/>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12</cp:revision>
  <dcterms:created xsi:type="dcterms:W3CDTF">2020-02-19T12:06:00Z</dcterms:created>
  <dcterms:modified xsi:type="dcterms:W3CDTF">2021-02-17T07:42:00Z</dcterms:modified>
</cp:coreProperties>
</file>