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A9D31" w14:textId="77777777" w:rsidR="009F7C59" w:rsidRPr="009F7C59" w:rsidRDefault="009F7C59" w:rsidP="009F7C59">
      <w:pPr>
        <w:widowControl/>
        <w:spacing w:before="100" w:beforeAutospacing="1" w:after="100" w:afterAutospacing="1"/>
        <w:jc w:val="center"/>
        <w:rPr>
          <w:rFonts w:ascii="Times New Roman" w:eastAsia="Times New Roman" w:hAnsi="Times New Roman" w:cs="Times New Roman"/>
          <w:kern w:val="0"/>
          <w:sz w:val="24"/>
          <w14:ligatures w14:val="none"/>
        </w:rPr>
      </w:pPr>
      <w:r w:rsidRPr="009F7C59">
        <w:rPr>
          <w:rFonts w:ascii="Times New Roman" w:eastAsia="Times New Roman" w:hAnsi="Times New Roman" w:cs="Times New Roman"/>
          <w:b/>
          <w:bCs/>
          <w:kern w:val="0"/>
          <w:sz w:val="24"/>
          <w14:ligatures w14:val="none"/>
        </w:rPr>
        <w:t>The Impact of Girls’ Education: Trends and Economic Outcomes</w:t>
      </w:r>
      <w:r w:rsidRPr="009F7C59">
        <w:rPr>
          <w:rFonts w:ascii="Times New Roman" w:eastAsia="Times New Roman" w:hAnsi="Times New Roman" w:cs="Times New Roman"/>
          <w:kern w:val="0"/>
          <w:sz w:val="24"/>
          <w14:ligatures w14:val="none"/>
        </w:rPr>
        <w:br/>
      </w:r>
      <w:r w:rsidRPr="009F7C59">
        <w:rPr>
          <w:rFonts w:ascii="Times New Roman" w:eastAsia="Times New Roman" w:hAnsi="Times New Roman" w:cs="Times New Roman"/>
          <w:i/>
          <w:iCs/>
          <w:kern w:val="0"/>
          <w:sz w:val="24"/>
          <w14:ligatures w14:val="none"/>
        </w:rPr>
        <w:t>An Analysis Using World Bank Data</w:t>
      </w:r>
      <w:r w:rsidRPr="009F7C59">
        <w:rPr>
          <w:rFonts w:ascii="Times New Roman" w:eastAsia="Times New Roman" w:hAnsi="Times New Roman" w:cs="Times New Roman"/>
          <w:kern w:val="0"/>
          <w:sz w:val="24"/>
          <w14:ligatures w14:val="none"/>
        </w:rPr>
        <w:br/>
      </w:r>
      <w:r w:rsidRPr="009F7C59">
        <w:rPr>
          <w:rFonts w:ascii="Times New Roman" w:eastAsia="Times New Roman" w:hAnsi="Times New Roman" w:cs="Times New Roman"/>
          <w:b/>
          <w:bCs/>
          <w:kern w:val="0"/>
          <w:sz w:val="24"/>
          <w14:ligatures w14:val="none"/>
        </w:rPr>
        <w:t>Shinko Soma</w:t>
      </w:r>
    </w:p>
    <w:p w14:paraId="752D2582" w14:textId="312E91B4" w:rsidR="009F7C59" w:rsidRPr="009F7C59" w:rsidRDefault="009F7C59" w:rsidP="009F7C59">
      <w:pPr>
        <w:widowControl/>
        <w:jc w:val="left"/>
        <w:rPr>
          <w:rFonts w:ascii="Times New Roman" w:eastAsia="Times New Roman" w:hAnsi="Times New Roman" w:cs="Times New Roman"/>
          <w:kern w:val="0"/>
          <w:sz w:val="24"/>
          <w14:ligatures w14:val="none"/>
        </w:rPr>
      </w:pPr>
    </w:p>
    <w:p w14:paraId="6004DBB8" w14:textId="77777777" w:rsidR="009F7C59" w:rsidRPr="009F7C59" w:rsidRDefault="009F7C59" w:rsidP="009F7C59">
      <w:pPr>
        <w:widowControl/>
        <w:spacing w:before="100" w:beforeAutospacing="1" w:after="100" w:afterAutospacing="1"/>
        <w:jc w:val="left"/>
        <w:outlineLvl w:val="2"/>
        <w:rPr>
          <w:rFonts w:ascii="Times New Roman" w:eastAsia="Times New Roman" w:hAnsi="Times New Roman" w:cs="Times New Roman"/>
          <w:b/>
          <w:bCs/>
          <w:kern w:val="0"/>
          <w:sz w:val="27"/>
          <w:szCs w:val="27"/>
          <w14:ligatures w14:val="none"/>
        </w:rPr>
      </w:pPr>
      <w:r w:rsidRPr="009F7C59">
        <w:rPr>
          <w:rFonts w:ascii="Times New Roman" w:eastAsia="Times New Roman" w:hAnsi="Times New Roman" w:cs="Times New Roman"/>
          <w:b/>
          <w:bCs/>
          <w:kern w:val="0"/>
          <w:sz w:val="27"/>
          <w:szCs w:val="27"/>
          <w14:ligatures w14:val="none"/>
        </w:rPr>
        <w:t>1. Introduction</w:t>
      </w:r>
    </w:p>
    <w:p w14:paraId="58FB279F" w14:textId="50E7802C" w:rsidR="009F7C59" w:rsidRPr="009F7C59" w:rsidRDefault="009F7C59" w:rsidP="009F7C59">
      <w:pPr>
        <w:widowControl/>
        <w:spacing w:before="100" w:beforeAutospacing="1" w:after="100" w:afterAutospacing="1"/>
        <w:jc w:val="left"/>
        <w:rPr>
          <w:rFonts w:ascii="Times New Roman" w:eastAsia="Times New Roman" w:hAnsi="Times New Roman" w:cs="Times New Roman"/>
          <w:kern w:val="0"/>
          <w:sz w:val="24"/>
          <w14:ligatures w14:val="none"/>
        </w:rPr>
      </w:pPr>
      <w:r w:rsidRPr="009F7C59">
        <w:rPr>
          <w:rFonts w:ascii="Times New Roman" w:eastAsia="Times New Roman" w:hAnsi="Times New Roman" w:cs="Times New Roman"/>
          <w:kern w:val="0"/>
          <w:sz w:val="24"/>
          <w14:ligatures w14:val="none"/>
        </w:rPr>
        <w:t>Girls’ education is widely recognized as a cornerstone of sustainable development. It is explicitly addressed in global targets such as Sustainable Development Goal (SDG) 4 (Quality Education) and SDG 5 (Gender Equality). Investing in girls’ education is not only a fundamental human right but also a proven strategy to foster healthier, more equitable, and prosperous societies. This report analyzes global progress in girls’ education over the past two decades, with a particular focus on economic and social outcomes, using data from the World Bank.</w:t>
      </w:r>
    </w:p>
    <w:p w14:paraId="362BEC88" w14:textId="77777777" w:rsidR="009F7C59" w:rsidRPr="009F7C59" w:rsidRDefault="009F7C59" w:rsidP="009F7C59">
      <w:pPr>
        <w:widowControl/>
        <w:spacing w:before="100" w:beforeAutospacing="1" w:after="100" w:afterAutospacing="1"/>
        <w:jc w:val="left"/>
        <w:outlineLvl w:val="2"/>
        <w:rPr>
          <w:rFonts w:ascii="Times New Roman" w:eastAsia="Times New Roman" w:hAnsi="Times New Roman" w:cs="Times New Roman"/>
          <w:b/>
          <w:bCs/>
          <w:kern w:val="0"/>
          <w:sz w:val="27"/>
          <w:szCs w:val="27"/>
          <w14:ligatures w14:val="none"/>
        </w:rPr>
      </w:pPr>
      <w:r w:rsidRPr="009F7C59">
        <w:rPr>
          <w:rFonts w:ascii="Times New Roman" w:eastAsia="Times New Roman" w:hAnsi="Times New Roman" w:cs="Times New Roman"/>
          <w:b/>
          <w:bCs/>
          <w:kern w:val="0"/>
          <w:sz w:val="27"/>
          <w:szCs w:val="27"/>
          <w14:ligatures w14:val="none"/>
        </w:rPr>
        <w:t>2. Global Trends in Girls’ Education</w:t>
      </w:r>
    </w:p>
    <w:p w14:paraId="4E1DFB37" w14:textId="1DA1BBC6" w:rsidR="009F7C59" w:rsidRPr="009F7C59" w:rsidRDefault="009F7C59" w:rsidP="009F7C59">
      <w:pPr>
        <w:widowControl/>
        <w:spacing w:before="100" w:beforeAutospacing="1" w:after="100" w:afterAutospacing="1"/>
        <w:jc w:val="left"/>
        <w:rPr>
          <w:rFonts w:ascii="Times New Roman" w:eastAsia="Times New Roman" w:hAnsi="Times New Roman" w:cs="Times New Roman"/>
          <w:kern w:val="0"/>
          <w:sz w:val="24"/>
          <w14:ligatures w14:val="none"/>
        </w:rPr>
      </w:pPr>
      <w:r w:rsidRPr="009F7C59">
        <w:rPr>
          <w:rFonts w:ascii="Times New Roman" w:eastAsia="Times New Roman" w:hAnsi="Times New Roman" w:cs="Times New Roman"/>
          <w:kern w:val="0"/>
          <w:sz w:val="24"/>
          <w14:ligatures w14:val="none"/>
        </w:rPr>
        <w:t>Between 2000 and 2020, significant disparities in girls’ education persist</w:t>
      </w:r>
      <w:r w:rsidR="00617A59">
        <w:rPr>
          <w:rFonts w:ascii="Times New Roman" w:eastAsia="Times New Roman" w:hAnsi="Times New Roman" w:cs="Times New Roman"/>
          <w:kern w:val="0"/>
          <w:sz w:val="24"/>
          <w14:ligatures w14:val="none"/>
        </w:rPr>
        <w:t>ed</w:t>
      </w:r>
      <w:r w:rsidRPr="009F7C59">
        <w:rPr>
          <w:rFonts w:ascii="Times New Roman" w:eastAsia="Times New Roman" w:hAnsi="Times New Roman" w:cs="Times New Roman"/>
          <w:kern w:val="0"/>
          <w:sz w:val="24"/>
          <w14:ligatures w14:val="none"/>
        </w:rPr>
        <w:t xml:space="preserve"> across regions. In Sub-Saharan Africa, the primary education completion rate remains low, indicating ongoing challenges in achieving universal access to basic education. By contrast, many Asian countries have shown strong progress, with many shifting their policy focus toward improving secondary education completion rates.</w:t>
      </w:r>
    </w:p>
    <w:p w14:paraId="527A1C8B" w14:textId="0A1B35B1" w:rsidR="009F7C59" w:rsidRPr="009F7C59" w:rsidRDefault="009F7C59" w:rsidP="009F7C59">
      <w:pPr>
        <w:widowControl/>
        <w:spacing w:before="100" w:beforeAutospacing="1" w:after="100" w:afterAutospacing="1"/>
        <w:jc w:val="left"/>
        <w:rPr>
          <w:rFonts w:ascii="Times New Roman" w:eastAsia="Times New Roman" w:hAnsi="Times New Roman" w:cs="Times New Roman"/>
          <w:kern w:val="0"/>
          <w:sz w:val="24"/>
          <w14:ligatures w14:val="none"/>
        </w:rPr>
      </w:pPr>
      <w:r w:rsidRPr="009F7C59">
        <w:rPr>
          <w:rFonts w:ascii="Times New Roman" w:eastAsia="Times New Roman" w:hAnsi="Times New Roman" w:cs="Times New Roman"/>
          <w:kern w:val="0"/>
          <w:sz w:val="24"/>
          <w14:ligatures w14:val="none"/>
        </w:rPr>
        <w:t>This divergence reflects both historical inequities and varying policy priorities across regions.</w:t>
      </w:r>
    </w:p>
    <w:p w14:paraId="31A5E294" w14:textId="77777777" w:rsidR="009F7C59" w:rsidRPr="009F7C59" w:rsidRDefault="009F7C59" w:rsidP="009F7C59">
      <w:pPr>
        <w:widowControl/>
        <w:spacing w:before="100" w:beforeAutospacing="1" w:after="100" w:afterAutospacing="1"/>
        <w:jc w:val="left"/>
        <w:outlineLvl w:val="2"/>
        <w:rPr>
          <w:rFonts w:ascii="Times New Roman" w:eastAsia="Times New Roman" w:hAnsi="Times New Roman" w:cs="Times New Roman"/>
          <w:b/>
          <w:bCs/>
          <w:kern w:val="0"/>
          <w:sz w:val="27"/>
          <w:szCs w:val="27"/>
          <w14:ligatures w14:val="none"/>
        </w:rPr>
      </w:pPr>
      <w:r w:rsidRPr="009F7C59">
        <w:rPr>
          <w:rFonts w:ascii="Times New Roman" w:eastAsia="Times New Roman" w:hAnsi="Times New Roman" w:cs="Times New Roman"/>
          <w:b/>
          <w:bCs/>
          <w:kern w:val="0"/>
          <w:sz w:val="27"/>
          <w:szCs w:val="27"/>
          <w14:ligatures w14:val="none"/>
        </w:rPr>
        <w:t>3. Country-Level Improvements: Top Performers</w:t>
      </w:r>
    </w:p>
    <w:p w14:paraId="43F218B0" w14:textId="77777777" w:rsidR="009F7C59" w:rsidRPr="009F7C59" w:rsidRDefault="009F7C59" w:rsidP="009F7C59">
      <w:pPr>
        <w:widowControl/>
        <w:spacing w:before="100" w:beforeAutospacing="1" w:after="100" w:afterAutospacing="1"/>
        <w:jc w:val="left"/>
        <w:rPr>
          <w:rFonts w:ascii="Times New Roman" w:eastAsia="Times New Roman" w:hAnsi="Times New Roman" w:cs="Times New Roman"/>
          <w:kern w:val="0"/>
          <w:sz w:val="24"/>
          <w14:ligatures w14:val="none"/>
        </w:rPr>
      </w:pPr>
      <w:r w:rsidRPr="009F7C59">
        <w:rPr>
          <w:rFonts w:ascii="Times New Roman" w:eastAsia="Times New Roman" w:hAnsi="Times New Roman" w:cs="Times New Roman"/>
          <w:kern w:val="0"/>
          <w:sz w:val="24"/>
          <w14:ligatures w14:val="none"/>
        </w:rPr>
        <w:t>Over the past two decades, some countries have achieved remarkable improvements in girls’ education. The top 10 performers include Türkiye, Thailand, Nepal, Bhutan, and others. Each country has addressed its specific challenges through tailored reforms.</w:t>
      </w:r>
    </w:p>
    <w:p w14:paraId="39A9F85F" w14:textId="77777777" w:rsidR="009F7C59" w:rsidRPr="009F7C59" w:rsidRDefault="009F7C59" w:rsidP="009F7C59">
      <w:pPr>
        <w:widowControl/>
        <w:spacing w:before="100" w:beforeAutospacing="1" w:after="100" w:afterAutospacing="1"/>
        <w:jc w:val="left"/>
        <w:rPr>
          <w:rFonts w:ascii="Times New Roman" w:eastAsia="Times New Roman" w:hAnsi="Times New Roman" w:cs="Times New Roman"/>
          <w:kern w:val="0"/>
          <w:sz w:val="24"/>
          <w14:ligatures w14:val="none"/>
        </w:rPr>
      </w:pPr>
      <w:r w:rsidRPr="009F7C59">
        <w:rPr>
          <w:rFonts w:ascii="Times New Roman" w:eastAsia="Times New Roman" w:hAnsi="Times New Roman" w:cs="Times New Roman"/>
          <w:b/>
          <w:bCs/>
          <w:kern w:val="0"/>
          <w:sz w:val="24"/>
          <w14:ligatures w14:val="none"/>
        </w:rPr>
        <w:t>Case Study: Türkiye</w:t>
      </w:r>
    </w:p>
    <w:p w14:paraId="48AA2595" w14:textId="77777777" w:rsidR="009F7C59" w:rsidRPr="009F7C59" w:rsidRDefault="009F7C59" w:rsidP="009F7C59">
      <w:pPr>
        <w:widowControl/>
        <w:spacing w:before="100" w:beforeAutospacing="1" w:after="100" w:afterAutospacing="1"/>
        <w:jc w:val="left"/>
        <w:rPr>
          <w:rFonts w:ascii="Times New Roman" w:eastAsia="Times New Roman" w:hAnsi="Times New Roman" w:cs="Times New Roman"/>
          <w:kern w:val="0"/>
          <w:sz w:val="24"/>
          <w14:ligatures w14:val="none"/>
        </w:rPr>
      </w:pPr>
      <w:r w:rsidRPr="009F7C59">
        <w:rPr>
          <w:rFonts w:ascii="Times New Roman" w:eastAsia="Times New Roman" w:hAnsi="Times New Roman" w:cs="Times New Roman"/>
          <w:kern w:val="0"/>
          <w:sz w:val="24"/>
          <w14:ligatures w14:val="none"/>
        </w:rPr>
        <w:t>Türkiye’s success can be attributed to a series of major policy reforms:</w:t>
      </w:r>
    </w:p>
    <w:p w14:paraId="4270B380" w14:textId="77777777" w:rsidR="009F7C59" w:rsidRPr="009F7C59" w:rsidRDefault="009F7C59" w:rsidP="009F7C59">
      <w:pPr>
        <w:widowControl/>
        <w:numPr>
          <w:ilvl w:val="0"/>
          <w:numId w:val="1"/>
        </w:numPr>
        <w:spacing w:before="100" w:beforeAutospacing="1" w:after="100" w:afterAutospacing="1"/>
        <w:jc w:val="left"/>
        <w:rPr>
          <w:rFonts w:ascii="Times New Roman" w:eastAsia="Times New Roman" w:hAnsi="Times New Roman" w:cs="Times New Roman"/>
          <w:kern w:val="0"/>
          <w:sz w:val="24"/>
          <w14:ligatures w14:val="none"/>
        </w:rPr>
      </w:pPr>
      <w:r w:rsidRPr="009F7C59">
        <w:rPr>
          <w:rFonts w:ascii="Times New Roman" w:eastAsia="Times New Roman" w:hAnsi="Times New Roman" w:cs="Times New Roman"/>
          <w:b/>
          <w:bCs/>
          <w:kern w:val="0"/>
          <w:sz w:val="24"/>
          <w14:ligatures w14:val="none"/>
        </w:rPr>
        <w:t>Introduction of the "4+4+4 Education System" (2012)</w:t>
      </w:r>
      <w:r w:rsidRPr="009F7C59">
        <w:rPr>
          <w:rFonts w:ascii="Times New Roman" w:eastAsia="Times New Roman" w:hAnsi="Times New Roman" w:cs="Times New Roman"/>
          <w:kern w:val="0"/>
          <w:sz w:val="24"/>
          <w14:ligatures w14:val="none"/>
        </w:rPr>
        <w:br/>
        <w:t xml:space="preserve">Türkiye restructured its education system from an "8-year continuous education" </w:t>
      </w:r>
      <w:r w:rsidRPr="009F7C59">
        <w:rPr>
          <w:rFonts w:ascii="Times New Roman" w:eastAsia="Times New Roman" w:hAnsi="Times New Roman" w:cs="Times New Roman"/>
          <w:kern w:val="0"/>
          <w:sz w:val="24"/>
          <w14:ligatures w14:val="none"/>
        </w:rPr>
        <w:lastRenderedPageBreak/>
        <w:t>model into "4 years primary + 4 years lower secondary + 4 years upper secondary," making lower secondary education legally mandatory.</w:t>
      </w:r>
    </w:p>
    <w:p w14:paraId="78A2FE54" w14:textId="77777777" w:rsidR="009F7C59" w:rsidRPr="009F7C59" w:rsidRDefault="009F7C59" w:rsidP="009F7C59">
      <w:pPr>
        <w:widowControl/>
        <w:numPr>
          <w:ilvl w:val="0"/>
          <w:numId w:val="1"/>
        </w:numPr>
        <w:spacing w:before="100" w:beforeAutospacing="1" w:after="100" w:afterAutospacing="1"/>
        <w:jc w:val="left"/>
        <w:rPr>
          <w:rFonts w:ascii="Times New Roman" w:eastAsia="Times New Roman" w:hAnsi="Times New Roman" w:cs="Times New Roman"/>
          <w:kern w:val="0"/>
          <w:sz w:val="24"/>
          <w14:ligatures w14:val="none"/>
        </w:rPr>
      </w:pPr>
      <w:r w:rsidRPr="009F7C59">
        <w:rPr>
          <w:rFonts w:ascii="Times New Roman" w:eastAsia="Times New Roman" w:hAnsi="Times New Roman" w:cs="Times New Roman"/>
          <w:b/>
          <w:bCs/>
          <w:kern w:val="0"/>
          <w:sz w:val="24"/>
          <w14:ligatures w14:val="none"/>
        </w:rPr>
        <w:t>Extension of Compulsory Education Age</w:t>
      </w:r>
      <w:r w:rsidRPr="009F7C59">
        <w:rPr>
          <w:rFonts w:ascii="Times New Roman" w:eastAsia="Times New Roman" w:hAnsi="Times New Roman" w:cs="Times New Roman"/>
          <w:kern w:val="0"/>
          <w:sz w:val="24"/>
          <w14:ligatures w14:val="none"/>
        </w:rPr>
        <w:br/>
        <w:t>The compulsory education age was raised from 15 to 17, effectively making both lower and upper secondary education compulsory.</w:t>
      </w:r>
    </w:p>
    <w:p w14:paraId="2003CBA3" w14:textId="77777777" w:rsidR="009F7C59" w:rsidRPr="009F7C59" w:rsidRDefault="009F7C59" w:rsidP="009F7C59">
      <w:pPr>
        <w:widowControl/>
        <w:numPr>
          <w:ilvl w:val="0"/>
          <w:numId w:val="1"/>
        </w:numPr>
        <w:spacing w:before="100" w:beforeAutospacing="1" w:after="100" w:afterAutospacing="1"/>
        <w:jc w:val="left"/>
        <w:rPr>
          <w:rFonts w:ascii="Times New Roman" w:eastAsia="Times New Roman" w:hAnsi="Times New Roman" w:cs="Times New Roman"/>
          <w:kern w:val="0"/>
          <w:sz w:val="24"/>
          <w14:ligatures w14:val="none"/>
        </w:rPr>
      </w:pPr>
      <w:r w:rsidRPr="009F7C59">
        <w:rPr>
          <w:rFonts w:ascii="Times New Roman" w:eastAsia="Times New Roman" w:hAnsi="Times New Roman" w:cs="Times New Roman"/>
          <w:b/>
          <w:bCs/>
          <w:kern w:val="0"/>
          <w:sz w:val="24"/>
          <w14:ligatures w14:val="none"/>
        </w:rPr>
        <w:t>Infrastructure and Access Improvements</w:t>
      </w:r>
      <w:r w:rsidRPr="009F7C59">
        <w:rPr>
          <w:rFonts w:ascii="Times New Roman" w:eastAsia="Times New Roman" w:hAnsi="Times New Roman" w:cs="Times New Roman"/>
          <w:kern w:val="0"/>
          <w:sz w:val="24"/>
          <w14:ligatures w14:val="none"/>
        </w:rPr>
        <w:br/>
        <w:t>Investments in new schools and classrooms—especially in rural areas—significantly improved access to education. There was a strong focus on reducing gender disparities, with girls’ education a key policy goal.</w:t>
      </w:r>
    </w:p>
    <w:p w14:paraId="61654224" w14:textId="1F6894A5" w:rsidR="009F7C59" w:rsidRPr="009F7C59" w:rsidRDefault="009F7C59" w:rsidP="009F7C59">
      <w:pPr>
        <w:widowControl/>
        <w:numPr>
          <w:ilvl w:val="0"/>
          <w:numId w:val="1"/>
        </w:numPr>
        <w:spacing w:before="100" w:beforeAutospacing="1" w:after="100" w:afterAutospacing="1"/>
        <w:jc w:val="left"/>
        <w:rPr>
          <w:rFonts w:ascii="Times New Roman" w:eastAsia="Times New Roman" w:hAnsi="Times New Roman" w:cs="Times New Roman"/>
          <w:kern w:val="0"/>
          <w:sz w:val="24"/>
          <w14:ligatures w14:val="none"/>
        </w:rPr>
      </w:pPr>
      <w:r w:rsidRPr="009F7C59">
        <w:rPr>
          <w:rFonts w:ascii="Times New Roman" w:eastAsia="Times New Roman" w:hAnsi="Times New Roman" w:cs="Times New Roman"/>
          <w:b/>
          <w:bCs/>
          <w:kern w:val="0"/>
          <w:sz w:val="24"/>
          <w14:ligatures w14:val="none"/>
        </w:rPr>
        <w:t>Increased Education Spending</w:t>
      </w:r>
      <w:r w:rsidRPr="009F7C59">
        <w:rPr>
          <w:rFonts w:ascii="Times New Roman" w:eastAsia="Times New Roman" w:hAnsi="Times New Roman" w:cs="Times New Roman"/>
          <w:kern w:val="0"/>
          <w:sz w:val="24"/>
          <w14:ligatures w14:val="none"/>
        </w:rPr>
        <w:br/>
        <w:t>Türkiye increased education spending as a share of GDP, ensuring that reforms were supported by sufficient resources.</w:t>
      </w:r>
    </w:p>
    <w:p w14:paraId="04A746DC" w14:textId="77777777" w:rsidR="009F7C59" w:rsidRPr="009F7C59" w:rsidRDefault="009F7C59" w:rsidP="009F7C59">
      <w:pPr>
        <w:widowControl/>
        <w:spacing w:before="100" w:beforeAutospacing="1" w:after="100" w:afterAutospacing="1"/>
        <w:jc w:val="left"/>
        <w:outlineLvl w:val="2"/>
        <w:rPr>
          <w:rFonts w:ascii="Times New Roman" w:eastAsia="Times New Roman" w:hAnsi="Times New Roman" w:cs="Times New Roman"/>
          <w:b/>
          <w:bCs/>
          <w:kern w:val="0"/>
          <w:sz w:val="27"/>
          <w:szCs w:val="27"/>
          <w14:ligatures w14:val="none"/>
        </w:rPr>
      </w:pPr>
      <w:r w:rsidRPr="009F7C59">
        <w:rPr>
          <w:rFonts w:ascii="Times New Roman" w:eastAsia="Times New Roman" w:hAnsi="Times New Roman" w:cs="Times New Roman"/>
          <w:b/>
          <w:bCs/>
          <w:kern w:val="0"/>
          <w:sz w:val="27"/>
          <w:szCs w:val="27"/>
          <w14:ligatures w14:val="none"/>
        </w:rPr>
        <w:t>4. Health and Social Impacts</w:t>
      </w:r>
    </w:p>
    <w:p w14:paraId="205608FE" w14:textId="77777777" w:rsidR="009F7C59" w:rsidRPr="009F7C59" w:rsidRDefault="009F7C59" w:rsidP="009F7C59">
      <w:pPr>
        <w:widowControl/>
        <w:spacing w:before="100" w:beforeAutospacing="1" w:after="100" w:afterAutospacing="1"/>
        <w:jc w:val="left"/>
        <w:rPr>
          <w:rFonts w:ascii="Times New Roman" w:eastAsia="Times New Roman" w:hAnsi="Times New Roman" w:cs="Times New Roman"/>
          <w:kern w:val="0"/>
          <w:sz w:val="24"/>
          <w14:ligatures w14:val="none"/>
        </w:rPr>
      </w:pPr>
      <w:r w:rsidRPr="009F7C59">
        <w:rPr>
          <w:rFonts w:ascii="Times New Roman" w:eastAsia="Times New Roman" w:hAnsi="Times New Roman" w:cs="Times New Roman"/>
          <w:kern w:val="0"/>
          <w:sz w:val="24"/>
          <w14:ligatures w14:val="none"/>
        </w:rPr>
        <w:t>Girls’ education has a well-established link to critical health outcomes. Countries with higher levels of girls’ education tend to have:</w:t>
      </w:r>
    </w:p>
    <w:p w14:paraId="1FA3AC0D" w14:textId="77777777" w:rsidR="009F7C59" w:rsidRPr="009F7C59" w:rsidRDefault="009F7C59" w:rsidP="009F7C59">
      <w:pPr>
        <w:widowControl/>
        <w:numPr>
          <w:ilvl w:val="0"/>
          <w:numId w:val="2"/>
        </w:numPr>
        <w:spacing w:before="100" w:beforeAutospacing="1" w:after="100" w:afterAutospacing="1"/>
        <w:jc w:val="left"/>
        <w:rPr>
          <w:rFonts w:ascii="Times New Roman" w:eastAsia="Times New Roman" w:hAnsi="Times New Roman" w:cs="Times New Roman"/>
          <w:kern w:val="0"/>
          <w:sz w:val="24"/>
          <w14:ligatures w14:val="none"/>
        </w:rPr>
      </w:pPr>
      <w:r w:rsidRPr="009F7C59">
        <w:rPr>
          <w:rFonts w:ascii="Times New Roman" w:eastAsia="Times New Roman" w:hAnsi="Times New Roman" w:cs="Times New Roman"/>
          <w:b/>
          <w:bCs/>
          <w:kern w:val="0"/>
          <w:sz w:val="24"/>
          <w14:ligatures w14:val="none"/>
        </w:rPr>
        <w:t>Lower under-5 mortality rates</w:t>
      </w:r>
    </w:p>
    <w:p w14:paraId="650C35E7" w14:textId="77777777" w:rsidR="009F7C59" w:rsidRPr="009F7C59" w:rsidRDefault="009F7C59" w:rsidP="009F7C59">
      <w:pPr>
        <w:widowControl/>
        <w:numPr>
          <w:ilvl w:val="0"/>
          <w:numId w:val="2"/>
        </w:numPr>
        <w:spacing w:before="100" w:beforeAutospacing="1" w:after="100" w:afterAutospacing="1"/>
        <w:jc w:val="left"/>
        <w:rPr>
          <w:rFonts w:ascii="Times New Roman" w:eastAsia="Times New Roman" w:hAnsi="Times New Roman" w:cs="Times New Roman"/>
          <w:kern w:val="0"/>
          <w:sz w:val="24"/>
          <w14:ligatures w14:val="none"/>
        </w:rPr>
      </w:pPr>
      <w:r w:rsidRPr="009F7C59">
        <w:rPr>
          <w:rFonts w:ascii="Times New Roman" w:eastAsia="Times New Roman" w:hAnsi="Times New Roman" w:cs="Times New Roman"/>
          <w:b/>
          <w:bCs/>
          <w:kern w:val="0"/>
          <w:sz w:val="24"/>
          <w14:ligatures w14:val="none"/>
        </w:rPr>
        <w:t>Higher life expectancy</w:t>
      </w:r>
    </w:p>
    <w:p w14:paraId="6EFED729" w14:textId="6EA4FDF5" w:rsidR="009F7C59" w:rsidRPr="009F7C59" w:rsidRDefault="009F7C59" w:rsidP="009F7C59">
      <w:pPr>
        <w:widowControl/>
        <w:spacing w:before="100" w:beforeAutospacing="1" w:after="100" w:afterAutospacing="1"/>
        <w:jc w:val="left"/>
        <w:rPr>
          <w:rFonts w:ascii="Times New Roman" w:eastAsia="Times New Roman" w:hAnsi="Times New Roman" w:cs="Times New Roman"/>
          <w:kern w:val="0"/>
          <w:sz w:val="24"/>
          <w14:ligatures w14:val="none"/>
        </w:rPr>
      </w:pPr>
      <w:r w:rsidRPr="009F7C59">
        <w:rPr>
          <w:rFonts w:ascii="Times New Roman" w:eastAsia="Times New Roman" w:hAnsi="Times New Roman" w:cs="Times New Roman"/>
          <w:kern w:val="0"/>
          <w:sz w:val="24"/>
          <w14:ligatures w14:val="none"/>
        </w:rPr>
        <w:t>This reflects how education empowers women to make informed health decisions, promotes healthier families, and strengthens community well-being.</w:t>
      </w:r>
    </w:p>
    <w:p w14:paraId="419123ED" w14:textId="77777777" w:rsidR="009F7C59" w:rsidRPr="009F7C59" w:rsidRDefault="009F7C59" w:rsidP="009F7C59">
      <w:pPr>
        <w:widowControl/>
        <w:spacing w:before="100" w:beforeAutospacing="1" w:after="100" w:afterAutospacing="1"/>
        <w:jc w:val="left"/>
        <w:outlineLvl w:val="2"/>
        <w:rPr>
          <w:rFonts w:ascii="Times New Roman" w:eastAsia="Times New Roman" w:hAnsi="Times New Roman" w:cs="Times New Roman"/>
          <w:b/>
          <w:bCs/>
          <w:kern w:val="0"/>
          <w:sz w:val="27"/>
          <w:szCs w:val="27"/>
          <w14:ligatures w14:val="none"/>
        </w:rPr>
      </w:pPr>
      <w:r w:rsidRPr="009F7C59">
        <w:rPr>
          <w:rFonts w:ascii="Times New Roman" w:eastAsia="Times New Roman" w:hAnsi="Times New Roman" w:cs="Times New Roman"/>
          <w:b/>
          <w:bCs/>
          <w:kern w:val="0"/>
          <w:sz w:val="27"/>
          <w:szCs w:val="27"/>
          <w14:ligatures w14:val="none"/>
        </w:rPr>
        <w:t>5. Economic Impacts</w:t>
      </w:r>
    </w:p>
    <w:p w14:paraId="781C0174" w14:textId="77777777" w:rsidR="009F7C59" w:rsidRPr="009F7C59" w:rsidRDefault="009F7C59" w:rsidP="009F7C59">
      <w:pPr>
        <w:widowControl/>
        <w:spacing w:before="100" w:beforeAutospacing="1" w:after="100" w:afterAutospacing="1"/>
        <w:jc w:val="left"/>
        <w:rPr>
          <w:rFonts w:ascii="Times New Roman" w:eastAsia="Times New Roman" w:hAnsi="Times New Roman" w:cs="Times New Roman"/>
          <w:kern w:val="0"/>
          <w:sz w:val="24"/>
          <w14:ligatures w14:val="none"/>
        </w:rPr>
      </w:pPr>
      <w:r w:rsidRPr="009F7C59">
        <w:rPr>
          <w:rFonts w:ascii="Times New Roman" w:eastAsia="Times New Roman" w:hAnsi="Times New Roman" w:cs="Times New Roman"/>
          <w:kern w:val="0"/>
          <w:sz w:val="24"/>
          <w14:ligatures w14:val="none"/>
        </w:rPr>
        <w:t>The relationship between girls’ education and economic outcomes presents a nuanced picture:</w:t>
      </w:r>
    </w:p>
    <w:p w14:paraId="6570AE7B" w14:textId="77777777" w:rsidR="009F7C59" w:rsidRPr="009F7C59" w:rsidRDefault="009F7C59" w:rsidP="009F7C59">
      <w:pPr>
        <w:widowControl/>
        <w:numPr>
          <w:ilvl w:val="0"/>
          <w:numId w:val="3"/>
        </w:numPr>
        <w:spacing w:before="100" w:beforeAutospacing="1" w:after="100" w:afterAutospacing="1"/>
        <w:jc w:val="left"/>
        <w:rPr>
          <w:rFonts w:ascii="Times New Roman" w:eastAsia="Times New Roman" w:hAnsi="Times New Roman" w:cs="Times New Roman"/>
          <w:kern w:val="0"/>
          <w:sz w:val="24"/>
          <w14:ligatures w14:val="none"/>
        </w:rPr>
      </w:pPr>
      <w:r w:rsidRPr="009F7C59">
        <w:rPr>
          <w:rFonts w:ascii="Times New Roman" w:eastAsia="Times New Roman" w:hAnsi="Times New Roman" w:cs="Times New Roman"/>
          <w:b/>
          <w:bCs/>
          <w:kern w:val="0"/>
          <w:sz w:val="24"/>
          <w14:ligatures w14:val="none"/>
        </w:rPr>
        <w:t>GDP per Capita:</w:t>
      </w:r>
      <w:r w:rsidRPr="009F7C59">
        <w:rPr>
          <w:rFonts w:ascii="Times New Roman" w:eastAsia="Times New Roman" w:hAnsi="Times New Roman" w:cs="Times New Roman"/>
          <w:kern w:val="0"/>
          <w:sz w:val="24"/>
          <w14:ligatures w14:val="none"/>
        </w:rPr>
        <w:br/>
        <w:t>There is a clear positive association between girls’ education (specifically, lower secondary education completion rates) and GDP per capita. Countries with higher education levels tend to enjoy greater economic prosperity.</w:t>
      </w:r>
    </w:p>
    <w:p w14:paraId="2EE2A1BE" w14:textId="77777777" w:rsidR="009F7C59" w:rsidRPr="009F7C59" w:rsidRDefault="009F7C59" w:rsidP="009F7C59">
      <w:pPr>
        <w:widowControl/>
        <w:numPr>
          <w:ilvl w:val="0"/>
          <w:numId w:val="3"/>
        </w:numPr>
        <w:spacing w:before="100" w:beforeAutospacing="1" w:after="100" w:afterAutospacing="1"/>
        <w:jc w:val="left"/>
        <w:rPr>
          <w:rFonts w:ascii="Times New Roman" w:eastAsia="Times New Roman" w:hAnsi="Times New Roman" w:cs="Times New Roman"/>
          <w:kern w:val="0"/>
          <w:sz w:val="24"/>
          <w14:ligatures w14:val="none"/>
        </w:rPr>
      </w:pPr>
      <w:r w:rsidRPr="009F7C59">
        <w:rPr>
          <w:rFonts w:ascii="Times New Roman" w:eastAsia="Times New Roman" w:hAnsi="Times New Roman" w:cs="Times New Roman"/>
          <w:b/>
          <w:bCs/>
          <w:kern w:val="0"/>
          <w:sz w:val="24"/>
          <w14:ligatures w14:val="none"/>
        </w:rPr>
        <w:t>Labor Force Participation and Unemployment:</w:t>
      </w:r>
      <w:r w:rsidRPr="009F7C59">
        <w:rPr>
          <w:rFonts w:ascii="Times New Roman" w:eastAsia="Times New Roman" w:hAnsi="Times New Roman" w:cs="Times New Roman"/>
          <w:kern w:val="0"/>
          <w:sz w:val="24"/>
          <w14:ligatures w14:val="none"/>
        </w:rPr>
        <w:br/>
        <w:t xml:space="preserve">The relationship between girls’ education and female labor market outcomes is more complex. At a global level, improvements in girls’ education do not always translate directly into higher female labor force participation or lower unemployment. In upper </w:t>
      </w:r>
      <w:r w:rsidRPr="009F7C59">
        <w:rPr>
          <w:rFonts w:ascii="Times New Roman" w:eastAsia="Times New Roman" w:hAnsi="Times New Roman" w:cs="Times New Roman"/>
          <w:kern w:val="0"/>
          <w:sz w:val="24"/>
          <w14:ligatures w14:val="none"/>
        </w:rPr>
        <w:lastRenderedPageBreak/>
        <w:t>middle-income and high-income countries, cultural and economic factors may allow many women to opt out of the workforce despite high education levels.</w:t>
      </w:r>
    </w:p>
    <w:p w14:paraId="56533AB2" w14:textId="02396359" w:rsidR="009F7C59" w:rsidRPr="009F7C59" w:rsidRDefault="009F7C59" w:rsidP="009F7C59">
      <w:pPr>
        <w:widowControl/>
        <w:spacing w:before="100" w:beforeAutospacing="1" w:after="100" w:afterAutospacing="1"/>
        <w:jc w:val="left"/>
        <w:rPr>
          <w:rFonts w:ascii="Times New Roman" w:eastAsia="Times New Roman" w:hAnsi="Times New Roman" w:cs="Times New Roman"/>
          <w:kern w:val="0"/>
          <w:sz w:val="24"/>
          <w14:ligatures w14:val="none"/>
        </w:rPr>
      </w:pPr>
      <w:r w:rsidRPr="009F7C59">
        <w:rPr>
          <w:rFonts w:ascii="Times New Roman" w:eastAsia="Times New Roman" w:hAnsi="Times New Roman" w:cs="Times New Roman"/>
          <w:kern w:val="0"/>
          <w:sz w:val="24"/>
          <w14:ligatures w14:val="none"/>
        </w:rPr>
        <w:t>However, in low- and lower-middle-income countries, girls’ education appears to play a crucial role in enabling women’s participation in the labor force and contributing to economic growth.</w:t>
      </w:r>
    </w:p>
    <w:p w14:paraId="51FFA384" w14:textId="77777777" w:rsidR="009F7C59" w:rsidRPr="009F7C59" w:rsidRDefault="009F7C59" w:rsidP="009F7C59">
      <w:pPr>
        <w:widowControl/>
        <w:spacing w:before="100" w:beforeAutospacing="1" w:after="100" w:afterAutospacing="1"/>
        <w:jc w:val="left"/>
        <w:outlineLvl w:val="2"/>
        <w:rPr>
          <w:rFonts w:ascii="Times New Roman" w:eastAsia="Times New Roman" w:hAnsi="Times New Roman" w:cs="Times New Roman"/>
          <w:b/>
          <w:bCs/>
          <w:kern w:val="0"/>
          <w:sz w:val="27"/>
          <w:szCs w:val="27"/>
          <w14:ligatures w14:val="none"/>
        </w:rPr>
      </w:pPr>
      <w:r w:rsidRPr="009F7C59">
        <w:rPr>
          <w:rFonts w:ascii="Times New Roman" w:eastAsia="Times New Roman" w:hAnsi="Times New Roman" w:cs="Times New Roman"/>
          <w:b/>
          <w:bCs/>
          <w:kern w:val="0"/>
          <w:sz w:val="27"/>
          <w:szCs w:val="27"/>
          <w14:ligatures w14:val="none"/>
        </w:rPr>
        <w:t>6. Focused Analysis: Low- and Middle-Income Countries</w:t>
      </w:r>
    </w:p>
    <w:p w14:paraId="5730EB86" w14:textId="77777777" w:rsidR="009F7C59" w:rsidRPr="009F7C59" w:rsidRDefault="009F7C59" w:rsidP="009F7C59">
      <w:pPr>
        <w:widowControl/>
        <w:spacing w:before="100" w:beforeAutospacing="1" w:after="100" w:afterAutospacing="1"/>
        <w:jc w:val="left"/>
        <w:rPr>
          <w:rFonts w:ascii="Times New Roman" w:eastAsia="Times New Roman" w:hAnsi="Times New Roman" w:cs="Times New Roman"/>
          <w:kern w:val="0"/>
          <w:sz w:val="24"/>
          <w14:ligatures w14:val="none"/>
        </w:rPr>
      </w:pPr>
      <w:r w:rsidRPr="009F7C59">
        <w:rPr>
          <w:rFonts w:ascii="Times New Roman" w:eastAsia="Times New Roman" w:hAnsi="Times New Roman" w:cs="Times New Roman"/>
          <w:kern w:val="0"/>
          <w:sz w:val="24"/>
          <w14:ligatures w14:val="none"/>
        </w:rPr>
        <w:t>A deeper look at low- and middle-income countries reveals important trends:</w:t>
      </w:r>
    </w:p>
    <w:p w14:paraId="0AC85517" w14:textId="77777777" w:rsidR="009F7C59" w:rsidRPr="009F7C59" w:rsidRDefault="009F7C59" w:rsidP="009F7C59">
      <w:pPr>
        <w:widowControl/>
        <w:numPr>
          <w:ilvl w:val="0"/>
          <w:numId w:val="4"/>
        </w:numPr>
        <w:spacing w:before="100" w:beforeAutospacing="1" w:after="100" w:afterAutospacing="1"/>
        <w:jc w:val="left"/>
        <w:rPr>
          <w:rFonts w:ascii="Times New Roman" w:eastAsia="Times New Roman" w:hAnsi="Times New Roman" w:cs="Times New Roman"/>
          <w:kern w:val="0"/>
          <w:sz w:val="24"/>
          <w14:ligatures w14:val="none"/>
        </w:rPr>
      </w:pPr>
      <w:r w:rsidRPr="009F7C59">
        <w:rPr>
          <w:rFonts w:ascii="Times New Roman" w:eastAsia="Times New Roman" w:hAnsi="Times New Roman" w:cs="Times New Roman"/>
          <w:kern w:val="0"/>
          <w:sz w:val="24"/>
          <w14:ligatures w14:val="none"/>
        </w:rPr>
        <w:t xml:space="preserve">Countries with significant improvements in female education over the past two decades tend to maintain </w:t>
      </w:r>
      <w:r w:rsidRPr="009F7C59">
        <w:rPr>
          <w:rFonts w:ascii="Times New Roman" w:eastAsia="Times New Roman" w:hAnsi="Times New Roman" w:cs="Times New Roman"/>
          <w:b/>
          <w:bCs/>
          <w:kern w:val="0"/>
          <w:sz w:val="24"/>
          <w14:ligatures w14:val="none"/>
        </w:rPr>
        <w:t>lower female unemployment rates</w:t>
      </w:r>
      <w:r w:rsidRPr="009F7C59">
        <w:rPr>
          <w:rFonts w:ascii="Times New Roman" w:eastAsia="Times New Roman" w:hAnsi="Times New Roman" w:cs="Times New Roman"/>
          <w:kern w:val="0"/>
          <w:sz w:val="24"/>
          <w14:ligatures w14:val="none"/>
        </w:rPr>
        <w:t>, regardless of GDP per capita.</w:t>
      </w:r>
    </w:p>
    <w:p w14:paraId="42750BED" w14:textId="77777777" w:rsidR="009F7C59" w:rsidRPr="009F7C59" w:rsidRDefault="009F7C59" w:rsidP="009F7C59">
      <w:pPr>
        <w:widowControl/>
        <w:numPr>
          <w:ilvl w:val="0"/>
          <w:numId w:val="4"/>
        </w:numPr>
        <w:spacing w:before="100" w:beforeAutospacing="1" w:after="100" w:afterAutospacing="1"/>
        <w:jc w:val="left"/>
        <w:rPr>
          <w:rFonts w:ascii="Times New Roman" w:eastAsia="Times New Roman" w:hAnsi="Times New Roman" w:cs="Times New Roman"/>
          <w:kern w:val="0"/>
          <w:sz w:val="24"/>
          <w14:ligatures w14:val="none"/>
        </w:rPr>
      </w:pPr>
      <w:r w:rsidRPr="009F7C59">
        <w:rPr>
          <w:rFonts w:ascii="Times New Roman" w:eastAsia="Times New Roman" w:hAnsi="Times New Roman" w:cs="Times New Roman"/>
          <w:kern w:val="0"/>
          <w:sz w:val="24"/>
          <w14:ligatures w14:val="none"/>
        </w:rPr>
        <w:t xml:space="preserve">By contrast, countries that have made little progress in girls’ education often exhibit </w:t>
      </w:r>
      <w:r w:rsidRPr="009F7C59">
        <w:rPr>
          <w:rFonts w:ascii="Times New Roman" w:eastAsia="Times New Roman" w:hAnsi="Times New Roman" w:cs="Times New Roman"/>
          <w:b/>
          <w:bCs/>
          <w:kern w:val="0"/>
          <w:sz w:val="24"/>
          <w14:ligatures w14:val="none"/>
        </w:rPr>
        <w:t>higher unemployment rates</w:t>
      </w:r>
      <w:r w:rsidRPr="009F7C59">
        <w:rPr>
          <w:rFonts w:ascii="Times New Roman" w:eastAsia="Times New Roman" w:hAnsi="Times New Roman" w:cs="Times New Roman"/>
          <w:kern w:val="0"/>
          <w:sz w:val="24"/>
          <w14:ligatures w14:val="none"/>
        </w:rPr>
        <w:t>.</w:t>
      </w:r>
    </w:p>
    <w:p w14:paraId="76614BAD" w14:textId="7B2CD6CD" w:rsidR="009F7C59" w:rsidRPr="009F7C59" w:rsidRDefault="009F7C59" w:rsidP="009F7C59">
      <w:pPr>
        <w:widowControl/>
        <w:spacing w:before="100" w:beforeAutospacing="1" w:after="100" w:afterAutospacing="1"/>
        <w:jc w:val="left"/>
        <w:rPr>
          <w:rFonts w:ascii="Times New Roman" w:eastAsia="Times New Roman" w:hAnsi="Times New Roman" w:cs="Times New Roman"/>
          <w:kern w:val="0"/>
          <w:sz w:val="24"/>
          <w14:ligatures w14:val="none"/>
        </w:rPr>
      </w:pPr>
      <w:r w:rsidRPr="009F7C59">
        <w:rPr>
          <w:rFonts w:ascii="Times New Roman" w:eastAsia="Times New Roman" w:hAnsi="Times New Roman" w:cs="Times New Roman"/>
          <w:kern w:val="0"/>
          <w:sz w:val="24"/>
          <w14:ligatures w14:val="none"/>
        </w:rPr>
        <w:t>These findings suggest that investing in girls’ education is particularly impactful in these countries and should be a key part of economic development strategies.</w:t>
      </w:r>
    </w:p>
    <w:p w14:paraId="0DA1138D" w14:textId="77777777" w:rsidR="009F7C59" w:rsidRPr="009F7C59" w:rsidRDefault="009F7C59" w:rsidP="009F7C59">
      <w:pPr>
        <w:widowControl/>
        <w:spacing w:before="100" w:beforeAutospacing="1" w:after="100" w:afterAutospacing="1"/>
        <w:jc w:val="left"/>
        <w:outlineLvl w:val="2"/>
        <w:rPr>
          <w:rFonts w:ascii="Times New Roman" w:eastAsia="Times New Roman" w:hAnsi="Times New Roman" w:cs="Times New Roman"/>
          <w:b/>
          <w:bCs/>
          <w:kern w:val="0"/>
          <w:sz w:val="27"/>
          <w:szCs w:val="27"/>
          <w14:ligatures w14:val="none"/>
        </w:rPr>
      </w:pPr>
      <w:r w:rsidRPr="009F7C59">
        <w:rPr>
          <w:rFonts w:ascii="Times New Roman" w:eastAsia="Times New Roman" w:hAnsi="Times New Roman" w:cs="Times New Roman"/>
          <w:b/>
          <w:bCs/>
          <w:kern w:val="0"/>
          <w:sz w:val="27"/>
          <w:szCs w:val="27"/>
          <w14:ligatures w14:val="none"/>
        </w:rPr>
        <w:t>7. Conclusion</w:t>
      </w:r>
    </w:p>
    <w:p w14:paraId="7777CAAE" w14:textId="77777777" w:rsidR="009F7C59" w:rsidRPr="009F7C59" w:rsidRDefault="009F7C59" w:rsidP="009F7C59">
      <w:pPr>
        <w:widowControl/>
        <w:spacing w:before="100" w:beforeAutospacing="1" w:after="100" w:afterAutospacing="1"/>
        <w:jc w:val="left"/>
        <w:rPr>
          <w:rFonts w:ascii="Times New Roman" w:eastAsia="Times New Roman" w:hAnsi="Times New Roman" w:cs="Times New Roman"/>
          <w:kern w:val="0"/>
          <w:sz w:val="24"/>
          <w14:ligatures w14:val="none"/>
        </w:rPr>
      </w:pPr>
      <w:r w:rsidRPr="009F7C59">
        <w:rPr>
          <w:rFonts w:ascii="Times New Roman" w:eastAsia="Times New Roman" w:hAnsi="Times New Roman" w:cs="Times New Roman"/>
          <w:kern w:val="0"/>
          <w:sz w:val="24"/>
          <w14:ligatures w14:val="none"/>
        </w:rPr>
        <w:t>This analysis highlights that girls’ education is a critical lever for social and economic advancement. While notable progress has been made globally, challenges remain—especially in Sub-Saharan Africa and other low-income regions. Continued efforts to expand access to quality education for girls will be essential not only for achieving gender equality but also for fostering healthier societies and more resilient economies.</w:t>
      </w:r>
    </w:p>
    <w:p w14:paraId="49A779D5" w14:textId="77777777" w:rsidR="009F7C59" w:rsidRPr="009F7C59" w:rsidRDefault="009F7C59" w:rsidP="009F7C59">
      <w:pPr>
        <w:widowControl/>
        <w:spacing w:before="100" w:beforeAutospacing="1" w:after="100" w:afterAutospacing="1"/>
        <w:jc w:val="left"/>
        <w:rPr>
          <w:rFonts w:ascii="Times New Roman" w:eastAsia="Times New Roman" w:hAnsi="Times New Roman" w:cs="Times New Roman"/>
          <w:kern w:val="0"/>
          <w:sz w:val="24"/>
          <w14:ligatures w14:val="none"/>
        </w:rPr>
      </w:pPr>
      <w:proofErr w:type="gramStart"/>
      <w:r w:rsidRPr="009F7C59">
        <w:rPr>
          <w:rFonts w:ascii="Times New Roman" w:eastAsia="Times New Roman" w:hAnsi="Times New Roman" w:cs="Times New Roman"/>
          <w:kern w:val="0"/>
          <w:sz w:val="24"/>
          <w14:ligatures w14:val="none"/>
        </w:rPr>
        <w:t>In particular, for</w:t>
      </w:r>
      <w:proofErr w:type="gramEnd"/>
      <w:r w:rsidRPr="009F7C59">
        <w:rPr>
          <w:rFonts w:ascii="Times New Roman" w:eastAsia="Times New Roman" w:hAnsi="Times New Roman" w:cs="Times New Roman"/>
          <w:kern w:val="0"/>
          <w:sz w:val="24"/>
          <w14:ligatures w14:val="none"/>
        </w:rPr>
        <w:t xml:space="preserve"> low- and middle-income countries, improving girls’ education should remain a top priority in development agendas to unlock broader economic and social benefits.</w:t>
      </w:r>
    </w:p>
    <w:p w14:paraId="7FA0BCD6" w14:textId="77777777" w:rsidR="006F3E10" w:rsidRPr="009F7C59" w:rsidRDefault="006F3E10"/>
    <w:sectPr w:rsidR="006F3E10" w:rsidRPr="009F7C59">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816C5"/>
    <w:multiLevelType w:val="multilevel"/>
    <w:tmpl w:val="874A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859E7"/>
    <w:multiLevelType w:val="multilevel"/>
    <w:tmpl w:val="7A32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A05EF"/>
    <w:multiLevelType w:val="multilevel"/>
    <w:tmpl w:val="B200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B65D2"/>
    <w:multiLevelType w:val="multilevel"/>
    <w:tmpl w:val="F5F2E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5707966">
    <w:abstractNumId w:val="3"/>
  </w:num>
  <w:num w:numId="2" w16cid:durableId="832448404">
    <w:abstractNumId w:val="1"/>
  </w:num>
  <w:num w:numId="3" w16cid:durableId="546379998">
    <w:abstractNumId w:val="0"/>
  </w:num>
  <w:num w:numId="4" w16cid:durableId="553076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59"/>
    <w:rsid w:val="002E6BB3"/>
    <w:rsid w:val="00617A59"/>
    <w:rsid w:val="006F3E10"/>
    <w:rsid w:val="00784C51"/>
    <w:rsid w:val="0094286B"/>
    <w:rsid w:val="009F7C59"/>
    <w:rsid w:val="00A31E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0E0843"/>
  <w15:chartTrackingRefBased/>
  <w15:docId w15:val="{DF349479-4D55-7F4B-8263-0A7806206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7C5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F7C5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9F7C5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9F7C5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F7C5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F7C5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F7C5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F7C5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F7C5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F7C5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F7C5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9F7C5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9F7C5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F7C5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F7C5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F7C5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F7C5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F7C5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F7C5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F7C5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7C5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F7C5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7C59"/>
    <w:pPr>
      <w:spacing w:before="160" w:after="160"/>
      <w:jc w:val="center"/>
    </w:pPr>
    <w:rPr>
      <w:i/>
      <w:iCs/>
      <w:color w:val="404040" w:themeColor="text1" w:themeTint="BF"/>
    </w:rPr>
  </w:style>
  <w:style w:type="character" w:customStyle="1" w:styleId="a8">
    <w:name w:val="引用文 (文字)"/>
    <w:basedOn w:val="a0"/>
    <w:link w:val="a7"/>
    <w:uiPriority w:val="29"/>
    <w:rsid w:val="009F7C59"/>
    <w:rPr>
      <w:i/>
      <w:iCs/>
      <w:color w:val="404040" w:themeColor="text1" w:themeTint="BF"/>
    </w:rPr>
  </w:style>
  <w:style w:type="paragraph" w:styleId="a9">
    <w:name w:val="List Paragraph"/>
    <w:basedOn w:val="a"/>
    <w:uiPriority w:val="34"/>
    <w:qFormat/>
    <w:rsid w:val="009F7C59"/>
    <w:pPr>
      <w:ind w:left="720"/>
      <w:contextualSpacing/>
    </w:pPr>
  </w:style>
  <w:style w:type="character" w:styleId="21">
    <w:name w:val="Intense Emphasis"/>
    <w:basedOn w:val="a0"/>
    <w:uiPriority w:val="21"/>
    <w:qFormat/>
    <w:rsid w:val="009F7C59"/>
    <w:rPr>
      <w:i/>
      <w:iCs/>
      <w:color w:val="2F5496" w:themeColor="accent1" w:themeShade="BF"/>
    </w:rPr>
  </w:style>
  <w:style w:type="paragraph" w:styleId="22">
    <w:name w:val="Intense Quote"/>
    <w:basedOn w:val="a"/>
    <w:next w:val="a"/>
    <w:link w:val="23"/>
    <w:uiPriority w:val="30"/>
    <w:qFormat/>
    <w:rsid w:val="009F7C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9F7C59"/>
    <w:rPr>
      <w:i/>
      <w:iCs/>
      <w:color w:val="2F5496" w:themeColor="accent1" w:themeShade="BF"/>
    </w:rPr>
  </w:style>
  <w:style w:type="character" w:styleId="24">
    <w:name w:val="Intense Reference"/>
    <w:basedOn w:val="a0"/>
    <w:uiPriority w:val="32"/>
    <w:qFormat/>
    <w:rsid w:val="009F7C59"/>
    <w:rPr>
      <w:b/>
      <w:bCs/>
      <w:smallCaps/>
      <w:color w:val="2F5496" w:themeColor="accent1" w:themeShade="BF"/>
      <w:spacing w:val="5"/>
    </w:rPr>
  </w:style>
  <w:style w:type="paragraph" w:styleId="Web">
    <w:name w:val="Normal (Web)"/>
    <w:basedOn w:val="a"/>
    <w:uiPriority w:val="99"/>
    <w:semiHidden/>
    <w:unhideWhenUsed/>
    <w:rsid w:val="009F7C59"/>
    <w:pPr>
      <w:widowControl/>
      <w:spacing w:before="100" w:beforeAutospacing="1" w:after="100" w:afterAutospacing="1"/>
      <w:jc w:val="left"/>
    </w:pPr>
    <w:rPr>
      <w:rFonts w:ascii="Times New Roman" w:eastAsia="Times New Roman" w:hAnsi="Times New Roman" w:cs="Times New Roman"/>
      <w:kern w:val="0"/>
      <w:sz w:val="24"/>
      <w14:ligatures w14:val="none"/>
    </w:rPr>
  </w:style>
  <w:style w:type="character" w:styleId="aa">
    <w:name w:val="Strong"/>
    <w:basedOn w:val="a0"/>
    <w:uiPriority w:val="22"/>
    <w:qFormat/>
    <w:rsid w:val="009F7C59"/>
    <w:rPr>
      <w:b/>
      <w:bCs/>
    </w:rPr>
  </w:style>
  <w:style w:type="character" w:styleId="ab">
    <w:name w:val="Emphasis"/>
    <w:basedOn w:val="a0"/>
    <w:uiPriority w:val="20"/>
    <w:qFormat/>
    <w:rsid w:val="009F7C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05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 Shinko</dc:creator>
  <cp:keywords/>
  <dc:description/>
  <cp:lastModifiedBy>Soma, Shinko</cp:lastModifiedBy>
  <cp:revision>2</cp:revision>
  <dcterms:created xsi:type="dcterms:W3CDTF">2025-05-10T16:17:00Z</dcterms:created>
  <dcterms:modified xsi:type="dcterms:W3CDTF">2025-05-10T16:19:00Z</dcterms:modified>
</cp:coreProperties>
</file>