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rnoizicgcxng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统联精密（688210.SH）深度财务报表分析与多模型估值报告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报告说明：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本报告由买方策略团队编制，坚持“定性逻辑驱动定量建模”的审计原则。针对消费电子供应链企业，我们拒绝简单的财务比率罗列，重点通过“物理业务事实”穿透表内数据，评估统联精密从单一MIM件商向多工艺制造平台转型的真实价值及风险底线。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jbgk4ymsf89c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公司现状及行业分析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精密制造领域，财务指标往往是业务结果的滞后反映。尤其在消费电子供应链高度波动的环境下，单纯的定量筛选极易掉入“低市盈率陷阱”。对统联精密的审计必须坚持**“定性先行”**：首先研判行业生命周期及重资产周转节奏，以此作为估值逻辑的基石。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idblvbisb3b7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业务画像：基于“2+1原则”的深度拆解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统联精密的核心竞争力不在于简单的加工，而在于其**“多工艺融合制造平台”**。通过定性画像审计，我们识别出公司已成功构建了协同效应极强的业务矩阵。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“2”大核心工艺支柱（MIM与非MIM）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MIM工艺作为基本盘（模具精度达±0.003mm），深度协同CNC精密数控、激光加工、高速冲压、精密注塑及吸附/组装工艺。这种“六艺融合”能为苹果等核心客户提供“打包”交付，显著降低客户的多供应商管理成本（Management Cost），从而实现差异化议价。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“1”个战略支柱（底层自研能力）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：核心壁垒源于自研的钛合金喂料技术及超精密电火花镜面加工，这是其在NPI（新产品导入）阶段切入高端折叠屏铰链的门票。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统联精密业务结构演变审计（截至2025年末）：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业务板块 | 营收金额 (亿元) | 营收占比 | 战略进度评估 || ------ | ------ | ------ | ------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MIM产品</w:t>
      </w:r>
      <w:r w:rsidDel="00000000" w:rsidR="00000000" w:rsidRPr="00000000">
        <w:rPr>
          <w:rtl w:val="0"/>
        </w:rPr>
        <w:t xml:space="preserve"> | 2.77 | 32.36%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战略转型期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：传统小件受ASP下滑挤压，正向高端铰链组件升级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非MIM金属及塑胶</w:t>
      </w:r>
      <w:r w:rsidDel="00000000" w:rsidR="00000000" w:rsidRPr="00000000">
        <w:rPr>
          <w:rtl w:val="0"/>
        </w:rPr>
        <w:t xml:space="preserve"> | 5.49 | 64.10%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快速成长期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：已成为营收支柱，平台化转型及“客户锁定”效应显现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模治具及设备</w:t>
      </w:r>
      <w:r w:rsidDel="00000000" w:rsidR="00000000" w:rsidRPr="00000000">
        <w:rPr>
          <w:rtl w:val="0"/>
        </w:rPr>
        <w:t xml:space="preserve"> | 0.18 | 2.10%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配套支撑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：维持自研工艺独立性，降低外购模具的资本开支压力 |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5kwohlesi0t2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行业生命周期与重资产壁垒研判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精密制造属于资本密集型行业，审计核心在于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固定成本（FC）摊薄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的物理逻辑。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导入期（3D打印/半固态压铸）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：目前营收占比&lt;1%，属于可转债募资方向，尚处于“实验室到车间”的验证阶段，暂不计入NOPAT贡献。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成长期（折叠屏铰链）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：行业渗透率&lt;5%，单机MIM价值从传统小件的10-20元跃升至200-300元（10-20倍ASP增长）。这是未来估值弹性唯一的**“催化剂”**。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成熟期（传统MIM小件）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：收入连续两年下滑（-12.3%及-12.99%），行业已进入存量价格战。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规模经济的数学表现：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精密制造的毛利率受产能利用率严格约束。假设  $FC$  为年度固定成本（折旧、人员、摊销）， $Q$  为产量。  $$\text{单位固定成本 (AFC)} = \frac{FC}{Q}$$  2025年公司毛利率从40.91%降至34.18%，其物理事实并非核心竞争力丧失，而是**“固定成本陷阱”**：长沙、惠州及越南基地转固导致的折旧额攀升，在营收爬坡滞后的情况下，AFC被显著放大。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41xgyar8p2b5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SWOT战略资源审计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战略资源是财务报表上无形资产溢价的物理来源。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gx33egd2b9vy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优势（Strengths）：NPI周期锁定与客户“沉没成本”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认证壁垒（Sunk Cost）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：进入苹果供应链需1-2年认证期。一旦进入，客户因更换供应商而产生的重新开模（单套数十万）、配方调校（6-12个月）成本极高，形成强大的“在位者溢价”。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同步研发锁定（Sync R&amp;D）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：公司参与苹果折叠屏铰链的18-24个月同步预研。这种“时间级锁定”让精研科技、东睦股份等追赶者即便有产能，也难以在短时间内插足已定义的供应链节点。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nbgtov659zdn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劣势（Weaknesses）：大客户依赖症的极端压力测试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公司官方确认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苹果营收占比超70%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风险压测审计箱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：若苹果因折叠机推迟或供应链转移削减30%订单，公司收入将直接流失1.80亿元。按30%边际利润率计算，利润将下行5400万元。在2025年已处于微亏的背景下，此举将直接威胁公司的资信评级。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fz100qkpdjrm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机会与威胁：AI硬件催化与追赶者压力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催化点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：华为Mate XT及未来苹果折叠机的铰链MIM件是ASP修复的关键；AI眼镜及特斯拉机器人（单台MIM价值量3-5k）提供远期估值想象空间。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威胁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：精研科技在MIM铰链市占率&gt;60%，统联精密作为“追赶者”，其PB溢价需要极高的ROE增长来支撑。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mppj1r7axn2z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财务报表分析：破译“周转率陷阱”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财务报表是业务事实的滞后反映。在精密制造行业，单纯依赖年度末指标会导致严重的估值偏见。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yb6o5priz8zx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营运能力审计：修正“周转率错觉”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消费电子Q4集中出货，苹果等客户在年末集中提货会导致期末存货骤降，人为拉高“周转率”。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 Claude Code 财务校准脚本逻辑模拟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Input: [Q1_Inv: 2.2, Q2_Inv: 2.6, Q3_Inv: 2.4, Q4_Inv: 1.8] (亿元)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Input: [Annual_COGS: 5.64] (亿元)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Logic: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Year_End_Turnover = 5.64 / 1.8 = 3.13x</w:t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Average_Turnover = 5.64 / ((2.2+2.6+2.4+1.8)/4) = 2.51x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Result: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Deviation = (3.13 - 2.51) / 2.51 = 24.7%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Hidden_Capital_Requirement = (2.25 - 1.8) = 0.45 (亿元)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审计结论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：年末法高估周转率达 </w:t>
      </w:r>
      <w:r w:rsidDel="00000000" w:rsidR="00000000" w:rsidRPr="00000000">
        <w:rPr>
          <w:b w:val="1"/>
          <w:bCs w:val="1"/>
          <w:rtl w:val="0"/>
        </w:rPr>
        <w:t xml:space="preserve">24.7%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。这掩盖了约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4300万元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的额外营运资金需求。在DCF预测中，必须调高未来营运资本的占用率，否则会过高估计自由现金流（FCF）。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2co6ch3mpmm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基于“五大管理框架”的能力审计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研发转换（R&amp;D）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：费用率&gt;12%且非MIM业务翻倍，证明研发转化非“虚耗”。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造血能力（Finance）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：2025年虽账面首亏，但经营性现金流维持1.85亿正值，现金流/CapEx覆盖率逐年提升至1.54x。这表明公司仍处于**“播种期”**，亏损主要由折旧等非现金支出引起。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合规/危机（Crisis）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：扫描环保、生产安全合规记录，未发现重大负面。社保基金新进前十大股东，资信背景稳健。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3qm3hmhjed9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经济增加值（EVA）核算与价值创造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对于统联精密这类重资产扩张期企业，账面净利润具有极强的欺骗性，必须通过EVA核算股东价值。</w:t>
      </w:r>
    </w:p>
    <w:p w:rsidR="00000000" w:rsidDel="00000000" w:rsidP="00000000" w:rsidRDefault="00000000" w:rsidRPr="00000000" w14:paraId="0000002F">
      <w:pPr>
        <w:pStyle w:val="Heading5"/>
        <w:rPr/>
      </w:pPr>
      <w:bookmarkStart w:colFirst="0" w:colLast="0" w:name="_sfbl0twwyn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核心调整与价值判定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NOPAT调整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：加回研发费用资本化（按30%计）及有息负债利息，2025年NOPAT约0.4亿元。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投入资本（TC）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：随着长沙、惠州基地转固，TC飙升至13.7亿元。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itnylmada7c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EVA诊断：暂时的“价值毁灭”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2025年EVA计算： $0.40 - 13.7 \times 9.5\% = -0.90$  亿元。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审计结论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：EVA为负并不代表经营溃败。公司处于典型的**“播种期（Seed Period）”**，大规模CapEx导致的资本占用（TC增长2.4倍）与收益释放存在显著的时间错位。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hqqphdjiaec8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多模型综合估值分析</w:t>
      </w:r>
    </w:p>
    <w:p w:rsidR="00000000" w:rsidDel="00000000" w:rsidP="00000000" w:rsidRDefault="00000000" w:rsidRPr="00000000" w14:paraId="00000035">
      <w:pPr>
        <w:pStyle w:val="Heading5"/>
        <w:rPr/>
      </w:pPr>
      <w:bookmarkStart w:colFirst="0" w:colLast="0" w:name="_ea680tmpj03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DCF模型：三档场景下的内在价值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基于公司高内源融资能力，给予WACC 9.5%（较低风险溢价）。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DCF敏感性分析矩阵（每股价值/元）：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增长场景 | 核心业务假设 | WACC=7.3% | WACC=9.5% | WACC=12.0% || ------ | ------ | ------ | ------ | ------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保守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苹果折叠机推迟，MIM小件持续萎缩 | 35.8 | 22.0 | </w:t>
      </w:r>
      <w:r w:rsidDel="00000000" w:rsidR="00000000" w:rsidRPr="00000000">
        <w:rPr>
          <w:b w:val="1"/>
          <w:bCs w:val="1"/>
          <w:rtl w:val="0"/>
        </w:rPr>
        <w:t xml:space="preserve">15.1</w:t>
      </w:r>
      <w:r w:rsidDel="00000000" w:rsidR="00000000" w:rsidRPr="00000000">
        <w:rPr>
          <w:rtl w:val="0"/>
        </w:rPr>
        <w:t xml:space="preserve">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2026年底苹果折叠机发布，份额25% | 45.6 | </w:t>
      </w:r>
      <w:r w:rsidDel="00000000" w:rsidR="00000000" w:rsidRPr="00000000">
        <w:rPr>
          <w:b w:val="1"/>
          <w:bCs w:val="1"/>
          <w:rtl w:val="0"/>
        </w:rPr>
        <w:t xml:space="preserve">26.2</w:t>
      </w:r>
      <w:r w:rsidDel="00000000" w:rsidR="00000000" w:rsidRPr="00000000">
        <w:rPr>
          <w:rtl w:val="0"/>
        </w:rPr>
        <w:t xml:space="preserve"> | 22.0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乐观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2026Q3发布，份额35%+机器人起量 | </w:t>
      </w:r>
      <w:r w:rsidDel="00000000" w:rsidR="00000000" w:rsidRPr="00000000">
        <w:rPr>
          <w:b w:val="1"/>
          <w:bCs w:val="1"/>
          <w:rtl w:val="0"/>
        </w:rPr>
        <w:t xml:space="preserve">52.8</w:t>
      </w:r>
      <w:r w:rsidDel="00000000" w:rsidR="00000000" w:rsidRPr="00000000">
        <w:rPr>
          <w:rtl w:val="0"/>
        </w:rPr>
        <w:t xml:space="preserve"> | 29.0 | 20.2 |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40f9myj1g562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相对估值与PB-ROE悖论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PE校准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：中性场景下还原2026E扣非净利润为1.73亿，对应PE 40x。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PB-ROE悖论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：公司当前PB达 </w:t>
      </w:r>
      <w:r w:rsidDel="00000000" w:rsidR="00000000" w:rsidRPr="00000000">
        <w:rPr>
          <w:b w:val="1"/>
          <w:bCs w:val="1"/>
          <w:rtl w:val="0"/>
        </w:rPr>
        <w:t xml:space="preserve">5.39x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，在ROE为负的情况下，此溢价极其脆弱。这意味着当前42.44元的市价已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提前透支了乐观情景下的增长预期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sgyxgbi0ueb4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投资风险分析</w:t>
      </w:r>
    </w:p>
    <w:p w:rsidR="00000000" w:rsidDel="00000000" w:rsidP="00000000" w:rsidRDefault="00000000" w:rsidRPr="00000000" w14:paraId="0000003B">
      <w:pPr>
        <w:pStyle w:val="Heading5"/>
        <w:rPr/>
      </w:pPr>
      <w:bookmarkStart w:colFirst="0" w:colLast="0" w:name="_ywo98obmho9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核心尾部风险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Black Swan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：苹果折叠机若推迟至2027年，将触发连续亏损风险警示。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技术替代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：液态金属或全切削CNC工艺若在铰链上取代MIM，现有的重资产设备将面临巨额减值压力。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稀释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：5.76亿元可转债转股对EPS的摊薄效应约6-8%。</w:t>
      </w:r>
    </w:p>
    <w:p w:rsidR="00000000" w:rsidDel="00000000" w:rsidP="00000000" w:rsidRDefault="00000000" w:rsidRPr="00000000" w14:paraId="0000003F">
      <w:pPr>
        <w:pStyle w:val="Heading5"/>
        <w:rPr/>
      </w:pPr>
      <w:bookmarkStart w:colFirst="0" w:colLast="0" w:name="_m0bhp46orysb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结论与操作建议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基于审计事实，统联精密的物理业务表现（现金流、研发转化）优于财务账面，但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股价已脱离基本面引力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合理估值区间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30-38 元/股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投资评级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中立/减持（Neutral/Reduce）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总结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：当前42.44元的股价正在“定价完美（Pricing in Perfection）”。考虑到中性估值仅为26.2元，市场缺乏安全边际。建议投资者等待产能利用率回升或折叠屏订单实质落地的“逻辑验证期”再行介入。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声明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：本报告基于客观审计逻辑，数据取自公开披露。分析师强调，精密制造估值必须动态追踪“订单转化效率”，本文不构成直接买卖建议。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