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7B6"/>
          <w:sz w:val="32"/>
        </w:rPr>
        <w:t>SOUCLOU</w:t>
      </w:r>
    </w:p>
    <w:p>
      <w:pPr>
        <w:pStyle w:val="Title"/>
        <w:jc w:val="center"/>
      </w:pPr>
      <w:r>
        <w:t>La Stack Technique</w:t>
      </w:r>
    </w:p>
    <w:p>
      <w:pPr>
        <w:jc w:val="center"/>
      </w:pPr>
      <w:r>
        <w:rPr>
          <w:i/>
        </w:rPr>
        <w:t>Le Choix des Armes — recommandations techniques pour une plateforme scolaire multi-établissements</w:t>
      </w:r>
    </w:p>
    <w:p>
      <w:pPr>
        <w:jc w:val="center"/>
      </w:pPr>
      <w:r>
        <w:rPr>
          <w:color w:val="6E7887"/>
          <w:sz w:val="16"/>
        </w:rPr>
        <w:t>DOSSIER DE CONCEPTION • DOCUMENT 01/06 • Version 1.0 • 30 octobre 2026</w:t>
      </w:r>
    </w:p>
    <w:p/>
    <w:p>
      <w:pPr>
        <w:pStyle w:val="Heading1"/>
      </w:pPr>
      <w:r>
        <w:t>1. Vision technique</w:t>
      </w:r>
    </w:p>
    <w:p>
      <w:r>
        <w:t>Construire SOUCLOU comme une application web responsive, multi-tenant, sécurisée et modulaire. La première version doit privilégier un monolithe modulaire bien structuré plutôt que des microservices prématurés. Cette approche accélère le Vibe Coding, simplifie les déploiements et permet une évolution progressive.</w:t>
      </w:r>
    </w:p>
    <w:p>
      <w:pPr>
        <w:pStyle w:val="Heading1"/>
      </w:pPr>
      <w:r>
        <w:t>2. Stack recommandée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Couche</w:t>
            </w:r>
          </w:p>
        </w:tc>
        <w:tc>
          <w:tcPr>
            <w:tcW w:type="dxa" w:w="3312"/>
          </w:tcPr>
          <w:p>
            <w:r>
              <w:t>Choix recommandé</w:t>
            </w:r>
          </w:p>
        </w:tc>
        <w:tc>
          <w:tcPr>
            <w:tcW w:type="dxa" w:w="3312"/>
          </w:tcPr>
          <w:p>
            <w:r>
              <w:t>Rôle / justification</w:t>
            </w:r>
          </w:p>
        </w:tc>
      </w:tr>
      <w:tr>
        <w:tc>
          <w:tcPr>
            <w:tcW w:type="dxa" w:w="3312"/>
          </w:tcPr>
          <w:p>
            <w:r>
              <w:t>Langage</w:t>
            </w:r>
          </w:p>
        </w:tc>
        <w:tc>
          <w:tcPr>
            <w:tcW w:type="dxa" w:w="3312"/>
          </w:tcPr>
          <w:p>
            <w:r>
              <w:t>TypeScript</w:t>
            </w:r>
          </w:p>
        </w:tc>
        <w:tc>
          <w:tcPr>
            <w:tcW w:type="dxa" w:w="3312"/>
          </w:tcPr>
          <w:p>
            <w:r>
              <w:t>Typage partagé entre interface, API et validations; réduit les erreurs.</w:t>
            </w:r>
          </w:p>
        </w:tc>
      </w:tr>
      <w:tr>
        <w:tc>
          <w:tcPr>
            <w:tcW w:type="dxa" w:w="3312"/>
          </w:tcPr>
          <w:p>
            <w:r>
              <w:t>Framework full-stack</w:t>
            </w:r>
          </w:p>
        </w:tc>
        <w:tc>
          <w:tcPr>
            <w:tcW w:type="dxa" w:w="3312"/>
          </w:tcPr>
          <w:p>
            <w:r>
              <w:t>Next.js (App Router)</w:t>
            </w:r>
          </w:p>
        </w:tc>
        <w:tc>
          <w:tcPr>
            <w:tcW w:type="dxa" w:w="3312"/>
          </w:tcPr>
          <w:p>
            <w:r>
              <w:t>Rendu serveur, routes API, pages publiques et espaces authentifiés dans un même projet.</w:t>
            </w:r>
          </w:p>
        </w:tc>
      </w:tr>
      <w:tr>
        <w:tc>
          <w:tcPr>
            <w:tcW w:type="dxa" w:w="3312"/>
          </w:tcPr>
          <w:p>
            <w:r>
              <w:t>Interface</w:t>
            </w:r>
          </w:p>
        </w:tc>
        <w:tc>
          <w:tcPr>
            <w:tcW w:type="dxa" w:w="3312"/>
          </w:tcPr>
          <w:p>
            <w:r>
              <w:t>React + Tailwind CSS</w:t>
            </w:r>
          </w:p>
        </w:tc>
        <w:tc>
          <w:tcPr>
            <w:tcW w:type="dxa" w:w="3312"/>
          </w:tcPr>
          <w:p>
            <w:r>
              <w:t>Composants réutilisables, responsive design et styles rapides.</w:t>
            </w:r>
          </w:p>
        </w:tc>
      </w:tr>
      <w:tr>
        <w:tc>
          <w:tcPr>
            <w:tcW w:type="dxa" w:w="3312"/>
          </w:tcPr>
          <w:p>
            <w:r>
              <w:t>Composants UI</w:t>
            </w:r>
          </w:p>
        </w:tc>
        <w:tc>
          <w:tcPr>
            <w:tcW w:type="dxa" w:w="3312"/>
          </w:tcPr>
          <w:p>
            <w:r>
              <w:t xml:space="preserve"> shadcn/ui + Radix UI</w:t>
            </w:r>
          </w:p>
        </w:tc>
        <w:tc>
          <w:tcPr>
            <w:tcW w:type="dxa" w:w="3312"/>
          </w:tcPr>
          <w:p>
            <w:r>
              <w:t>Base accessible et personnalisable; construire une identité visuelle propre à SOUCLOU.</w:t>
            </w:r>
          </w:p>
        </w:tc>
      </w:tr>
      <w:tr>
        <w:tc>
          <w:tcPr>
            <w:tcW w:type="dxa" w:w="3312"/>
          </w:tcPr>
          <w:p>
            <w:r>
              <w:t>Animations</w:t>
            </w:r>
          </w:p>
        </w:tc>
        <w:tc>
          <w:tcPr>
            <w:tcW w:type="dxa" w:w="3312"/>
          </w:tcPr>
          <w:p>
            <w:r>
              <w:t>Motion (Motion for React)</w:t>
            </w:r>
          </w:p>
        </w:tc>
        <w:tc>
          <w:tcPr>
            <w:tcW w:type="dxa" w:w="3312"/>
          </w:tcPr>
          <w:p>
            <w:r>
              <w:t>Transitions, micro-interactions et animations de tableaux de bord sans surcharger l'interface.</w:t>
            </w:r>
          </w:p>
        </w:tc>
      </w:tr>
      <w:tr>
        <w:tc>
          <w:tcPr>
            <w:tcW w:type="dxa" w:w="3312"/>
          </w:tcPr>
          <w:p>
            <w:r>
              <w:t>Base de données</w:t>
            </w:r>
          </w:p>
        </w:tc>
        <w:tc>
          <w:tcPr>
            <w:tcW w:type="dxa" w:w="3312"/>
          </w:tcPr>
          <w:p>
            <w:r>
              <w:t>PostgreSQL</w:t>
            </w:r>
          </w:p>
        </w:tc>
        <w:tc>
          <w:tcPr>
            <w:tcW w:type="dxa" w:w="3312"/>
          </w:tcPr>
          <w:p>
            <w:r>
              <w:t>Données relationnelles fiables: établissements, inscriptions, notes, emplois du temps, paiements.</w:t>
            </w:r>
          </w:p>
        </w:tc>
      </w:tr>
      <w:tr>
        <w:tc>
          <w:tcPr>
            <w:tcW w:type="dxa" w:w="3312"/>
          </w:tcPr>
          <w:p>
            <w:r>
              <w:t>ORM / migrations</w:t>
            </w:r>
          </w:p>
        </w:tc>
        <w:tc>
          <w:tcPr>
            <w:tcW w:type="dxa" w:w="3312"/>
          </w:tcPr>
          <w:p>
            <w:r>
              <w:t>Prisma</w:t>
            </w:r>
          </w:p>
        </w:tc>
        <w:tc>
          <w:tcPr>
            <w:tcW w:type="dxa" w:w="3312"/>
          </w:tcPr>
          <w:p>
            <w:r>
              <w:t>Modèle typé, migrations versionnées et requêtes structurées.</w:t>
            </w:r>
          </w:p>
        </w:tc>
      </w:tr>
      <w:tr>
        <w:tc>
          <w:tcPr>
            <w:tcW w:type="dxa" w:w="3312"/>
          </w:tcPr>
          <w:p>
            <w:r>
              <w:t>Authentification</w:t>
            </w:r>
          </w:p>
        </w:tc>
        <w:tc>
          <w:tcPr>
            <w:tcW w:type="dxa" w:w="3312"/>
          </w:tcPr>
          <w:p>
            <w:r>
              <w:t>Auth.js ou solution d'authentification éprouvée compatible Next.js</w:t>
            </w:r>
          </w:p>
        </w:tc>
        <w:tc>
          <w:tcPr>
            <w:tcW w:type="dxa" w:w="3312"/>
          </w:tcPr>
          <w:p>
            <w:r>
              <w:t>Sessions sécurisées, gestion des identifiants et intégration des rôles.</w:t>
            </w:r>
          </w:p>
        </w:tc>
      </w:tr>
      <w:tr>
        <w:tc>
          <w:tcPr>
            <w:tcW w:type="dxa" w:w="3312"/>
          </w:tcPr>
          <w:p>
            <w:r>
              <w:t>Validation</w:t>
            </w:r>
          </w:p>
        </w:tc>
        <w:tc>
          <w:tcPr>
            <w:tcW w:type="dxa" w:w="3312"/>
          </w:tcPr>
          <w:p>
            <w:r>
              <w:t>Zod</w:t>
            </w:r>
          </w:p>
        </w:tc>
        <w:tc>
          <w:tcPr>
            <w:tcW w:type="dxa" w:w="3312"/>
          </w:tcPr>
          <w:p>
            <w:r>
              <w:t>Validation des formulaires et des entrées côté serveur.</w:t>
            </w:r>
          </w:p>
        </w:tc>
      </w:tr>
      <w:tr>
        <w:tc>
          <w:tcPr>
            <w:tcW w:type="dxa" w:w="3312"/>
          </w:tcPr>
          <w:p>
            <w:r>
              <w:t>Stockage fichiers</w:t>
            </w:r>
          </w:p>
        </w:tc>
        <w:tc>
          <w:tcPr>
            <w:tcW w:type="dxa" w:w="3312"/>
          </w:tcPr>
          <w:p>
            <w:r>
              <w:t>Stockage objet compatible S3</w:t>
            </w:r>
          </w:p>
        </w:tc>
        <w:tc>
          <w:tcPr>
            <w:tcW w:type="dxa" w:w="3312"/>
          </w:tcPr>
          <w:p>
            <w:r>
              <w:t>Logos, photos autorisées, bulletins PDF et pièces jointes; accès privé signé.</w:t>
            </w:r>
          </w:p>
        </w:tc>
      </w:tr>
      <w:tr>
        <w:tc>
          <w:tcPr>
            <w:tcW w:type="dxa" w:w="3312"/>
          </w:tcPr>
          <w:p>
            <w:r>
              <w:t>Graphiques</w:t>
            </w:r>
          </w:p>
        </w:tc>
        <w:tc>
          <w:tcPr>
            <w:tcW w:type="dxa" w:w="3312"/>
          </w:tcPr>
          <w:p>
            <w:r>
              <w:t>Recharts</w:t>
            </w:r>
          </w:p>
        </w:tc>
        <w:tc>
          <w:tcPr>
            <w:tcW w:type="dxa" w:w="3312"/>
          </w:tcPr>
          <w:p>
            <w:r>
              <w:t>Indicateurs de progression, assiduité et performance.</w:t>
            </w:r>
          </w:p>
        </w:tc>
      </w:tr>
      <w:tr>
        <w:tc>
          <w:tcPr>
            <w:tcW w:type="dxa" w:w="3312"/>
          </w:tcPr>
          <w:p>
            <w:r>
              <w:t>Tests</w:t>
            </w:r>
          </w:p>
        </w:tc>
        <w:tc>
          <w:tcPr>
            <w:tcW w:type="dxa" w:w="3312"/>
          </w:tcPr>
          <w:p>
            <w:r>
              <w:t>Vitest + Playwright</w:t>
            </w:r>
          </w:p>
        </w:tc>
        <w:tc>
          <w:tcPr>
            <w:tcW w:type="dxa" w:w="3312"/>
          </w:tcPr>
          <w:p>
            <w:r>
              <w:t>Tests unitaires, intégration et parcours utilisateurs réels.</w:t>
            </w:r>
          </w:p>
        </w:tc>
      </w:tr>
      <w:tr>
        <w:tc>
          <w:tcPr>
            <w:tcW w:type="dxa" w:w="3312"/>
          </w:tcPr>
          <w:p>
            <w:r>
              <w:t>Qualité</w:t>
            </w:r>
          </w:p>
        </w:tc>
        <w:tc>
          <w:tcPr>
            <w:tcW w:type="dxa" w:w="3312"/>
          </w:tcPr>
          <w:p>
            <w:r>
              <w:t>ESLint + Prettier</w:t>
            </w:r>
          </w:p>
        </w:tc>
        <w:tc>
          <w:tcPr>
            <w:tcW w:type="dxa" w:w="3312"/>
          </w:tcPr>
          <w:p>
            <w:r>
              <w:t>Conventions et formatage automatiques.</w:t>
            </w:r>
          </w:p>
        </w:tc>
      </w:tr>
      <w:tr>
        <w:tc>
          <w:tcPr>
            <w:tcW w:type="dxa" w:w="3312"/>
          </w:tcPr>
          <w:p>
            <w:r>
              <w:t>Déploiement</w:t>
            </w:r>
          </w:p>
        </w:tc>
        <w:tc>
          <w:tcPr>
            <w:tcW w:type="dxa" w:w="3312"/>
          </w:tcPr>
          <w:p>
            <w:r>
              <w:t>Vercel ou plateforme Node compatible + PostgreSQL managé</w:t>
            </w:r>
          </w:p>
        </w:tc>
        <w:tc>
          <w:tcPr>
            <w:tcW w:type="dxa" w:w="3312"/>
          </w:tcPr>
          <w:p>
            <w:r>
              <w:t>Déploiement continu; choisir la région, les garanties et les coûts après vérification.</w:t>
            </w:r>
          </w:p>
        </w:tc>
      </w:tr>
      <w:tr>
        <w:tc>
          <w:tcPr>
            <w:tcW w:type="dxa" w:w="3312"/>
          </w:tcPr>
          <w:p>
            <w:r>
              <w:t>Observabilité</w:t>
            </w:r>
          </w:p>
        </w:tc>
        <w:tc>
          <w:tcPr>
            <w:tcW w:type="dxa" w:w="3312"/>
          </w:tcPr>
          <w:p>
            <w:r>
              <w:t>Sentry + journaux structurés</w:t>
            </w:r>
          </w:p>
        </w:tc>
        <w:tc>
          <w:tcPr>
            <w:tcW w:type="dxa" w:w="3312"/>
          </w:tcPr>
          <w:p>
            <w:r>
              <w:t>Suivi des erreurs, incidents et performances.</w:t>
            </w:r>
          </w:p>
        </w:tc>
      </w:tr>
    </w:tbl>
    <w:p/>
    <w:p>
      <w:pPr>
        <w:pStyle w:val="Heading1"/>
      </w:pPr>
      <w:r>
        <w:t>3. Architecture applicative</w:t>
      </w:r>
    </w:p>
    <w:p>
      <w:pPr>
        <w:pStyle w:val="ListBullet"/>
      </w:pPr>
      <w:r>
        <w:t>Monolithe modulaire: modules métiers séparés dans le code, mais déployés ensemble au départ.</w:t>
      </w:r>
    </w:p>
    <w:p>
      <w:pPr>
        <w:pStyle w:val="ListBullet"/>
      </w:pPr>
      <w:r>
        <w:t>Architecture en couches: interface (UI), cas d'usage/services, accès aux données (repositories), base PostgreSQL.</w:t>
      </w:r>
    </w:p>
    <w:p>
      <w:pPr>
        <w:pStyle w:val="ListBullet"/>
      </w:pPr>
      <w:r>
        <w:t>API interne documentée; toute règle d'autorisation doit être appliquée côté serveur, jamais uniquement dans l'interface.</w:t>
      </w:r>
    </w:p>
    <w:p>
      <w:pPr>
        <w:pStyle w:val="ListBullet"/>
      </w:pPr>
      <w:r>
        <w:t>Multi-tenant: chaque donnée métier est rattachée à un tenant/établissement ou à un groupe d'établissements. Les requêtes doivent toujours être limitées au périmètre autorisé.</w:t>
      </w:r>
    </w:p>
    <w:p>
      <w:pPr>
        <w:pStyle w:val="ListBullet"/>
      </w:pPr>
      <w:r>
        <w:t>RBAC + permissions contextuelles: rôle, établissement, classe, matière et période peuvent restreindre l'accès.</w:t>
      </w:r>
    </w:p>
    <w:p>
      <w:pPr>
        <w:pStyle w:val="Heading1"/>
      </w:pPr>
      <w:r>
        <w:t>4. Rôles et contrôle d'accès</w:t>
      </w:r>
    </w:p>
    <w:tbl>
      <w:tblPr>
        <w:tblStyle w:val="LightShading-Accent1"/>
        <w:tblW w:type="auto" w:w="0"/>
        <w:tblLook w:firstColumn="1" w:firstRow="1" w:lastColumn="0" w:lastRow="0" w:noHBand="0" w:noVBand="1" w:val="04A0"/>
      </w:tblPr>
      <w:tblGrid>
        <w:gridCol w:w="4968"/>
        <w:gridCol w:w="4968"/>
      </w:tblGrid>
      <w:tr>
        <w:tc>
          <w:tcPr>
            <w:tcW w:type="dxa" w:w="4968"/>
          </w:tcPr>
          <w:p>
            <w:r>
              <w:t>Rôle</w:t>
            </w:r>
          </w:p>
        </w:tc>
        <w:tc>
          <w:tcPr>
            <w:tcW w:type="dxa" w:w="4968"/>
          </w:tcPr>
          <w:p>
            <w:r>
              <w:t>Périmètre indicatif</w:t>
            </w:r>
          </w:p>
        </w:tc>
      </w:tr>
      <w:tr>
        <w:tc>
          <w:tcPr>
            <w:tcW w:type="dxa" w:w="4968"/>
          </w:tcPr>
          <w:p>
            <w:r>
              <w:t>Fondateur / propriétaire</w:t>
            </w:r>
          </w:p>
        </w:tc>
        <w:tc>
          <w:tcPr>
            <w:tcW w:type="dxa" w:w="4968"/>
          </w:tcPr>
          <w:p>
            <w:r>
              <w:t>Accès global au groupe, paramétrage, audit, création des établissements et supervision.</w:t>
            </w:r>
          </w:p>
        </w:tc>
      </w:tr>
      <w:tr>
        <w:tc>
          <w:tcPr>
            <w:tcW w:type="dxa" w:w="4968"/>
          </w:tcPr>
          <w:p>
            <w:r>
              <w:t>Directeur des études</w:t>
            </w:r>
          </w:p>
        </w:tc>
        <w:tc>
          <w:tcPr>
            <w:tcW w:type="dxa" w:w="4968"/>
          </w:tcPr>
          <w:p>
            <w:r>
              <w:t>Pilotage pédagogique, validation de contenus pédagogiques, programmes, calendriers et emplois du temps.</w:t>
            </w:r>
          </w:p>
        </w:tc>
      </w:tr>
      <w:tr>
        <w:tc>
          <w:tcPr>
            <w:tcW w:type="dxa" w:w="4968"/>
          </w:tcPr>
          <w:p>
            <w:r>
              <w:t>Éducateur</w:t>
            </w:r>
          </w:p>
        </w:tc>
        <w:tc>
          <w:tcPr>
            <w:tcW w:type="dxa" w:w="4968"/>
          </w:tcPr>
          <w:p>
            <w:r>
              <w:t>Vie scolaire, présence, discipline, suivi des élèves et validations dans son périmètre.</w:t>
            </w:r>
          </w:p>
        </w:tc>
      </w:tr>
      <w:tr>
        <w:tc>
          <w:tcPr>
            <w:tcW w:type="dxa" w:w="4968"/>
          </w:tcPr>
          <w:p>
            <w:r>
              <w:t>Administration / secrétariat</w:t>
            </w:r>
          </w:p>
        </w:tc>
        <w:tc>
          <w:tcPr>
            <w:tcW w:type="dxa" w:w="4968"/>
          </w:tcPr>
          <w:p>
            <w:r>
              <w:t>Opérations administratives autorisées selon fonction.</w:t>
            </w:r>
          </w:p>
        </w:tc>
      </w:tr>
      <w:tr>
        <w:tc>
          <w:tcPr>
            <w:tcW w:type="dxa" w:w="4968"/>
          </w:tcPr>
          <w:p>
            <w:r>
              <w:t>Enseignant</w:t>
            </w:r>
          </w:p>
        </w:tc>
        <w:tc>
          <w:tcPr>
            <w:tcW w:type="dxa" w:w="4968"/>
          </w:tcPr>
          <w:p>
            <w:r>
              <w:t>Classes et matières qui lui sont affectées; saisie de notes et évaluations.</w:t>
            </w:r>
          </w:p>
        </w:tc>
      </w:tr>
      <w:tr>
        <w:tc>
          <w:tcPr>
            <w:tcW w:type="dxa" w:w="4968"/>
          </w:tcPr>
          <w:p>
            <w:r>
              <w:t>Comptable / caissier</w:t>
            </w:r>
          </w:p>
        </w:tc>
        <w:tc>
          <w:tcPr>
            <w:tcW w:type="dxa" w:w="4968"/>
          </w:tcPr>
          <w:p>
            <w:r>
              <w:t>Opérations financières et rapports autorisés; aucune visibilité pédagogique non nécessaire.</w:t>
            </w:r>
          </w:p>
        </w:tc>
      </w:tr>
      <w:tr>
        <w:tc>
          <w:tcPr>
            <w:tcW w:type="dxa" w:w="4968"/>
          </w:tcPr>
          <w:p>
            <w:r>
              <w:t>Élève / étudiant</w:t>
            </w:r>
          </w:p>
        </w:tc>
        <w:tc>
          <w:tcPr>
            <w:tcW w:type="dxa" w:w="4968"/>
          </w:tcPr>
          <w:p>
            <w:r>
              <w:t>Uniquement ses propres informations et contenus publiés.</w:t>
            </w:r>
          </w:p>
        </w:tc>
      </w:tr>
      <w:tr>
        <w:tc>
          <w:tcPr>
            <w:tcW w:type="dxa" w:w="4968"/>
          </w:tcPr>
          <w:p>
            <w:r>
              <w:t>Parent / tuteur (phase dédiée)</w:t>
            </w:r>
          </w:p>
        </w:tc>
        <w:tc>
          <w:tcPr>
            <w:tcW w:type="dxa" w:w="4968"/>
          </w:tcPr>
          <w:p>
            <w:r>
              <w:t>Uniquement les apprenants liés et les informations partageables.</w:t>
            </w:r>
          </w:p>
        </w:tc>
      </w:tr>
    </w:tbl>
    <w:p/>
    <w:p>
      <w:pPr>
        <w:pStyle w:val="Heading1"/>
      </w:pPr>
      <w:r>
        <w:t>5. Authentification et identifiants</w:t>
      </w:r>
    </w:p>
    <w:p>
      <w:pPr>
        <w:pStyle w:val="ListBullet"/>
      </w:pPr>
      <w:r>
        <w:t>Connexion par nom d'utilisateur + mot de passe, sans OTP conformément au besoin initial.</w:t>
      </w:r>
    </w:p>
    <w:p>
      <w:pPr>
        <w:pStyle w:val="ListBullet"/>
      </w:pPr>
      <w:r>
        <w:t>Le nom d'utilisateur est généré à l'inscription ou à la pré-création, doit être unique et peut être modifié selon une règle auditée.</w:t>
      </w:r>
    </w:p>
    <w:p>
      <w:pPr>
        <w:pStyle w:val="ListBullet"/>
      </w:pPr>
      <w:r>
        <w:t>Stocker uniquement un hash robuste du mot de passe (Argon2id recommandé); jamais le mot de passe en clair.</w:t>
      </w:r>
    </w:p>
    <w:p>
      <w:pPr>
        <w:pStyle w:val="ListBullet"/>
      </w:pPr>
      <w:r>
        <w:t>Prévoir limitation des tentatives, temporisation, révocation de sessions, journal des connexions et réinitialisation sécurisée.</w:t>
      </w:r>
    </w:p>
    <w:p>
      <w:pPr>
        <w:pStyle w:val="ListBullet"/>
      </w:pPr>
      <w:r>
        <w:t>Les comptes administratifs sont provisionnés par le fondateur ou un administrateur habilité; un formulaire de demande/activation peut exister, mais ne doit pas donner un accès immédiat.</w:t>
      </w:r>
    </w:p>
    <w:p>
      <w:pPr>
        <w:pStyle w:val="Heading1"/>
      </w:pPr>
      <w:r>
        <w:t>6. E-mails et fournisseurs</w:t>
      </w:r>
    </w:p>
    <w:p>
      <w:r>
        <w:t>Ne pas confondre le choix d'un fournisseur de messagerie avec une redirection vers sa page web. Gmail, Outlook et Yahoo sont des boîtes de réception; une application ne peut pas envoyer automatiquement un e-mail en ouvrant simplement leur site. Prévoir une configuration par établissement ou par groupe: fournisseur, adresse expéditrice, méthode d'envoi (SMTP ou API OAuth), secrets stockés côté serveur et test de connexion. Pour une V1, un fournisseur transactionnel unique peut être plus simple; le choix Gmail/Outlook/Yahoo peut ensuite servir à ouvrir un lien mailto ou à configurer l'envoi avec les autorisations adéquates.</w:t>
      </w:r>
    </w:p>
    <w:p>
      <w:pPr>
        <w:pStyle w:val="Heading1"/>
      </w:pPr>
      <w:r>
        <w:t>7. Principes de sécurité non négociables</w:t>
      </w:r>
    </w:p>
    <w:p>
      <w:pPr>
        <w:pStyle w:val="ListBullet"/>
      </w:pPr>
      <w:r>
        <w:t>Contrôles d'accès côté serveur sur chaque lecture, création, modification, export et suppression.</w:t>
      </w:r>
    </w:p>
    <w:p>
      <w:pPr>
        <w:pStyle w:val="ListBullet"/>
      </w:pPr>
      <w:r>
        <w:t>Isolation stricte des tenants; tests automatisés empêchant toute fuite entre établissements.</w:t>
      </w:r>
    </w:p>
    <w:p>
      <w:pPr>
        <w:pStyle w:val="ListBullet"/>
      </w:pPr>
      <w:r>
        <w:t>Journal d'audit append-only pour les actions sensibles: qui, quoi, quand, où, avant/après, motif.</w:t>
      </w:r>
    </w:p>
    <w:p>
      <w:pPr>
        <w:pStyle w:val="ListBullet"/>
      </w:pPr>
      <w:r>
        <w:t>Chiffrement TLS en transit; chiffrement des sauvegardes et secrets; gestion des clés séparée du code.</w:t>
      </w:r>
    </w:p>
    <w:p>
      <w:pPr>
        <w:pStyle w:val="ListBullet"/>
      </w:pPr>
      <w:r>
        <w:t>Protection CSRF/XSS/SQL injection, validation des entrées, politique de sécurité des cookies et en-têtes.</w:t>
      </w:r>
    </w:p>
    <w:p>
      <w:pPr>
        <w:pStyle w:val="ListBullet"/>
      </w:pPr>
      <w:r>
        <w:t>Soft delete et archivage pour les données scolaires/comptables; suppression définitive selon politique de conservation et obligations applicables.</w:t>
      </w:r>
    </w:p>
    <w:p>
      <w:pPr>
        <w:pStyle w:val="ListBullet"/>
      </w:pPr>
      <w:r>
        <w:t>Sauvegardes automatisées, tests de restauration, plan de continuité et procédure de réponse aux incidents.</w:t>
      </w:r>
    </w:p>
    <w:p>
      <w:pPr>
        <w:pStyle w:val="ListBullet"/>
      </w:pPr>
      <w:r>
        <w:t>Ne pas collecter de données de santé ou biométriques dans la V1 sans nécessité démontrée et examen juridique spécifique.</w:t>
      </w:r>
    </w:p>
    <w:p>
      <w:pPr>
        <w:pStyle w:val="Heading1"/>
      </w:pPr>
      <w:r>
        <w:t>8. Décisions à figer avant le code</w:t>
      </w:r>
    </w:p>
    <w:p>
      <w:pPr>
        <w:pStyle w:val="ListBullet"/>
      </w:pPr>
      <w:r>
        <w:t>Choisir le mode d'hébergement et la région de stockage après analyse des coûts, contrats et transferts de données.</w:t>
      </w:r>
    </w:p>
    <w:p>
      <w:pPr>
        <w:pStyle w:val="ListBullet"/>
      </w:pPr>
      <w:r>
        <w:t>Définir si le parent dispose d'un compte dès la V1 ou si son numéro est seulement enregistré comme contact.</w:t>
      </w:r>
    </w:p>
    <w:p>
      <w:pPr>
        <w:pStyle w:val="ListBullet"/>
      </w:pPr>
      <w:r>
        <w:t>Définir les règles de validation par type d'information: validation à trois personnes systématique ou circuit configurable.</w:t>
      </w:r>
    </w:p>
    <w:p>
      <w:pPr>
        <w:pStyle w:val="ListBullet"/>
      </w:pPr>
      <w:r>
        <w:t>Définir les règles scolaires ivoiriennes prises en charge: cycles, coefficients, moyennes, mentions, périodes et formats de bulletins.</w:t>
      </w:r>
    </w:p>
    <w:p>
      <w:pPr>
        <w:pStyle w:val="Heading1"/>
      </w:pPr>
      <w:r>
        <w:t>9. Critères d'acceptation technique</w:t>
      </w:r>
    </w:p>
    <w:p>
      <w:pPr>
        <w:pStyle w:val="ListBullet"/>
      </w:pPr>
      <w:r>
        <w:t>Un utilisateur d'un établissement A ne peut consulter aucune donnée de l'établissement B sans autorisation explicite.</w:t>
      </w:r>
    </w:p>
    <w:p>
      <w:pPr>
        <w:pStyle w:val="ListBullet"/>
      </w:pPr>
      <w:r>
        <w:t>Les routes serveur refusent par défaut les actions non autorisées.</w:t>
      </w:r>
    </w:p>
    <w:p>
      <w:pPr>
        <w:pStyle w:val="ListBullet"/>
      </w:pPr>
      <w:r>
        <w:t>Les migrations de base de données sont reproductibles et versionnées.</w:t>
      </w:r>
    </w:p>
    <w:p>
      <w:pPr>
        <w:pStyle w:val="ListBullet"/>
      </w:pPr>
      <w:r>
        <w:t>Les tests couvrent connexion, permissions, validation, publication, notes, présences et audit.</w:t>
      </w:r>
    </w:p>
    <w:p>
      <w:pPr>
        <w:pStyle w:val="ListBullet"/>
      </w:pPr>
      <w:r>
        <w:t>Une sauvegarde peut être restaurée sur un environnement isolé.</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4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1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7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A18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